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F688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lang w:val="en-US" w:eastAsia="zh-CN"/>
        </w:rPr>
        <w:t>竞争性谈判</w:t>
      </w:r>
      <w:r>
        <w:rPr>
          <w:rFonts w:hint="eastAsia" w:ascii="宋体" w:hAnsi="宋体"/>
          <w:b/>
          <w:bCs/>
          <w:color w:val="auto"/>
          <w:sz w:val="52"/>
          <w:szCs w:val="52"/>
          <w:highlight w:val="none"/>
        </w:rPr>
        <w:t>文件</w:t>
      </w:r>
    </w:p>
    <w:p w14:paraId="7E43F0AA">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p>
    <w:p w14:paraId="341045F3">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货物类</w:t>
      </w:r>
      <w:r>
        <w:rPr>
          <w:rFonts w:hint="eastAsia" w:ascii="宋体" w:hAnsi="宋体" w:eastAsia="宋体" w:cs="宋体"/>
          <w:b/>
          <w:bCs/>
          <w:color w:val="auto"/>
          <w:sz w:val="28"/>
          <w:szCs w:val="28"/>
          <w:highlight w:val="none"/>
        </w:rPr>
        <w:t>）</w:t>
      </w:r>
    </w:p>
    <w:p w14:paraId="42F33ECA">
      <w:pPr>
        <w:tabs>
          <w:tab w:val="left" w:pos="5785"/>
        </w:tabs>
        <w:autoSpaceDE w:val="0"/>
        <w:autoSpaceDN w:val="0"/>
        <w:adjustRightInd w:val="0"/>
        <w:snapToGrid w:val="0"/>
        <w:spacing w:line="360" w:lineRule="auto"/>
        <w:jc w:val="left"/>
        <w:rPr>
          <w:rFonts w:hint="eastAsia" w:ascii="宋体" w:hAnsi="DotumChe" w:cs="宋体"/>
          <w:b/>
          <w:color w:val="auto"/>
          <w:spacing w:val="20"/>
          <w:kern w:val="0"/>
          <w:sz w:val="32"/>
          <w:szCs w:val="32"/>
          <w:highlight w:val="none"/>
          <w:lang w:eastAsia="zh-CN"/>
        </w:rPr>
      </w:pPr>
      <w:r>
        <w:rPr>
          <w:rFonts w:hint="eastAsia" w:ascii="宋体" w:hAnsi="DotumChe" w:cs="宋体"/>
          <w:b/>
          <w:color w:val="auto"/>
          <w:spacing w:val="20"/>
          <w:kern w:val="0"/>
          <w:sz w:val="32"/>
          <w:szCs w:val="32"/>
          <w:highlight w:val="none"/>
          <w:lang w:eastAsia="zh-CN"/>
        </w:rPr>
        <w:tab/>
      </w:r>
    </w:p>
    <w:p w14:paraId="0BE561A1">
      <w:pPr>
        <w:tabs>
          <w:tab w:val="left" w:pos="5785"/>
        </w:tabs>
        <w:autoSpaceDE w:val="0"/>
        <w:autoSpaceDN w:val="0"/>
        <w:adjustRightInd w:val="0"/>
        <w:snapToGrid w:val="0"/>
        <w:spacing w:line="360" w:lineRule="auto"/>
        <w:jc w:val="left"/>
        <w:rPr>
          <w:rFonts w:hint="eastAsia" w:ascii="宋体" w:hAnsi="DotumChe" w:cs="宋体"/>
          <w:b/>
          <w:color w:val="auto"/>
          <w:spacing w:val="20"/>
          <w:kern w:val="0"/>
          <w:sz w:val="32"/>
          <w:szCs w:val="32"/>
          <w:highlight w:val="none"/>
          <w:lang w:eastAsia="zh-CN"/>
        </w:rPr>
      </w:pPr>
    </w:p>
    <w:p w14:paraId="50CD2A2D">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B007B08">
      <w:pPr>
        <w:pStyle w:val="35"/>
        <w:rPr>
          <w:color w:val="auto"/>
          <w:highlight w:val="none"/>
        </w:rPr>
      </w:pPr>
    </w:p>
    <w:p w14:paraId="2D6B4168">
      <w:pPr>
        <w:pStyle w:val="35"/>
        <w:rPr>
          <w:color w:val="auto"/>
          <w:highlight w:val="none"/>
        </w:rPr>
      </w:pPr>
    </w:p>
    <w:p w14:paraId="07B30A02">
      <w:pPr>
        <w:pStyle w:val="35"/>
        <w:rPr>
          <w:color w:val="auto"/>
          <w:highlight w:val="none"/>
        </w:rPr>
      </w:pPr>
    </w:p>
    <w:p w14:paraId="227C3CC9">
      <w:pPr>
        <w:pStyle w:val="35"/>
        <w:rPr>
          <w:color w:val="auto"/>
          <w:highlight w:val="none"/>
        </w:rPr>
      </w:pPr>
    </w:p>
    <w:p w14:paraId="381F749C">
      <w:pPr>
        <w:tabs>
          <w:tab w:val="left" w:pos="2410"/>
        </w:tabs>
        <w:autoSpaceDE w:val="0"/>
        <w:autoSpaceDN w:val="0"/>
        <w:adjustRightInd w:val="0"/>
        <w:snapToGrid w:val="0"/>
        <w:spacing w:line="600" w:lineRule="exact"/>
        <w:ind w:left="2565" w:leftChars="500" w:hanging="1515" w:hanging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项目名称：</w:t>
      </w:r>
      <w:r>
        <w:rPr>
          <w:rFonts w:hint="eastAsia" w:ascii="宋体" w:hAnsi="DotumChe" w:cs="宋体"/>
          <w:b/>
          <w:color w:val="auto"/>
          <w:spacing w:val="11"/>
          <w:kern w:val="0"/>
          <w:sz w:val="28"/>
          <w:szCs w:val="28"/>
          <w:highlight w:val="none"/>
          <w:lang w:eastAsia="zh-CN"/>
        </w:rPr>
        <w:t>叶集区人民医院(市六院)征兵体检硬件设备采购项目</w:t>
      </w:r>
    </w:p>
    <w:p w14:paraId="6282380C">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auto"/>
          <w:spacing w:val="11"/>
          <w:kern w:val="0"/>
          <w:sz w:val="28"/>
          <w:szCs w:val="28"/>
          <w:highlight w:val="none"/>
          <w:lang w:val="en-US" w:eastAsia="zh-CN"/>
        </w:rPr>
      </w:pPr>
      <w:r>
        <w:rPr>
          <w:rFonts w:hint="eastAsia" w:ascii="宋体" w:hAnsi="DotumChe" w:cs="宋体"/>
          <w:b/>
          <w:color w:val="auto"/>
          <w:spacing w:val="11"/>
          <w:kern w:val="0"/>
          <w:sz w:val="28"/>
          <w:szCs w:val="28"/>
          <w:highlight w:val="none"/>
        </w:rPr>
        <w:t>项目编号：</w:t>
      </w:r>
      <w:r>
        <w:rPr>
          <w:rFonts w:hint="eastAsia" w:ascii="宋体" w:hAnsi="DotumChe" w:cs="宋体"/>
          <w:b/>
          <w:color w:val="auto"/>
          <w:spacing w:val="11"/>
          <w:kern w:val="0"/>
          <w:sz w:val="28"/>
          <w:szCs w:val="28"/>
          <w:highlight w:val="none"/>
          <w:lang w:val="en-US" w:eastAsia="zh-CN"/>
        </w:rPr>
        <w:t>LASYJQRMYY-XXK2026-11</w:t>
      </w:r>
    </w:p>
    <w:p w14:paraId="2F1F8C4C">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采 购 人：六安市叶集区人民医院（六安市第六人民医院）</w:t>
      </w:r>
      <w:r>
        <w:rPr>
          <w:rFonts w:ascii="宋体" w:hAnsi="DotumChe" w:cs="宋体"/>
          <w:b/>
          <w:color w:val="auto"/>
          <w:spacing w:val="11"/>
          <w:kern w:val="0"/>
          <w:sz w:val="28"/>
          <w:szCs w:val="28"/>
          <w:highlight w:val="none"/>
        </w:rPr>
        <w:t xml:space="preserve"> </w:t>
      </w:r>
    </w:p>
    <w:p w14:paraId="224FB582">
      <w:pPr>
        <w:tabs>
          <w:tab w:val="left" w:pos="2410"/>
        </w:tabs>
        <w:autoSpaceDE w:val="0"/>
        <w:autoSpaceDN w:val="0"/>
        <w:adjustRightInd w:val="0"/>
        <w:snapToGrid w:val="0"/>
        <w:spacing w:line="600" w:lineRule="exact"/>
        <w:ind w:left="1050" w:leftChars="500"/>
        <w:jc w:val="left"/>
        <w:rPr>
          <w:b/>
          <w:color w:val="auto"/>
          <w:sz w:val="28"/>
          <w:szCs w:val="28"/>
          <w:highlight w:val="none"/>
        </w:rPr>
      </w:pPr>
      <w:r>
        <w:rPr>
          <w:rFonts w:hint="eastAsia" w:ascii="宋体" w:hAnsi="DotumChe" w:cs="宋体"/>
          <w:b/>
          <w:color w:val="auto"/>
          <w:spacing w:val="11"/>
          <w:kern w:val="0"/>
          <w:sz w:val="28"/>
          <w:szCs w:val="28"/>
          <w:highlight w:val="none"/>
        </w:rPr>
        <w:t>采购时间：</w:t>
      </w:r>
      <w:r>
        <w:rPr>
          <w:rFonts w:hint="eastAsia" w:ascii="宋体" w:hAnsi="DotumChe" w:cs="宋体"/>
          <w:b/>
          <w:color w:val="auto"/>
          <w:spacing w:val="11"/>
          <w:kern w:val="0"/>
          <w:sz w:val="28"/>
          <w:szCs w:val="28"/>
          <w:highlight w:val="none"/>
          <w:lang w:val="en-US" w:eastAsia="zh-CN"/>
        </w:rPr>
        <w:t>2026年6月</w:t>
      </w:r>
      <w:r>
        <w:rPr>
          <w:rFonts w:hint="eastAsia" w:ascii="宋体" w:hAnsi="DotumChe" w:cs="宋体"/>
          <w:b/>
          <w:color w:val="auto"/>
          <w:spacing w:val="11"/>
          <w:kern w:val="0"/>
          <w:sz w:val="28"/>
          <w:szCs w:val="28"/>
          <w:highlight w:val="none"/>
        </w:rPr>
        <w:t xml:space="preserve">   </w:t>
      </w:r>
    </w:p>
    <w:p w14:paraId="128436B3">
      <w:pP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489A3EAF">
      <w:pPr>
        <w:spacing w:before="240" w:beforeLines="100" w:after="12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目  录</w:t>
      </w:r>
    </w:p>
    <w:p w14:paraId="39E73EB9">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_Toc26749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采购公告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_Toc26749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80E65DE">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_Toc30607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一、供应商须知</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fldChar w:fldCharType="end"/>
      </w:r>
    </w:p>
    <w:p w14:paraId="12395067">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_Toc3141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二、采购合同</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4</w:t>
      </w:r>
    </w:p>
    <w:p w14:paraId="289F4A35">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_Toc6712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三、采购需求</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5</w:t>
      </w:r>
    </w:p>
    <w:p w14:paraId="7920BDD0">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_Toc5000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lang w:val="en-US" w:eastAsia="zh-CN"/>
        </w:rPr>
        <w:t>评审方法</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7</w:t>
      </w:r>
    </w:p>
    <w:p w14:paraId="02331BF5">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_Toc10062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、响应文件格式</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8</w:t>
      </w:r>
    </w:p>
    <w:p w14:paraId="588FD75B">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rPr>
      </w:pPr>
    </w:p>
    <w:p w14:paraId="7D66DB5C">
      <w:pPr>
        <w:pStyle w:val="29"/>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color w:val="auto"/>
          <w:sz w:val="28"/>
          <w:szCs w:val="28"/>
          <w:highlight w:val="none"/>
        </w:rPr>
      </w:pPr>
      <w:r>
        <w:rPr>
          <w:rFonts w:hint="eastAsia" w:ascii="宋体" w:hAnsi="宋体" w:eastAsia="宋体" w:cs="宋体"/>
          <w:color w:val="auto"/>
          <w:sz w:val="24"/>
          <w:szCs w:val="24"/>
          <w:highlight w:val="none"/>
        </w:rPr>
        <w:fldChar w:fldCharType="end"/>
      </w:r>
      <w:bookmarkStart w:id="0" w:name="_Toc363199264"/>
      <w:bookmarkStart w:id="1" w:name="_Toc216158623"/>
      <w:r>
        <w:rPr>
          <w:rFonts w:hint="eastAsia"/>
          <w:color w:val="auto"/>
          <w:sz w:val="28"/>
          <w:szCs w:val="28"/>
          <w:highlight w:val="none"/>
        </w:rPr>
        <w:br w:type="page"/>
      </w:r>
    </w:p>
    <w:p w14:paraId="044A23EC">
      <w:pPr>
        <w:pStyle w:val="3"/>
        <w:pageBreakBefore w:val="0"/>
        <w:kinsoku/>
        <w:wordWrap/>
        <w:overflowPunct/>
        <w:topLinePunct w:val="0"/>
        <w:autoSpaceDE/>
        <w:autoSpaceDN/>
        <w:bidi w:val="0"/>
        <w:snapToGrid/>
        <w:spacing w:before="120" w:beforeLines="50" w:after="120" w:afterLines="50" w:line="560" w:lineRule="exact"/>
        <w:jc w:val="center"/>
        <w:rPr>
          <w:rFonts w:ascii="华文中宋" w:hAnsi="华文中宋" w:eastAsia="华文中宋" w:cs="华文中宋"/>
          <w:b w:val="0"/>
          <w:bCs/>
          <w:color w:val="auto"/>
          <w:sz w:val="44"/>
          <w:szCs w:val="44"/>
          <w:highlight w:val="none"/>
        </w:rPr>
      </w:pPr>
      <w:bookmarkStart w:id="2" w:name="_Toc26749"/>
      <w:bookmarkStart w:id="3" w:name="_Toc30186"/>
      <w:r>
        <w:rPr>
          <w:rFonts w:hint="eastAsia" w:ascii="华文中宋" w:hAnsi="华文中宋" w:eastAsia="华文中宋" w:cs="华文中宋"/>
          <w:b w:val="0"/>
          <w:bCs/>
          <w:color w:val="auto"/>
          <w:sz w:val="44"/>
          <w:szCs w:val="44"/>
          <w:highlight w:val="none"/>
          <w:lang w:eastAsia="zh-CN"/>
        </w:rPr>
        <w:t>叶集区人民医院(市六院)征兵体检硬件设备采购项目</w:t>
      </w:r>
      <w:r>
        <w:rPr>
          <w:rFonts w:hint="eastAsia" w:ascii="华文中宋" w:hAnsi="华文中宋" w:eastAsia="华文中宋" w:cs="华文中宋"/>
          <w:b w:val="0"/>
          <w:bCs/>
          <w:color w:val="auto"/>
          <w:sz w:val="44"/>
          <w:szCs w:val="44"/>
          <w:highlight w:val="none"/>
          <w:lang w:val="en-US" w:eastAsia="zh-CN"/>
        </w:rPr>
        <w:t>竞争性谈判</w:t>
      </w:r>
      <w:r>
        <w:rPr>
          <w:rFonts w:hint="eastAsia" w:ascii="华文中宋" w:hAnsi="华文中宋" w:eastAsia="华文中宋" w:cs="华文中宋"/>
          <w:b w:val="0"/>
          <w:bCs/>
          <w:color w:val="auto"/>
          <w:sz w:val="44"/>
          <w:szCs w:val="44"/>
          <w:highlight w:val="none"/>
        </w:rPr>
        <w:t>采购公告</w:t>
      </w:r>
      <w:bookmarkEnd w:id="2"/>
      <w:bookmarkEnd w:id="3"/>
    </w:p>
    <w:p w14:paraId="4B89093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none"/>
          <w:lang w:eastAsia="zh-CN"/>
        </w:rPr>
        <w:t>叶集区人民医院(市六院)征兵体检硬件设备采购项目</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eastAsia="zh-CN"/>
        </w:rPr>
        <w:t>项目编号：</w:t>
      </w:r>
      <w:r>
        <w:rPr>
          <w:rFonts w:hint="eastAsia" w:ascii="宋体" w:hAnsi="DotumChe" w:cs="宋体"/>
          <w:b w:val="0"/>
          <w:bCs/>
          <w:color w:val="auto"/>
          <w:spacing w:val="11"/>
          <w:kern w:val="0"/>
          <w:sz w:val="28"/>
          <w:szCs w:val="28"/>
          <w:highlight w:val="none"/>
          <w:lang w:val="en-US" w:eastAsia="zh-CN"/>
        </w:rPr>
        <w:t>LASYJQRMYY-XXK2026-11</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的潜在供应商应在六安市叶集区人民医院（六安市第六人民医院）官网（http://www.lasdlrmyy.cn/）</w:t>
      </w:r>
      <w:r>
        <w:rPr>
          <w:rFonts w:hint="eastAsia" w:ascii="仿宋" w:hAnsi="仿宋" w:eastAsia="仿宋" w:cs="仿宋"/>
          <w:color w:val="auto"/>
          <w:sz w:val="28"/>
          <w:szCs w:val="28"/>
          <w:highlight w:val="none"/>
          <w:u w:val="none"/>
        </w:rPr>
        <w:t>获取</w:t>
      </w:r>
      <w:r>
        <w:rPr>
          <w:rFonts w:hint="eastAsia" w:ascii="仿宋" w:hAnsi="仿宋" w:eastAsia="仿宋" w:cs="仿宋"/>
          <w:color w:val="auto"/>
          <w:sz w:val="28"/>
          <w:szCs w:val="28"/>
          <w:highlight w:val="none"/>
          <w:u w:val="none"/>
          <w:lang w:val="en-US" w:eastAsia="zh-CN"/>
        </w:rPr>
        <w:t>竞争性谈判</w:t>
      </w:r>
      <w:r>
        <w:rPr>
          <w:rFonts w:hint="eastAsia" w:ascii="仿宋" w:hAnsi="仿宋" w:eastAsia="仿宋" w:cs="仿宋"/>
          <w:color w:val="auto"/>
          <w:sz w:val="28"/>
          <w:szCs w:val="28"/>
          <w:highlight w:val="none"/>
          <w:u w:val="none"/>
        </w:rPr>
        <w:t>文件，并于</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06</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分（北京时间）前提交响应文件。</w:t>
      </w:r>
    </w:p>
    <w:p w14:paraId="6CFCDCAB">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4" w:name="_Toc35393629"/>
      <w:bookmarkStart w:id="5" w:name="_Toc35393798"/>
      <w:bookmarkStart w:id="6" w:name="_Toc28359089"/>
      <w:bookmarkStart w:id="7" w:name="_Toc14319"/>
      <w:bookmarkStart w:id="8" w:name="_Toc28359012"/>
      <w:bookmarkStart w:id="9" w:name="_Toc7777"/>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p>
    <w:p w14:paraId="34B9E5D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lang w:eastAsia="zh-CN"/>
        </w:rPr>
        <w:t>LASYJQRMYY-XXK2026-11</w:t>
      </w:r>
      <w:bookmarkStart w:id="129" w:name="_GoBack"/>
      <w:bookmarkEnd w:id="129"/>
    </w:p>
    <w:p w14:paraId="3A150D92">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eastAsia="zh-CN"/>
        </w:rPr>
        <w:t>叶集区人民医院(市六院)征兵体检硬件设备采购项目</w:t>
      </w:r>
    </w:p>
    <w:p w14:paraId="01F7D8CE">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货物类</w:t>
      </w:r>
    </w:p>
    <w:p w14:paraId="189F0D81">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4、采购方式：</w:t>
      </w:r>
      <w:r>
        <w:rPr>
          <w:rFonts w:hint="eastAsia" w:ascii="仿宋" w:hAnsi="仿宋" w:eastAsia="仿宋" w:cs="仿宋"/>
          <w:color w:val="auto"/>
          <w:sz w:val="28"/>
          <w:szCs w:val="28"/>
          <w:highlight w:val="none"/>
          <w:lang w:eastAsia="zh-CN"/>
        </w:rPr>
        <w:t>竞争性谈判</w:t>
      </w:r>
      <w:r>
        <w:rPr>
          <w:rFonts w:hint="eastAsia" w:ascii="仿宋" w:hAnsi="仿宋" w:eastAsia="仿宋" w:cs="仿宋"/>
          <w:color w:val="auto"/>
          <w:sz w:val="28"/>
          <w:szCs w:val="28"/>
          <w:highlight w:val="none"/>
        </w:rPr>
        <w:t xml:space="preserve"> </w:t>
      </w:r>
    </w:p>
    <w:p w14:paraId="1E324CD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lang w:val="en-US" w:eastAsia="zh-CN"/>
        </w:rPr>
        <w:t>8.4</w:t>
      </w:r>
      <w:r>
        <w:rPr>
          <w:rFonts w:hint="eastAsia" w:ascii="仿宋" w:hAnsi="仿宋" w:eastAsia="仿宋" w:cs="仿宋"/>
          <w:color w:val="auto"/>
          <w:sz w:val="28"/>
          <w:szCs w:val="28"/>
          <w:highlight w:val="none"/>
        </w:rPr>
        <w:t>万</w:t>
      </w:r>
      <w:r>
        <w:rPr>
          <w:rFonts w:hint="eastAsia" w:ascii="仿宋" w:hAnsi="仿宋" w:eastAsia="仿宋" w:cs="仿宋"/>
          <w:color w:val="auto"/>
          <w:sz w:val="28"/>
          <w:szCs w:val="28"/>
          <w:highlight w:val="none"/>
          <w:lang w:val="en-US" w:eastAsia="zh-CN"/>
        </w:rPr>
        <w:t>元</w:t>
      </w:r>
    </w:p>
    <w:p w14:paraId="400B2BE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lang w:val="en-US" w:eastAsia="zh-CN"/>
        </w:rPr>
        <w:t>8.4</w:t>
      </w:r>
      <w:r>
        <w:rPr>
          <w:rFonts w:hint="eastAsia" w:ascii="仿宋" w:hAnsi="仿宋" w:eastAsia="仿宋" w:cs="仿宋"/>
          <w:color w:val="auto"/>
          <w:sz w:val="28"/>
          <w:szCs w:val="28"/>
          <w:highlight w:val="none"/>
        </w:rPr>
        <w:t>万元</w:t>
      </w:r>
    </w:p>
    <w:p w14:paraId="5785DE9D">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7、采购需求：</w:t>
      </w:r>
      <w:r>
        <w:rPr>
          <w:rFonts w:hint="eastAsia" w:ascii="仿宋" w:hAnsi="仿宋" w:eastAsia="仿宋" w:cs="仿宋"/>
          <w:color w:val="auto"/>
          <w:sz w:val="28"/>
          <w:szCs w:val="28"/>
          <w:highlight w:val="none"/>
          <w:u w:val="none"/>
          <w:lang w:eastAsia="zh-CN"/>
        </w:rPr>
        <w:t>叶集区人民医院(市六院)征兵体检硬件设备采购服务，</w:t>
      </w:r>
      <w:r>
        <w:rPr>
          <w:rFonts w:hint="eastAsia" w:ascii="仿宋" w:hAnsi="仿宋" w:eastAsia="仿宋" w:cs="仿宋"/>
          <w:color w:val="auto"/>
          <w:sz w:val="28"/>
          <w:szCs w:val="28"/>
          <w:highlight w:val="none"/>
          <w:u w:val="none"/>
          <w:lang w:val="en-US" w:eastAsia="zh-CN"/>
        </w:rPr>
        <w:t>具体详见采购需求。</w:t>
      </w:r>
    </w:p>
    <w:p w14:paraId="0EBC6D6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8、合同履行期限：</w:t>
      </w:r>
      <w:bookmarkStart w:id="10" w:name="OLE_LINK6"/>
      <w:r>
        <w:rPr>
          <w:rFonts w:hint="eastAsia" w:ascii="仿宋" w:hAnsi="仿宋" w:eastAsia="仿宋" w:cs="仿宋"/>
          <w:color w:val="auto"/>
          <w:sz w:val="28"/>
          <w:szCs w:val="28"/>
          <w:highlight w:val="none"/>
          <w:shd w:val="clear" w:color="auto" w:fill="FFFFFF"/>
          <w:lang w:bidi="ar"/>
        </w:rPr>
        <w:t>合同签订之日起</w:t>
      </w:r>
      <w:r>
        <w:rPr>
          <w:rFonts w:hint="eastAsia" w:ascii="仿宋" w:hAnsi="仿宋" w:eastAsia="仿宋" w:cs="仿宋"/>
          <w:color w:val="auto"/>
          <w:sz w:val="28"/>
          <w:szCs w:val="28"/>
          <w:highlight w:val="none"/>
          <w:shd w:val="clear" w:color="auto" w:fill="FFFFFF"/>
          <w:lang w:val="en-US" w:eastAsia="zh-CN" w:bidi="ar"/>
        </w:rPr>
        <w:t>15</w:t>
      </w:r>
      <w:r>
        <w:rPr>
          <w:rFonts w:hint="eastAsia" w:ascii="仿宋" w:hAnsi="仿宋" w:eastAsia="仿宋" w:cs="仿宋"/>
          <w:color w:val="auto"/>
          <w:sz w:val="28"/>
          <w:szCs w:val="28"/>
          <w:highlight w:val="none"/>
          <w:shd w:val="clear" w:color="auto" w:fill="FFFFFF"/>
          <w:lang w:bidi="ar"/>
        </w:rPr>
        <w:t>个日历天</w:t>
      </w:r>
      <w:bookmarkEnd w:id="10"/>
      <w:r>
        <w:rPr>
          <w:rFonts w:hint="eastAsia" w:ascii="仿宋" w:hAnsi="仿宋" w:eastAsia="仿宋" w:cs="仿宋"/>
          <w:color w:val="auto"/>
          <w:sz w:val="28"/>
          <w:szCs w:val="28"/>
          <w:highlight w:val="none"/>
          <w:shd w:val="clear" w:color="auto" w:fill="FFFFFF"/>
          <w:lang w:bidi="ar"/>
        </w:rPr>
        <w:t>完成供货安装及调试</w:t>
      </w:r>
      <w:r>
        <w:rPr>
          <w:rFonts w:hint="eastAsia" w:ascii="仿宋" w:hAnsi="仿宋" w:eastAsia="仿宋" w:cs="仿宋"/>
          <w:color w:val="auto"/>
          <w:sz w:val="28"/>
          <w:szCs w:val="28"/>
          <w:highlight w:val="none"/>
          <w:shd w:val="clear" w:color="auto" w:fill="FFFFFF"/>
          <w:lang w:eastAsia="zh-CN" w:bidi="ar"/>
        </w:rPr>
        <w:t>。</w:t>
      </w:r>
    </w:p>
    <w:p w14:paraId="63635A58">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9、是否接受联合体：本项目不接受联合体</w:t>
      </w:r>
    </w:p>
    <w:p w14:paraId="7D2A9B65">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11" w:name="_Toc28359013"/>
      <w:bookmarkStart w:id="12" w:name="_Toc28359090"/>
      <w:bookmarkStart w:id="13" w:name="_Toc35393630"/>
      <w:bookmarkStart w:id="14" w:name="_Toc11070"/>
      <w:bookmarkStart w:id="15" w:name="_Toc35393799"/>
      <w:bookmarkStart w:id="16" w:name="_Toc27063"/>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p>
    <w:p w14:paraId="5897AAE0">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77CA293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bookmarkStart w:id="17" w:name="_Toc28359014"/>
      <w:bookmarkStart w:id="18" w:name="_Toc28359091"/>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无。</w:t>
      </w:r>
    </w:p>
    <w:p w14:paraId="7C3ACE63">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19" w:name="_Toc35393800"/>
      <w:bookmarkStart w:id="20" w:name="_Toc35393631"/>
      <w:bookmarkStart w:id="21" w:name="_Toc888"/>
      <w:bookmarkStart w:id="22" w:name="_Toc15899"/>
      <w:r>
        <w:rPr>
          <w:rFonts w:hint="eastAsia" w:ascii="黑体" w:hAnsi="黑体" w:cs="黑体"/>
          <w:b w:val="0"/>
          <w:bCs/>
          <w:color w:val="auto"/>
          <w:sz w:val="28"/>
          <w:szCs w:val="28"/>
          <w:highlight w:val="none"/>
        </w:rPr>
        <w:t>三、获取采购文件</w:t>
      </w:r>
      <w:bookmarkEnd w:id="17"/>
      <w:bookmarkEnd w:id="18"/>
      <w:bookmarkEnd w:id="19"/>
      <w:bookmarkEnd w:id="20"/>
      <w:bookmarkEnd w:id="21"/>
      <w:bookmarkEnd w:id="22"/>
    </w:p>
    <w:p w14:paraId="2284A4BC">
      <w:pPr>
        <w:spacing w:line="360" w:lineRule="auto"/>
        <w:ind w:firstLine="560" w:firstLineChars="200"/>
        <w:rPr>
          <w:rFonts w:ascii="仿宋" w:hAnsi="仿宋" w:eastAsia="仿宋" w:cs="仿宋"/>
          <w:color w:val="auto"/>
          <w:sz w:val="28"/>
          <w:szCs w:val="28"/>
          <w:highlight w:val="none"/>
        </w:rPr>
      </w:pPr>
      <w:bookmarkStart w:id="23" w:name="_Toc35393632"/>
      <w:bookmarkStart w:id="24" w:name="_Toc28359015"/>
      <w:bookmarkStart w:id="25" w:name="_Toc15002"/>
      <w:bookmarkStart w:id="26" w:name="_Toc35393801"/>
      <w:bookmarkStart w:id="27" w:name="_Toc13207"/>
      <w:bookmarkStart w:id="28" w:name="_Toc28359092"/>
      <w:r>
        <w:rPr>
          <w:rFonts w:hint="eastAsia" w:ascii="仿宋" w:hAnsi="仿宋" w:eastAsia="仿宋" w:cs="仿宋"/>
          <w:color w:val="auto"/>
          <w:sz w:val="28"/>
          <w:szCs w:val="28"/>
          <w:highlight w:val="none"/>
        </w:rPr>
        <w:t>1、时间：自公告发布之日起至响应文件递交及开启时间前。</w:t>
      </w:r>
    </w:p>
    <w:p w14:paraId="17F811CF">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叶集区人民医院(市六院)征兵体检硬件设备采购项目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LASYJQRMYY-XXK2026-11</w:t>
      </w:r>
      <w:r>
        <w:rPr>
          <w:rFonts w:hint="eastAsia" w:ascii="仿宋" w:hAnsi="仿宋" w:eastAsia="仿宋" w:cs="仿宋"/>
          <w:color w:val="auto"/>
          <w:sz w:val="28"/>
          <w:szCs w:val="28"/>
          <w:highlight w:val="none"/>
        </w:rPr>
        <w:t>）的潜在供应商应在六安市叶集区人民医院（六安市第六人民医院）官网（http://www.lasdlrmyy.cn/）获取</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文件。</w:t>
      </w:r>
    </w:p>
    <w:p w14:paraId="7CE1DCB9">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四、</w:t>
      </w:r>
      <w:bookmarkEnd w:id="23"/>
      <w:bookmarkEnd w:id="24"/>
      <w:bookmarkEnd w:id="25"/>
      <w:bookmarkEnd w:id="26"/>
      <w:bookmarkEnd w:id="27"/>
      <w:bookmarkEnd w:id="28"/>
      <w:r>
        <w:rPr>
          <w:rFonts w:hint="eastAsia" w:ascii="黑体" w:hAnsi="黑体" w:cs="黑体"/>
          <w:b w:val="0"/>
          <w:bCs/>
          <w:color w:val="auto"/>
          <w:sz w:val="28"/>
          <w:szCs w:val="28"/>
          <w:highlight w:val="none"/>
        </w:rPr>
        <w:t>响应文件递交及开启时间</w:t>
      </w:r>
    </w:p>
    <w:p w14:paraId="7AE589C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bookmarkStart w:id="29" w:name="OLE_LINK7"/>
      <w:r>
        <w:rPr>
          <w:rFonts w:hint="eastAsia" w:ascii="仿宋" w:hAnsi="仿宋" w:eastAsia="仿宋" w:cs="仿宋"/>
          <w:bCs/>
          <w:color w:val="auto"/>
          <w:sz w:val="28"/>
          <w:szCs w:val="28"/>
          <w:highlight w:val="none"/>
          <w:u w:val="single"/>
          <w:lang w:val="en-US" w:eastAsia="zh-CN"/>
        </w:rPr>
        <w:t>2026 年 6 月3</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15</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00</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bookmarkEnd w:id="29"/>
      <w:r>
        <w:rPr>
          <w:rFonts w:hint="eastAsia" w:ascii="仿宋" w:hAnsi="仿宋" w:eastAsia="仿宋" w:cs="仿宋"/>
          <w:bCs/>
          <w:color w:val="auto"/>
          <w:sz w:val="28"/>
          <w:szCs w:val="28"/>
          <w:highlight w:val="none"/>
        </w:rPr>
        <w:t>（北京时间）</w:t>
      </w:r>
    </w:p>
    <w:p w14:paraId="740FD97C">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递</w:t>
      </w:r>
      <w:r>
        <w:rPr>
          <w:rFonts w:hint="eastAsia" w:ascii="仿宋" w:hAnsi="仿宋" w:eastAsia="仿宋" w:cs="仿宋"/>
          <w:color w:val="auto"/>
          <w:kern w:val="0"/>
          <w:sz w:val="28"/>
          <w:szCs w:val="28"/>
          <w:highlight w:val="none"/>
        </w:rPr>
        <w:t>交方式：</w:t>
      </w:r>
      <w:r>
        <w:rPr>
          <w:rFonts w:hint="eastAsia" w:ascii="仿宋" w:hAnsi="仿宋" w:eastAsia="仿宋" w:cs="仿宋"/>
          <w:color w:val="auto"/>
          <w:kern w:val="0"/>
          <w:sz w:val="28"/>
          <w:szCs w:val="28"/>
          <w:highlight w:val="none"/>
          <w:lang w:val="en-US" w:eastAsia="zh-CN"/>
        </w:rPr>
        <w:t>现场递交</w:t>
      </w:r>
      <w:r>
        <w:rPr>
          <w:rFonts w:hint="eastAsia" w:ascii="仿宋" w:hAnsi="仿宋" w:eastAsia="仿宋" w:cs="仿宋"/>
          <w:color w:val="auto"/>
          <w:kern w:val="0"/>
          <w:sz w:val="28"/>
          <w:szCs w:val="28"/>
          <w:highlight w:val="none"/>
        </w:rPr>
        <w:t>。</w:t>
      </w:r>
    </w:p>
    <w:p w14:paraId="7406A964">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w:t>
      </w:r>
      <w:r>
        <w:rPr>
          <w:rFonts w:hint="eastAsia" w:ascii="仿宋" w:hAnsi="仿宋" w:eastAsia="仿宋" w:cs="仿宋"/>
          <w:color w:val="auto"/>
          <w:sz w:val="28"/>
          <w:szCs w:val="28"/>
          <w:highlight w:val="none"/>
        </w:rPr>
        <w:t>、递交地点：各供应商须在响应文件递交截止时间前将纸质版本响应文件密封完整后递交至六安市叶集区人民医院（六安市第六人民医院）10楼会议室</w:t>
      </w:r>
      <w:r>
        <w:rPr>
          <w:rFonts w:hint="eastAsia" w:ascii="仿宋" w:hAnsi="仿宋" w:eastAsia="仿宋" w:cs="仿宋"/>
          <w:bCs/>
          <w:color w:val="auto"/>
          <w:kern w:val="0"/>
          <w:sz w:val="28"/>
          <w:szCs w:val="28"/>
          <w:highlight w:val="none"/>
          <w:shd w:val="clear" w:color="auto" w:fill="FFFFFF"/>
          <w:lang w:bidi="ar"/>
        </w:rPr>
        <w:t>。</w:t>
      </w:r>
    </w:p>
    <w:p w14:paraId="347C4DEE">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30" w:name="_Toc28359094"/>
      <w:bookmarkStart w:id="31" w:name="_Toc35393634"/>
      <w:bookmarkStart w:id="32" w:name="_Toc28359017"/>
      <w:bookmarkStart w:id="33" w:name="_Toc35393803"/>
      <w:bookmarkStart w:id="34" w:name="_Toc12252"/>
      <w:bookmarkStart w:id="35" w:name="_Toc25132"/>
      <w:r>
        <w:rPr>
          <w:rFonts w:hint="eastAsia" w:ascii="黑体" w:hAnsi="黑体" w:cs="黑体"/>
          <w:b w:val="0"/>
          <w:bCs/>
          <w:color w:val="auto"/>
          <w:sz w:val="28"/>
          <w:szCs w:val="28"/>
          <w:highlight w:val="none"/>
          <w:lang w:val="en-US" w:eastAsia="zh-CN"/>
        </w:rPr>
        <w:t>五</w:t>
      </w:r>
      <w:r>
        <w:rPr>
          <w:rFonts w:hint="eastAsia" w:ascii="黑体" w:hAnsi="黑体" w:cs="黑体"/>
          <w:b w:val="0"/>
          <w:bCs/>
          <w:color w:val="auto"/>
          <w:sz w:val="28"/>
          <w:szCs w:val="28"/>
          <w:highlight w:val="none"/>
        </w:rPr>
        <w:t>、公告期限</w:t>
      </w:r>
      <w:bookmarkEnd w:id="30"/>
      <w:bookmarkEnd w:id="31"/>
      <w:bookmarkEnd w:id="32"/>
      <w:bookmarkEnd w:id="33"/>
      <w:bookmarkEnd w:id="34"/>
      <w:bookmarkEnd w:id="35"/>
    </w:p>
    <w:p w14:paraId="7086F386">
      <w:pPr>
        <w:spacing w:line="52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自本公告发布之日起至</w:t>
      </w:r>
      <w:r>
        <w:rPr>
          <w:rFonts w:hint="eastAsia" w:ascii="仿宋" w:hAnsi="仿宋" w:eastAsia="仿宋" w:cs="仿宋"/>
          <w:color w:val="auto"/>
          <w:kern w:val="0"/>
          <w:sz w:val="28"/>
          <w:szCs w:val="28"/>
          <w:highlight w:val="none"/>
          <w:lang w:val="en-US" w:eastAsia="zh-CN"/>
        </w:rPr>
        <w:t>递交及开启</w:t>
      </w:r>
      <w:r>
        <w:rPr>
          <w:rFonts w:hint="eastAsia" w:ascii="仿宋" w:hAnsi="仿宋" w:eastAsia="仿宋" w:cs="仿宋"/>
          <w:color w:val="auto"/>
          <w:kern w:val="0"/>
          <w:sz w:val="28"/>
          <w:szCs w:val="28"/>
          <w:highlight w:val="none"/>
        </w:rPr>
        <w:t>截止时间。</w:t>
      </w:r>
    </w:p>
    <w:p w14:paraId="30BCC992">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w:t>
      </w:r>
      <w:bookmarkStart w:id="36" w:name="_Toc35393804"/>
      <w:bookmarkStart w:id="37" w:name="_Toc35393635"/>
      <w:r>
        <w:rPr>
          <w:rFonts w:hint="eastAsia" w:ascii="黑体" w:hAnsi="黑体" w:eastAsia="黑体" w:cs="黑体"/>
          <w:color w:val="auto"/>
          <w:sz w:val="28"/>
          <w:szCs w:val="28"/>
          <w:highlight w:val="none"/>
        </w:rPr>
        <w:t>其他事宜</w:t>
      </w:r>
      <w:bookmarkEnd w:id="36"/>
      <w:bookmarkEnd w:id="37"/>
      <w:bookmarkStart w:id="38" w:name="_Toc35393636"/>
      <w:bookmarkStart w:id="39" w:name="_Toc28359018"/>
      <w:bookmarkStart w:id="40" w:name="_Toc35393805"/>
      <w:bookmarkStart w:id="41" w:name="_Toc28359095"/>
    </w:p>
    <w:p w14:paraId="46E1190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1、</w:t>
      </w:r>
      <w:r>
        <w:rPr>
          <w:rFonts w:hint="eastAsia" w:ascii="仿宋" w:hAnsi="仿宋" w:eastAsia="仿宋" w:cs="仿宋"/>
          <w:bCs/>
          <w:color w:val="auto"/>
          <w:kern w:val="0"/>
          <w:sz w:val="28"/>
          <w:szCs w:val="28"/>
          <w:highlight w:val="none"/>
        </w:rPr>
        <w:t>响应保证金：本项目无需提供。</w:t>
      </w:r>
    </w:p>
    <w:p w14:paraId="22356CB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分支机构不得参加采购活动，但银行、保险、石油石化、电力、电信等特殊行业除外</w:t>
      </w:r>
    </w:p>
    <w:bookmarkEnd w:id="38"/>
    <w:bookmarkEnd w:id="39"/>
    <w:bookmarkEnd w:id="40"/>
    <w:bookmarkEnd w:id="41"/>
    <w:p w14:paraId="2D353C10">
      <w:pPr>
        <w:pStyle w:val="3"/>
        <w:adjustRightInd/>
        <w:spacing w:before="0" w:after="0" w:line="360" w:lineRule="auto"/>
        <w:jc w:val="both"/>
        <w:textAlignment w:val="auto"/>
        <w:rPr>
          <w:rFonts w:ascii="黑体" w:hAnsi="黑体" w:cs="黑体"/>
          <w:b w:val="0"/>
          <w:bCs/>
          <w:color w:val="auto"/>
          <w:sz w:val="28"/>
          <w:szCs w:val="28"/>
          <w:highlight w:val="none"/>
        </w:rPr>
      </w:pPr>
      <w:bookmarkStart w:id="42" w:name="_Toc6517"/>
      <w:bookmarkStart w:id="43" w:name="_Toc7807"/>
      <w:bookmarkStart w:id="44" w:name="_Toc21256"/>
      <w:bookmarkStart w:id="45" w:name="_Toc12148"/>
      <w:r>
        <w:rPr>
          <w:rFonts w:hint="eastAsia" w:ascii="黑体" w:hAnsi="黑体" w:cs="黑体"/>
          <w:b w:val="0"/>
          <w:bCs/>
          <w:color w:val="auto"/>
          <w:sz w:val="28"/>
          <w:szCs w:val="28"/>
          <w:highlight w:val="none"/>
        </w:rPr>
        <w:t>七、凡对本次采购提出询问，请按以下方式联系。</w:t>
      </w:r>
      <w:bookmarkEnd w:id="42"/>
      <w:bookmarkEnd w:id="43"/>
      <w:bookmarkEnd w:id="44"/>
      <w:bookmarkEnd w:id="45"/>
    </w:p>
    <w:p w14:paraId="375F6BF1">
      <w:pPr>
        <w:pStyle w:val="3"/>
        <w:adjustRightInd/>
        <w:spacing w:before="0" w:after="0" w:line="360" w:lineRule="auto"/>
        <w:ind w:firstLine="560" w:firstLineChars="200"/>
        <w:jc w:val="both"/>
        <w:textAlignment w:val="auto"/>
        <w:rPr>
          <w:rFonts w:ascii="仿宋" w:hAnsi="仿宋" w:eastAsia="仿宋" w:cs="仿宋"/>
          <w:b w:val="0"/>
          <w:bCs/>
          <w:color w:val="auto"/>
          <w:sz w:val="28"/>
          <w:szCs w:val="28"/>
          <w:highlight w:val="none"/>
        </w:rPr>
      </w:pPr>
      <w:bookmarkStart w:id="46" w:name="_Toc35393637"/>
      <w:bookmarkStart w:id="47" w:name="_Toc17822"/>
      <w:bookmarkStart w:id="48" w:name="_Toc32104"/>
      <w:bookmarkStart w:id="49" w:name="_Toc30756"/>
      <w:bookmarkStart w:id="50" w:name="_Toc28359019"/>
      <w:bookmarkStart w:id="51" w:name="_Toc28359096"/>
      <w:bookmarkStart w:id="52" w:name="_Toc35393806"/>
      <w:bookmarkStart w:id="53" w:name="_Toc12167"/>
      <w:r>
        <w:rPr>
          <w:rFonts w:hint="eastAsia" w:ascii="仿宋" w:hAnsi="仿宋" w:eastAsia="仿宋" w:cs="仿宋"/>
          <w:b w:val="0"/>
          <w:bCs/>
          <w:color w:val="auto"/>
          <w:sz w:val="28"/>
          <w:szCs w:val="28"/>
          <w:highlight w:val="none"/>
        </w:rPr>
        <w:t>1、采购人信息</w:t>
      </w:r>
      <w:bookmarkEnd w:id="46"/>
      <w:bookmarkEnd w:id="47"/>
      <w:bookmarkEnd w:id="48"/>
      <w:bookmarkEnd w:id="49"/>
      <w:bookmarkEnd w:id="50"/>
      <w:bookmarkEnd w:id="51"/>
      <w:bookmarkEnd w:id="52"/>
      <w:bookmarkEnd w:id="53"/>
    </w:p>
    <w:p w14:paraId="20944404">
      <w:pP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rPr>
        <w:t>名    称：</w:t>
      </w:r>
      <w:r>
        <w:rPr>
          <w:rFonts w:hint="eastAsia" w:ascii="仿宋" w:hAnsi="仿宋" w:eastAsia="仿宋" w:cs="仿宋"/>
          <w:color w:val="auto"/>
          <w:kern w:val="0"/>
          <w:sz w:val="28"/>
          <w:szCs w:val="28"/>
          <w:highlight w:val="none"/>
        </w:rPr>
        <w:t>六安市叶集区人民医院（六安市第六人民医院）</w:t>
      </w:r>
    </w:p>
    <w:p w14:paraId="34153B58">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址：六安市叶集区民强北路与兴叶大道交叉口</w:t>
      </w:r>
    </w:p>
    <w:p w14:paraId="5918019B">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w:t>
      </w:r>
      <w:bookmarkStart w:id="54" w:name="_Toc28359020"/>
      <w:bookmarkStart w:id="55" w:name="_Toc28359097"/>
      <w:bookmarkStart w:id="56" w:name="_Toc35393638"/>
      <w:bookmarkStart w:id="57" w:name="_Toc35393807"/>
      <w:r>
        <w:rPr>
          <w:rFonts w:hint="eastAsia" w:ascii="仿宋" w:hAnsi="仿宋" w:eastAsia="仿宋" w:cs="仿宋"/>
          <w:bCs/>
          <w:color w:val="auto"/>
          <w:sz w:val="28"/>
          <w:szCs w:val="28"/>
          <w:highlight w:val="none"/>
        </w:rPr>
        <w:t>0564-6488</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99</w:t>
      </w:r>
      <w:bookmarkEnd w:id="54"/>
      <w:bookmarkEnd w:id="55"/>
      <w:bookmarkEnd w:id="56"/>
      <w:bookmarkEnd w:id="57"/>
      <w:bookmarkStart w:id="58" w:name="_Toc28359021"/>
      <w:bookmarkStart w:id="59" w:name="_Toc35393808"/>
      <w:bookmarkStart w:id="60" w:name="_Toc35393639"/>
      <w:bookmarkStart w:id="61" w:name="_Toc28359098"/>
    </w:p>
    <w:p w14:paraId="4DC1ADD6">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、项目联系方式</w:t>
      </w:r>
      <w:bookmarkEnd w:id="58"/>
      <w:bookmarkEnd w:id="59"/>
      <w:bookmarkEnd w:id="60"/>
      <w:bookmarkEnd w:id="61"/>
    </w:p>
    <w:p w14:paraId="4B8FAFB6">
      <w:pPr>
        <w:widowControl/>
        <w:spacing w:line="360" w:lineRule="auto"/>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项目联系人：</w:t>
      </w:r>
      <w:r>
        <w:rPr>
          <w:rFonts w:hint="eastAsia" w:ascii="仿宋" w:hAnsi="仿宋" w:eastAsia="仿宋" w:cs="仿宋"/>
          <w:bCs/>
          <w:color w:val="auto"/>
          <w:sz w:val="28"/>
          <w:szCs w:val="28"/>
          <w:highlight w:val="none"/>
          <w:lang w:val="en-US" w:eastAsia="zh-CN"/>
        </w:rPr>
        <w:t>单</w:t>
      </w:r>
      <w:r>
        <w:rPr>
          <w:rFonts w:hint="eastAsia" w:ascii="仿宋" w:hAnsi="仿宋" w:eastAsia="仿宋" w:cs="仿宋"/>
          <w:bCs/>
          <w:color w:val="auto"/>
          <w:sz w:val="28"/>
          <w:szCs w:val="28"/>
          <w:highlight w:val="none"/>
        </w:rPr>
        <w:t>工</w:t>
      </w:r>
      <w:r>
        <w:rPr>
          <w:rFonts w:hint="eastAsia" w:ascii="仿宋" w:hAnsi="仿宋" w:eastAsia="仿宋" w:cs="仿宋"/>
          <w:bCs/>
          <w:color w:val="auto"/>
          <w:sz w:val="28"/>
          <w:szCs w:val="28"/>
          <w:highlight w:val="none"/>
          <w:lang w:val="en-US" w:eastAsia="zh-CN"/>
        </w:rPr>
        <w:t xml:space="preserve">        </w:t>
      </w:r>
    </w:p>
    <w:p w14:paraId="135C56C4">
      <w:pPr>
        <w:widowControl/>
        <w:spacing w:line="360" w:lineRule="auto"/>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电　  话：0564-</w:t>
      </w:r>
      <w:r>
        <w:rPr>
          <w:rFonts w:hint="eastAsia" w:ascii="仿宋" w:hAnsi="仿宋" w:eastAsia="仿宋" w:cs="仿宋"/>
          <w:bCs/>
          <w:color w:val="auto"/>
          <w:sz w:val="28"/>
          <w:szCs w:val="28"/>
          <w:highlight w:val="none"/>
          <w:lang w:val="en-US" w:eastAsia="zh-CN"/>
        </w:rPr>
        <w:t>6488599</w:t>
      </w:r>
    </w:p>
    <w:p w14:paraId="1ECA0A5C">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27</w:t>
      </w:r>
      <w:r>
        <w:rPr>
          <w:rFonts w:hint="eastAsia" w:ascii="仿宋" w:hAnsi="仿宋" w:eastAsia="仿宋" w:cs="仿宋"/>
          <w:bCs/>
          <w:color w:val="auto"/>
          <w:sz w:val="28"/>
          <w:szCs w:val="28"/>
          <w:highlight w:val="none"/>
        </w:rPr>
        <w:t>日</w:t>
      </w:r>
    </w:p>
    <w:p w14:paraId="690980C3">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08202D25">
      <w:pPr>
        <w:pStyle w:val="3"/>
        <w:spacing w:before="120" w:beforeLines="50" w:after="120" w:afterLines="50" w:line="560" w:lineRule="exact"/>
        <w:jc w:val="center"/>
        <w:rPr>
          <w:rFonts w:ascii="宋体" w:hAnsi="宋体" w:eastAsia="宋体" w:cs="宋体"/>
          <w:color w:val="auto"/>
          <w:sz w:val="28"/>
          <w:szCs w:val="28"/>
          <w:highlight w:val="none"/>
        </w:rPr>
      </w:pPr>
      <w:bookmarkStart w:id="62" w:name="_Toc30607"/>
      <w:r>
        <w:rPr>
          <w:rFonts w:hint="eastAsia" w:ascii="宋体" w:hAnsi="宋体" w:eastAsia="宋体" w:cs="宋体"/>
          <w:color w:val="auto"/>
          <w:sz w:val="28"/>
          <w:szCs w:val="28"/>
          <w:highlight w:val="none"/>
        </w:rPr>
        <w:t>一、供应商须知</w:t>
      </w:r>
      <w:bookmarkEnd w:id="0"/>
      <w:bookmarkEnd w:id="1"/>
      <w:bookmarkEnd w:id="62"/>
    </w:p>
    <w:p w14:paraId="07A15EFE">
      <w:pPr>
        <w:pStyle w:val="3"/>
        <w:spacing w:before="0" w:after="0" w:line="560" w:lineRule="exact"/>
        <w:jc w:val="center"/>
        <w:rPr>
          <w:rFonts w:ascii="宋体" w:hAnsi="宋体" w:eastAsia="宋体" w:cs="宋体"/>
          <w:color w:val="auto"/>
          <w:sz w:val="24"/>
          <w:szCs w:val="24"/>
          <w:highlight w:val="none"/>
        </w:rPr>
      </w:pPr>
      <w:bookmarkStart w:id="63" w:name="_Toc22025"/>
      <w:r>
        <w:rPr>
          <w:rFonts w:hint="eastAsia" w:ascii="宋体" w:hAnsi="宋体" w:eastAsia="宋体" w:cs="宋体"/>
          <w:color w:val="auto"/>
          <w:sz w:val="24"/>
          <w:szCs w:val="24"/>
          <w:highlight w:val="none"/>
        </w:rPr>
        <w:t>（一）须知前附表</w:t>
      </w:r>
      <w:bookmarkEnd w:id="63"/>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322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CEF011D">
            <w:pPr>
              <w:spacing w:line="440" w:lineRule="exact"/>
              <w:jc w:val="center"/>
              <w:rPr>
                <w:rFonts w:ascii="宋体" w:hAnsi="宋体"/>
                <w:b/>
                <w:color w:val="auto"/>
                <w:sz w:val="24"/>
                <w:szCs w:val="24"/>
                <w:highlight w:val="none"/>
              </w:rPr>
            </w:pPr>
            <w:bookmarkStart w:id="64" w:name="_Toc438107743"/>
            <w:bookmarkStart w:id="65" w:name="_Toc363199267"/>
            <w:bookmarkStart w:id="66" w:name="_Toc216158627"/>
            <w:r>
              <w:rPr>
                <w:rFonts w:hint="eastAsia" w:ascii="宋体" w:hAnsi="宋体"/>
                <w:b/>
                <w:color w:val="auto"/>
                <w:sz w:val="24"/>
                <w:szCs w:val="24"/>
                <w:highlight w:val="none"/>
              </w:rPr>
              <w:t>序号</w:t>
            </w:r>
          </w:p>
        </w:tc>
        <w:tc>
          <w:tcPr>
            <w:tcW w:w="1502" w:type="dxa"/>
            <w:vAlign w:val="center"/>
          </w:tcPr>
          <w:p w14:paraId="4F004979">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7541542A">
            <w:pPr>
              <w:pStyle w:val="91"/>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3EF6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0E9AC28">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1FA20BC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2A6B1195">
            <w:pPr>
              <w:spacing w:line="440" w:lineRule="exact"/>
              <w:rPr>
                <w:color w:val="auto"/>
                <w:sz w:val="24"/>
                <w:szCs w:val="24"/>
                <w:highlight w:val="none"/>
              </w:rPr>
            </w:pPr>
            <w:r>
              <w:rPr>
                <w:rFonts w:hint="eastAsia"/>
                <w:color w:val="auto"/>
                <w:sz w:val="24"/>
                <w:szCs w:val="24"/>
                <w:highlight w:val="none"/>
              </w:rPr>
              <w:t>六安市叶集区人民医院（六安市第六人民医院）</w:t>
            </w:r>
          </w:p>
        </w:tc>
      </w:tr>
      <w:tr w14:paraId="3438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27CE2E8">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2</w:t>
            </w:r>
          </w:p>
        </w:tc>
        <w:tc>
          <w:tcPr>
            <w:tcW w:w="1502" w:type="dxa"/>
            <w:vAlign w:val="center"/>
          </w:tcPr>
          <w:p w14:paraId="70687C0A">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有效期</w:t>
            </w:r>
          </w:p>
        </w:tc>
        <w:tc>
          <w:tcPr>
            <w:tcW w:w="7308" w:type="dxa"/>
            <w:vAlign w:val="center"/>
          </w:tcPr>
          <w:p w14:paraId="17B239E6">
            <w:pPr>
              <w:pStyle w:val="91"/>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3A7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53236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3</w:t>
            </w:r>
          </w:p>
        </w:tc>
        <w:tc>
          <w:tcPr>
            <w:tcW w:w="1502" w:type="dxa"/>
            <w:vAlign w:val="center"/>
          </w:tcPr>
          <w:p w14:paraId="54FCD37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项目类型</w:t>
            </w:r>
          </w:p>
        </w:tc>
        <w:tc>
          <w:tcPr>
            <w:tcW w:w="7308" w:type="dxa"/>
            <w:vAlign w:val="center"/>
          </w:tcPr>
          <w:p w14:paraId="323E2DB4">
            <w:pPr>
              <w:pStyle w:val="91"/>
              <w:widowControl w:val="0"/>
              <w:spacing w:before="0" w:beforeAutospacing="0" w:after="0" w:afterAutospacing="0" w:line="440" w:lineRule="exact"/>
              <w:jc w:val="both"/>
              <w:rPr>
                <w:rFonts w:hint="eastAsia" w:eastAsia="宋体"/>
                <w:b w:val="0"/>
                <w:bCs w:val="0"/>
                <w:color w:val="auto"/>
                <w:sz w:val="24"/>
                <w:szCs w:val="24"/>
                <w:highlight w:val="none"/>
                <w:lang w:eastAsia="zh-CN"/>
              </w:rPr>
            </w:pPr>
            <w:r>
              <w:rPr>
                <w:rFonts w:hint="eastAsia"/>
                <w:b w:val="0"/>
                <w:bCs w:val="0"/>
                <w:color w:val="auto"/>
                <w:sz w:val="24"/>
                <w:szCs w:val="24"/>
                <w:highlight w:val="none"/>
                <w:lang w:val="en-US" w:eastAsia="zh-CN"/>
              </w:rPr>
              <w:t>货物</w:t>
            </w:r>
            <w:r>
              <w:rPr>
                <w:rFonts w:hint="eastAsia"/>
                <w:b w:val="0"/>
                <w:bCs w:val="0"/>
                <w:color w:val="auto"/>
                <w:sz w:val="24"/>
                <w:szCs w:val="24"/>
                <w:highlight w:val="none"/>
                <w:lang w:eastAsia="zh-CN"/>
              </w:rPr>
              <w:t>类</w:t>
            </w:r>
          </w:p>
        </w:tc>
      </w:tr>
      <w:tr w14:paraId="7BEE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2D2A9C8">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502" w:type="dxa"/>
            <w:vAlign w:val="center"/>
          </w:tcPr>
          <w:p w14:paraId="2C5C7568">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5D69A975">
            <w:pPr>
              <w:pStyle w:val="91"/>
              <w:widowControl w:val="0"/>
              <w:spacing w:before="0" w:beforeAutospacing="0" w:after="0" w:afterAutospacing="0" w:line="440" w:lineRule="exact"/>
              <w:jc w:val="both"/>
              <w:rPr>
                <w:color w:val="auto"/>
                <w:sz w:val="24"/>
                <w:szCs w:val="24"/>
                <w:highlight w:val="none"/>
              </w:rPr>
            </w:pPr>
            <w:r>
              <w:rPr>
                <w:rFonts w:hint="eastAsia"/>
                <w:b w:val="0"/>
                <w:bCs w:val="0"/>
                <w:color w:val="auto"/>
                <w:sz w:val="24"/>
                <w:szCs w:val="24"/>
                <w:highlight w:val="none"/>
                <w:lang w:eastAsia="zh-CN"/>
              </w:rPr>
              <w:t>叶集区人民医院(市六院)征兵体检硬件设备采购项目</w:t>
            </w:r>
          </w:p>
        </w:tc>
      </w:tr>
      <w:tr w14:paraId="3C03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7992AF46">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502" w:type="dxa"/>
            <w:vAlign w:val="center"/>
          </w:tcPr>
          <w:p w14:paraId="6279A7C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1E40DFDA">
            <w:pPr>
              <w:pStyle w:val="91"/>
              <w:widowControl w:val="0"/>
              <w:spacing w:before="0" w:beforeAutospacing="0" w:after="0" w:afterAutospacing="0" w:line="440" w:lineRule="exact"/>
              <w:jc w:val="both"/>
              <w:rPr>
                <w:rFonts w:hint="default" w:eastAsia="宋体"/>
                <w:color w:val="auto"/>
                <w:sz w:val="24"/>
                <w:szCs w:val="24"/>
                <w:highlight w:val="none"/>
                <w:lang w:val="en-US" w:eastAsia="zh-CN"/>
              </w:rPr>
            </w:pPr>
            <w:r>
              <w:rPr>
                <w:rFonts w:hint="eastAsia"/>
                <w:b w:val="0"/>
                <w:bCs w:val="0"/>
                <w:color w:val="auto"/>
                <w:sz w:val="24"/>
                <w:szCs w:val="24"/>
                <w:highlight w:val="none"/>
                <w:lang w:val="en-US" w:eastAsia="zh-CN"/>
              </w:rPr>
              <w:t>LASYJQRMYY-XXK2026-11</w:t>
            </w:r>
          </w:p>
        </w:tc>
      </w:tr>
      <w:tr w14:paraId="1F78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14:paraId="43C57DD2">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502" w:type="dxa"/>
            <w:vAlign w:val="center"/>
          </w:tcPr>
          <w:p w14:paraId="3ADDF3BA">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7D099FB5">
            <w:pPr>
              <w:spacing w:line="440" w:lineRule="exact"/>
              <w:jc w:val="both"/>
              <w:rPr>
                <w:rFonts w:ascii="宋体" w:cs="宋体"/>
                <w:bCs/>
                <w:color w:val="auto"/>
                <w:sz w:val="24"/>
                <w:szCs w:val="24"/>
                <w:highlight w:val="none"/>
              </w:rPr>
            </w:pPr>
            <w:r>
              <w:rPr>
                <w:rFonts w:hint="eastAsia" w:ascii="宋体" w:cs="宋体"/>
                <w:bCs/>
                <w:color w:val="auto"/>
                <w:sz w:val="24"/>
                <w:szCs w:val="24"/>
                <w:highlight w:val="none"/>
              </w:rPr>
              <w:t>供货安装及调试验收合格后付至合同总价的100%。</w:t>
            </w:r>
          </w:p>
          <w:p w14:paraId="5C0B217F">
            <w:pPr>
              <w:pStyle w:val="91"/>
              <w:widowControl w:val="0"/>
              <w:spacing w:before="0" w:beforeAutospacing="0" w:after="0" w:afterAutospacing="0" w:line="440" w:lineRule="exact"/>
              <w:jc w:val="both"/>
              <w:rPr>
                <w:rFonts w:ascii="黑体" w:hAnsi="黑体" w:eastAsia="黑体" w:cs="黑体"/>
                <w:b w:val="0"/>
                <w:bCs w:val="0"/>
                <w:color w:val="auto"/>
                <w:sz w:val="24"/>
                <w:szCs w:val="24"/>
                <w:highlight w:val="none"/>
              </w:rPr>
            </w:pPr>
            <w:r>
              <w:rPr>
                <w:rFonts w:hint="eastAsia" w:cs="宋体"/>
                <w:color w:val="auto"/>
                <w:sz w:val="24"/>
                <w:szCs w:val="24"/>
                <w:highlight w:val="none"/>
              </w:rPr>
              <w:t>（供应商提交的响应文件中如有关于付款条件的表述与</w:t>
            </w:r>
            <w:r>
              <w:rPr>
                <w:rFonts w:hint="eastAsia" w:cs="宋体"/>
                <w:color w:val="auto"/>
                <w:sz w:val="24"/>
                <w:szCs w:val="24"/>
                <w:highlight w:val="none"/>
                <w:lang w:eastAsia="zh-CN"/>
              </w:rPr>
              <w:t>竞争性谈判</w:t>
            </w:r>
            <w:r>
              <w:rPr>
                <w:rFonts w:hint="eastAsia" w:cs="宋体"/>
                <w:color w:val="auto"/>
                <w:sz w:val="24"/>
                <w:szCs w:val="24"/>
                <w:highlight w:val="none"/>
              </w:rPr>
              <w:t>文件规定不符，将被视为实质性不响应，将导致响应无效）</w:t>
            </w:r>
          </w:p>
        </w:tc>
      </w:tr>
      <w:tr w14:paraId="603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0154041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502" w:type="dxa"/>
            <w:vAlign w:val="center"/>
          </w:tcPr>
          <w:p w14:paraId="0CBF6E6F">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52A7C187">
            <w:pPr>
              <w:pStyle w:val="35"/>
              <w:ind w:firstLine="0"/>
              <w:rPr>
                <w:rFonts w:hint="default" w:eastAsia="宋体"/>
                <w:color w:val="auto"/>
                <w:highlight w:val="none"/>
                <w:lang w:val="en-US" w:eastAsia="zh-CN"/>
              </w:rPr>
            </w:pPr>
            <w:r>
              <w:rPr>
                <w:rFonts w:hint="eastAsia"/>
                <w:color w:val="auto"/>
                <w:highlight w:val="none"/>
                <w:lang w:val="en-US" w:eastAsia="zh-CN"/>
              </w:rPr>
              <w:t>本项目无需提供</w:t>
            </w:r>
          </w:p>
        </w:tc>
      </w:tr>
      <w:tr w14:paraId="0E76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74585B6E">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8</w:t>
            </w:r>
          </w:p>
        </w:tc>
        <w:tc>
          <w:tcPr>
            <w:tcW w:w="1502" w:type="dxa"/>
            <w:vAlign w:val="center"/>
          </w:tcPr>
          <w:p w14:paraId="75D1964B">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36D16BF0">
            <w:pPr>
              <w:pStyle w:val="8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06D4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073C4D3B">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9</w:t>
            </w:r>
          </w:p>
        </w:tc>
        <w:tc>
          <w:tcPr>
            <w:tcW w:w="1502" w:type="dxa"/>
            <w:vAlign w:val="center"/>
          </w:tcPr>
          <w:p w14:paraId="56D87475">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70770CCB">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供应商若对</w:t>
            </w:r>
            <w:r>
              <w:rPr>
                <w:rFonts w:hint="eastAsia" w:ascii="宋体" w:hAnsi="宋体"/>
                <w:bCs/>
                <w:color w:val="auto"/>
                <w:kern w:val="2"/>
                <w:szCs w:val="24"/>
                <w:highlight w:val="none"/>
                <w:lang w:val="en-US" w:eastAsia="zh-CN"/>
              </w:rPr>
              <w:t>竞争性谈判文件</w:t>
            </w:r>
            <w:r>
              <w:rPr>
                <w:rFonts w:hint="eastAsia" w:ascii="宋体" w:hAnsi="宋体"/>
                <w:bCs/>
                <w:color w:val="auto"/>
                <w:kern w:val="2"/>
                <w:szCs w:val="24"/>
                <w:highlight w:val="none"/>
              </w:rPr>
              <w:t>有关内容存在理解障碍，或认为</w:t>
            </w:r>
            <w:r>
              <w:rPr>
                <w:rFonts w:hint="eastAsia" w:ascii="宋体" w:hAnsi="宋体"/>
                <w:bCs/>
                <w:color w:val="auto"/>
                <w:kern w:val="2"/>
                <w:szCs w:val="24"/>
                <w:highlight w:val="none"/>
                <w:lang w:val="en-US" w:eastAsia="zh-CN"/>
              </w:rPr>
              <w:t>竞争性谈判文件</w:t>
            </w:r>
            <w:r>
              <w:rPr>
                <w:rFonts w:hint="eastAsia" w:ascii="宋体" w:hAnsi="宋体"/>
                <w:bCs/>
                <w:color w:val="auto"/>
                <w:kern w:val="2"/>
                <w:szCs w:val="24"/>
                <w:highlight w:val="none"/>
              </w:rPr>
              <w:t>表述有模糊不清之处，可通过</w:t>
            </w:r>
            <w:r>
              <w:rPr>
                <w:rFonts w:hint="eastAsia" w:ascii="宋体" w:hAnsi="宋体"/>
                <w:bCs/>
                <w:color w:val="auto"/>
                <w:kern w:val="2"/>
                <w:szCs w:val="24"/>
                <w:highlight w:val="none"/>
                <w:lang w:val="en-US"/>
              </w:rPr>
              <w:t>电话</w:t>
            </w:r>
            <w:r>
              <w:rPr>
                <w:rFonts w:hint="eastAsia" w:ascii="宋体" w:hAnsi="宋体"/>
                <w:bCs/>
                <w:color w:val="auto"/>
                <w:kern w:val="2"/>
                <w:szCs w:val="24"/>
                <w:highlight w:val="none"/>
              </w:rPr>
              <w:t>向采购人在线提出，采购人收到供应商提问后将及时通过</w:t>
            </w:r>
            <w:r>
              <w:rPr>
                <w:rFonts w:hint="eastAsia" w:ascii="宋体" w:hAnsi="宋体"/>
                <w:bCs/>
                <w:color w:val="auto"/>
                <w:kern w:val="2"/>
                <w:szCs w:val="24"/>
                <w:highlight w:val="none"/>
                <w:lang w:val="en-US"/>
              </w:rPr>
              <w:t>电话</w:t>
            </w:r>
            <w:r>
              <w:rPr>
                <w:rFonts w:hint="eastAsia" w:ascii="宋体" w:hAnsi="宋体"/>
                <w:bCs/>
                <w:color w:val="auto"/>
                <w:kern w:val="2"/>
                <w:szCs w:val="24"/>
                <w:highlight w:val="none"/>
              </w:rPr>
              <w:t>回复。该渠道仅接受关于项目的一般性疑问</w:t>
            </w:r>
            <w:r>
              <w:rPr>
                <w:rFonts w:hint="eastAsia" w:ascii="宋体" w:hAnsi="宋体"/>
                <w:b/>
                <w:color w:val="auto"/>
                <w:kern w:val="2"/>
                <w:szCs w:val="24"/>
                <w:highlight w:val="none"/>
              </w:rPr>
              <w:t>（非质疑）</w:t>
            </w:r>
            <w:r>
              <w:rPr>
                <w:rFonts w:hint="eastAsia" w:ascii="宋体" w:hAnsi="宋体"/>
                <w:bCs/>
                <w:color w:val="auto"/>
                <w:kern w:val="2"/>
                <w:szCs w:val="24"/>
                <w:highlight w:val="none"/>
              </w:rPr>
              <w:t>，供应商提问时应当隐藏自身信息，直接提出针对项目的相关疑问即可。</w:t>
            </w:r>
          </w:p>
        </w:tc>
      </w:tr>
      <w:tr w14:paraId="28A8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57DE4BA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0</w:t>
            </w:r>
          </w:p>
        </w:tc>
        <w:tc>
          <w:tcPr>
            <w:tcW w:w="1502" w:type="dxa"/>
            <w:vAlign w:val="center"/>
          </w:tcPr>
          <w:p w14:paraId="60446126">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26ED5492">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供应商若对</w:t>
            </w:r>
            <w:r>
              <w:rPr>
                <w:rFonts w:hint="eastAsia" w:ascii="宋体" w:hAnsi="宋体"/>
                <w:bCs/>
                <w:color w:val="auto"/>
                <w:kern w:val="2"/>
                <w:szCs w:val="24"/>
                <w:highlight w:val="none"/>
                <w:lang w:eastAsia="zh-CN"/>
              </w:rPr>
              <w:t>竞争性谈判文件</w:t>
            </w:r>
            <w:r>
              <w:rPr>
                <w:rFonts w:hint="eastAsia" w:ascii="宋体" w:hAnsi="宋体"/>
                <w:bCs/>
                <w:color w:val="auto"/>
                <w:kern w:val="2"/>
                <w:szCs w:val="24"/>
                <w:highlight w:val="none"/>
              </w:rPr>
              <w:t>有关内容存在质疑，可在</w:t>
            </w:r>
            <w:r>
              <w:rPr>
                <w:rFonts w:hint="eastAsia" w:ascii="宋体" w:hAnsi="宋体"/>
                <w:bCs/>
                <w:color w:val="auto"/>
                <w:kern w:val="2"/>
                <w:szCs w:val="24"/>
                <w:highlight w:val="none"/>
                <w:lang w:val="en-US"/>
              </w:rPr>
              <w:t>法定质疑时限内</w:t>
            </w:r>
            <w:r>
              <w:rPr>
                <w:rFonts w:hint="eastAsia" w:ascii="宋体" w:hAnsi="宋体"/>
                <w:bCs/>
                <w:color w:val="auto"/>
                <w:kern w:val="2"/>
                <w:szCs w:val="24"/>
                <w:highlight w:val="none"/>
              </w:rPr>
              <w:t>通过</w:t>
            </w:r>
            <w:r>
              <w:rPr>
                <w:rFonts w:hint="eastAsia" w:ascii="宋体" w:hAnsi="宋体"/>
                <w:bCs/>
                <w:color w:val="auto"/>
                <w:kern w:val="2"/>
                <w:szCs w:val="24"/>
                <w:highlight w:val="none"/>
                <w:lang w:val="en-US"/>
              </w:rPr>
              <w:t>以书面形式在工作时间向采购人提出质疑，</w:t>
            </w:r>
            <w:r>
              <w:rPr>
                <w:rFonts w:hint="eastAsia" w:ascii="宋体" w:hAnsi="宋体"/>
                <w:bCs/>
                <w:color w:val="auto"/>
                <w:kern w:val="2"/>
                <w:szCs w:val="24"/>
                <w:highlight w:val="none"/>
              </w:rPr>
              <w:t>质疑文件须</w:t>
            </w:r>
            <w:r>
              <w:rPr>
                <w:rFonts w:hint="eastAsia" w:ascii="宋体" w:hAnsi="宋体"/>
                <w:bCs/>
                <w:color w:val="auto"/>
                <w:kern w:val="2"/>
                <w:szCs w:val="24"/>
                <w:highlight w:val="none"/>
                <w:lang w:val="en-US" w:eastAsia="zh-CN"/>
              </w:rPr>
              <w:t>参照</w:t>
            </w:r>
            <w:r>
              <w:rPr>
                <w:rFonts w:hint="eastAsia" w:ascii="宋体" w:hAnsi="宋体"/>
                <w:bCs/>
                <w:color w:val="auto"/>
                <w:kern w:val="2"/>
                <w:szCs w:val="24"/>
                <w:highlight w:val="none"/>
              </w:rPr>
              <w:t>《政府采购质疑和投诉办法》（财政部令第94号）规定的要求制作，质疑文件不可匿名，须以附件形式加盖质疑人</w:t>
            </w:r>
            <w:r>
              <w:rPr>
                <w:rFonts w:hint="eastAsia" w:ascii="宋体" w:hAnsi="宋体"/>
                <w:bCs/>
                <w:color w:val="auto"/>
                <w:kern w:val="2"/>
                <w:szCs w:val="24"/>
                <w:highlight w:val="none"/>
                <w:lang w:val="en-US"/>
              </w:rPr>
              <w:t>公章</w:t>
            </w:r>
            <w:r>
              <w:rPr>
                <w:rFonts w:hint="eastAsia" w:ascii="宋体" w:hAnsi="宋体"/>
                <w:bCs/>
                <w:color w:val="auto"/>
                <w:kern w:val="2"/>
                <w:szCs w:val="24"/>
                <w:highlight w:val="none"/>
              </w:rPr>
              <w:t>后</w:t>
            </w:r>
            <w:r>
              <w:rPr>
                <w:rFonts w:hint="eastAsia" w:ascii="宋体" w:hAnsi="宋体"/>
                <w:bCs/>
                <w:color w:val="auto"/>
                <w:kern w:val="2"/>
                <w:szCs w:val="24"/>
                <w:highlight w:val="none"/>
                <w:lang w:val="en-US"/>
              </w:rPr>
              <w:t>邮寄递交给采购机构</w:t>
            </w:r>
            <w:r>
              <w:rPr>
                <w:rFonts w:hint="eastAsia" w:ascii="宋体" w:hAnsi="宋体"/>
                <w:bCs/>
                <w:color w:val="auto"/>
                <w:kern w:val="2"/>
                <w:szCs w:val="24"/>
                <w:highlight w:val="none"/>
              </w:rPr>
              <w:t>。</w:t>
            </w:r>
          </w:p>
          <w:p w14:paraId="350D56D1">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2</w:t>
            </w:r>
            <w:r>
              <w:rPr>
                <w:rFonts w:hint="eastAsia" w:ascii="宋体" w:hAnsi="宋体"/>
                <w:bCs/>
                <w:color w:val="auto"/>
                <w:kern w:val="2"/>
                <w:szCs w:val="24"/>
                <w:highlight w:val="none"/>
              </w:rPr>
              <w:t>、请各潜在供应商在响应截止时间前</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务必登录</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六安市叶集区人民医院</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六安市第六人民医院</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官网</w:t>
            </w:r>
            <w:r>
              <w:rPr>
                <w:rFonts w:hint="eastAsia" w:ascii="宋体" w:hAnsi="宋体"/>
                <w:bCs/>
                <w:color w:val="auto"/>
                <w:kern w:val="2"/>
                <w:szCs w:val="24"/>
                <w:highlight w:val="none"/>
                <w:lang w:val="en-US"/>
              </w:rPr>
              <w:t>（http://www.lasdlrmyy.cn/）”，</w:t>
            </w:r>
            <w:r>
              <w:rPr>
                <w:rFonts w:hint="eastAsia" w:ascii="宋体" w:hAnsi="宋体"/>
                <w:bCs/>
                <w:color w:val="auto"/>
                <w:kern w:val="2"/>
                <w:szCs w:val="24"/>
                <w:highlight w:val="none"/>
              </w:rPr>
              <w:t>查看是否发布有关项目更正公告</w:t>
            </w:r>
            <w:r>
              <w:rPr>
                <w:rFonts w:hint="eastAsia" w:ascii="宋体" w:hAnsi="宋体"/>
                <w:bCs/>
                <w:color w:val="auto"/>
                <w:kern w:val="2"/>
                <w:szCs w:val="24"/>
                <w:highlight w:val="none"/>
                <w:lang w:val="en-US"/>
              </w:rPr>
              <w:t>及澄清</w:t>
            </w:r>
            <w:r>
              <w:rPr>
                <w:rFonts w:hint="eastAsia" w:ascii="宋体" w:hAnsi="宋体"/>
                <w:bCs/>
                <w:color w:val="auto"/>
                <w:kern w:val="2"/>
                <w:szCs w:val="24"/>
                <w:highlight w:val="none"/>
              </w:rPr>
              <w:t>。更正公告及澄清为</w:t>
            </w:r>
            <w:r>
              <w:rPr>
                <w:rFonts w:hint="eastAsia" w:ascii="宋体" w:hAnsi="宋体"/>
                <w:bCs/>
                <w:color w:val="auto"/>
                <w:kern w:val="2"/>
                <w:szCs w:val="24"/>
                <w:highlight w:val="none"/>
                <w:lang w:eastAsia="zh-CN"/>
              </w:rPr>
              <w:t>竞争性谈判文件</w:t>
            </w:r>
            <w:r>
              <w:rPr>
                <w:rFonts w:hint="eastAsia" w:ascii="宋体" w:hAnsi="宋体"/>
                <w:bCs/>
                <w:color w:val="auto"/>
                <w:kern w:val="2"/>
                <w:szCs w:val="24"/>
                <w:highlight w:val="none"/>
              </w:rPr>
              <w:t>的有效组成部分，一经发布即为视同已通知所有潜在供应商，若因未及时关注而造成的一切后果，由供应商自行承担。</w:t>
            </w:r>
          </w:p>
        </w:tc>
      </w:tr>
      <w:tr w14:paraId="1D1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41202A1">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502" w:type="dxa"/>
            <w:vAlign w:val="center"/>
          </w:tcPr>
          <w:p w14:paraId="5264FDC7">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191D12CF">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rPr>
              <w:t>共3份（</w:t>
            </w:r>
            <w:r>
              <w:rPr>
                <w:rFonts w:hint="eastAsia" w:ascii="宋体" w:hAnsi="宋体"/>
                <w:bCs/>
                <w:color w:val="auto"/>
                <w:kern w:val="2"/>
                <w:szCs w:val="24"/>
                <w:highlight w:val="none"/>
              </w:rPr>
              <w:t>正本1份、副本</w:t>
            </w:r>
            <w:r>
              <w:rPr>
                <w:rFonts w:hint="eastAsia" w:ascii="宋体" w:hAnsi="宋体"/>
                <w:bCs/>
                <w:color w:val="auto"/>
                <w:kern w:val="2"/>
                <w:szCs w:val="24"/>
                <w:highlight w:val="none"/>
                <w:lang w:val="en-US"/>
              </w:rPr>
              <w:t>2</w:t>
            </w:r>
            <w:r>
              <w:rPr>
                <w:rFonts w:hint="eastAsia" w:ascii="宋体" w:hAnsi="宋体"/>
                <w:bCs/>
                <w:color w:val="auto"/>
                <w:kern w:val="2"/>
                <w:szCs w:val="24"/>
                <w:highlight w:val="none"/>
              </w:rPr>
              <w:t>份）；胶装成册、密封</w:t>
            </w:r>
            <w:r>
              <w:rPr>
                <w:rFonts w:hint="eastAsia" w:ascii="宋体" w:hAnsi="宋体"/>
                <w:bCs/>
                <w:color w:val="auto"/>
                <w:kern w:val="2"/>
                <w:szCs w:val="24"/>
                <w:highlight w:val="none"/>
                <w:lang w:val="en-US"/>
              </w:rPr>
              <w:t>递交</w:t>
            </w:r>
            <w:r>
              <w:rPr>
                <w:rFonts w:hint="eastAsia" w:ascii="宋体" w:hAnsi="宋体"/>
                <w:bCs/>
                <w:color w:val="auto"/>
                <w:kern w:val="2"/>
                <w:szCs w:val="24"/>
                <w:highlight w:val="none"/>
              </w:rPr>
              <w:t>。</w:t>
            </w:r>
          </w:p>
        </w:tc>
      </w:tr>
      <w:tr w14:paraId="7400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F8C7969">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502" w:type="dxa"/>
            <w:vAlign w:val="center"/>
          </w:tcPr>
          <w:p w14:paraId="744C2D6D">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3BD88543">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响应文件必须在响应文件递交及开启时间截止前在</w:t>
            </w:r>
            <w:r>
              <w:rPr>
                <w:rFonts w:hint="eastAsia" w:ascii="宋体" w:hAnsi="宋体"/>
                <w:bCs/>
                <w:color w:val="auto"/>
                <w:kern w:val="2"/>
                <w:szCs w:val="24"/>
                <w:highlight w:val="none"/>
                <w:lang w:val="en-US"/>
              </w:rPr>
              <w:t>采购</w:t>
            </w:r>
            <w:r>
              <w:rPr>
                <w:rFonts w:hint="eastAsia" w:ascii="宋体" w:hAnsi="宋体"/>
                <w:bCs/>
                <w:color w:val="auto"/>
                <w:kern w:val="2"/>
                <w:szCs w:val="24"/>
                <w:highlight w:val="none"/>
              </w:rPr>
              <w:t>公告中明确的递交地点现场递交，否则不予接收。</w:t>
            </w:r>
          </w:p>
        </w:tc>
      </w:tr>
      <w:tr w14:paraId="7D73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774FF3AF">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502" w:type="dxa"/>
            <w:vAlign w:val="center"/>
          </w:tcPr>
          <w:p w14:paraId="5646760D">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w:t>
            </w:r>
          </w:p>
        </w:tc>
        <w:tc>
          <w:tcPr>
            <w:tcW w:w="7308" w:type="dxa"/>
            <w:vAlign w:val="center"/>
          </w:tcPr>
          <w:p w14:paraId="0245DB21">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6DFB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35C8A7FA">
            <w:pPr>
              <w:pStyle w:val="89"/>
              <w:pBdr>
                <w:bottom w:val="none" w:color="auto" w:sz="0" w:space="0"/>
              </w:pBdr>
              <w:tabs>
                <w:tab w:val="clear" w:pos="4153"/>
                <w:tab w:val="clear" w:pos="8306"/>
              </w:tabs>
              <w:adjustRightInd/>
              <w:spacing w:line="440" w:lineRule="exact"/>
              <w:textAlignment w:val="auto"/>
              <w:rPr>
                <w:rFonts w:hint="default" w:ascii="宋体" w:hAnsi="宋体"/>
                <w:b/>
                <w:color w:val="auto"/>
                <w:kern w:val="2"/>
                <w:szCs w:val="24"/>
                <w:highlight w:val="none"/>
                <w:lang w:val="en-US" w:eastAsia="zh-CN"/>
              </w:rPr>
            </w:pPr>
            <w:bookmarkStart w:id="67" w:name="_Toc28011"/>
            <w:r>
              <w:rPr>
                <w:rFonts w:hint="eastAsia" w:ascii="宋体" w:hAnsi="宋体"/>
                <w:b/>
                <w:color w:val="auto"/>
                <w:kern w:val="2"/>
                <w:szCs w:val="24"/>
                <w:highlight w:val="none"/>
                <w:lang w:val="en-US" w:eastAsia="zh-CN"/>
              </w:rPr>
              <w:t>14</w:t>
            </w:r>
          </w:p>
        </w:tc>
        <w:tc>
          <w:tcPr>
            <w:tcW w:w="1502" w:type="dxa"/>
            <w:vAlign w:val="center"/>
          </w:tcPr>
          <w:p w14:paraId="6CD49632">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textAlignment w:val="auto"/>
              <w:rPr>
                <w:rFonts w:hint="eastAsia" w:ascii="宋体" w:hAnsi="宋体"/>
                <w:bCs/>
                <w:color w:val="auto"/>
                <w:kern w:val="2"/>
                <w:szCs w:val="24"/>
                <w:highlight w:val="none"/>
              </w:rPr>
            </w:pPr>
            <w:r>
              <w:rPr>
                <w:rFonts w:hint="eastAsia" w:ascii="Times New Roman" w:hAnsi="Times New Roman"/>
                <w:color w:val="auto"/>
                <w:highlight w:val="none"/>
                <w:lang w:val="en-US" w:eastAsia="zh-CN"/>
              </w:rPr>
              <w:t>异常低价响应审查</w:t>
            </w:r>
          </w:p>
        </w:tc>
        <w:tc>
          <w:tcPr>
            <w:tcW w:w="7308" w:type="dxa"/>
            <w:vAlign w:val="center"/>
          </w:tcPr>
          <w:p w14:paraId="7D623D53">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参照</w:t>
            </w:r>
            <w:r>
              <w:rPr>
                <w:rFonts w:hint="eastAsia" w:ascii="宋体" w:hAnsi="宋体" w:eastAsia="宋体" w:cs="宋体"/>
                <w:color w:val="auto"/>
                <w:highlight w:val="none"/>
                <w:lang w:val="en-US" w:eastAsia="zh-CN"/>
              </w:rPr>
              <w:t>财政部《关于推动解决政府采购异常低价问题的通知》（财库〔2026〕2号），评审中出现下列情形之一的，</w:t>
            </w:r>
            <w:r>
              <w:rPr>
                <w:rFonts w:hint="eastAsia" w:ascii="宋体" w:hAnsi="宋体" w:cs="宋体"/>
                <w:color w:val="auto"/>
                <w:highlight w:val="none"/>
                <w:lang w:val="en-US" w:eastAsia="zh-CN"/>
              </w:rPr>
              <w:t>谈判小组</w:t>
            </w:r>
            <w:r>
              <w:rPr>
                <w:rFonts w:hint="eastAsia" w:ascii="宋体" w:hAnsi="宋体" w:eastAsia="宋体" w:cs="宋体"/>
                <w:color w:val="auto"/>
                <w:highlight w:val="none"/>
                <w:lang w:val="en-US" w:eastAsia="zh-CN"/>
              </w:rPr>
              <w:t>应当启动异常低价</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审查程序：</w:t>
            </w:r>
          </w:p>
          <w:p w14:paraId="1F9B086D">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2F7E5C07">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1937501E">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%；（比例范围：45%-65%）</w:t>
            </w:r>
          </w:p>
          <w:p w14:paraId="6DD25B19">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4.谈判小组基于专业判断，认为供应商报价过低，有可能影响产品质量或者不能诚信履约的其他情形。</w:t>
            </w:r>
          </w:p>
          <w:p w14:paraId="675CF307">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注：以上比例由采购人根据项目特点及要求自行填写。</w:t>
            </w:r>
          </w:p>
          <w:p w14:paraId="024C9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2CC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leftChars="0" w:right="0" w:rightChars="0" w:firstLine="360" w:firstLineChars="150"/>
              <w:jc w:val="both"/>
              <w:textAlignment w:val="auto"/>
              <w:rPr>
                <w:rFonts w:hint="eastAsia" w:ascii="宋体" w:hAnsi="宋体"/>
                <w:bCs/>
                <w:color w:val="auto"/>
                <w:kern w:val="2"/>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bl>
    <w:p w14:paraId="5B02480C">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color w:val="auto"/>
          <w:sz w:val="24"/>
          <w:szCs w:val="16"/>
          <w:highlight w:val="none"/>
        </w:rPr>
      </w:pPr>
    </w:p>
    <w:p w14:paraId="7B16FD4B">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color w:val="auto"/>
          <w:sz w:val="24"/>
          <w:szCs w:val="16"/>
          <w:highlight w:val="none"/>
        </w:rPr>
      </w:pPr>
      <w:r>
        <w:rPr>
          <w:rFonts w:hint="eastAsia" w:ascii="宋体" w:hAnsi="宋体" w:eastAsia="宋体" w:cs="宋体"/>
          <w:color w:val="auto"/>
          <w:sz w:val="24"/>
          <w:szCs w:val="16"/>
          <w:highlight w:val="none"/>
        </w:rPr>
        <w:t>（二）供应商资格</w:t>
      </w:r>
      <w:bookmarkEnd w:id="67"/>
    </w:p>
    <w:bookmarkEnd w:id="64"/>
    <w:p w14:paraId="02A56697">
      <w:pPr>
        <w:pStyle w:val="35"/>
        <w:pageBreakBefore w:val="0"/>
        <w:kinsoku/>
        <w:wordWrap/>
        <w:overflowPunct/>
        <w:topLinePunct w:val="0"/>
        <w:autoSpaceDE/>
        <w:autoSpaceDN/>
        <w:bidi w:val="0"/>
        <w:snapToGrid/>
        <w:spacing w:after="0" w:line="490" w:lineRule="exact"/>
        <w:ind w:firstLine="480" w:firstLineChars="200"/>
        <w:jc w:val="left"/>
        <w:rPr>
          <w:color w:val="auto"/>
          <w:highlight w:val="none"/>
        </w:rPr>
      </w:pPr>
      <w:bookmarkStart w:id="68" w:name="_Toc438648662"/>
      <w:bookmarkStart w:id="69" w:name="_Toc216158625"/>
      <w:bookmarkStart w:id="70" w:name="_Toc363199266"/>
      <w:r>
        <w:rPr>
          <w:rFonts w:hint="eastAsia"/>
          <w:color w:val="auto"/>
          <w:highlight w:val="none"/>
        </w:rPr>
        <w:t>见本项目采购公告</w:t>
      </w:r>
    </w:p>
    <w:p w14:paraId="33B1A852">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1" w:name="_Toc24198"/>
      <w:r>
        <w:rPr>
          <w:rFonts w:hint="eastAsia" w:ascii="宋体" w:hAnsi="宋体" w:eastAsia="宋体" w:cs="宋体"/>
          <w:color w:val="auto"/>
          <w:sz w:val="24"/>
          <w:szCs w:val="24"/>
          <w:highlight w:val="none"/>
        </w:rPr>
        <w:t>（三）供应商必须提交的响应文件内容</w:t>
      </w:r>
      <w:bookmarkEnd w:id="68"/>
      <w:bookmarkEnd w:id="69"/>
      <w:bookmarkEnd w:id="70"/>
      <w:bookmarkEnd w:id="71"/>
    </w:p>
    <w:p w14:paraId="2FDE6DCD">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21AA423E">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05CB736B">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竞争性谈判</w:t>
      </w:r>
      <w:r>
        <w:rPr>
          <w:rFonts w:hint="eastAsia" w:ascii="宋体" w:hAnsi="宋体"/>
          <w:color w:val="auto"/>
          <w:sz w:val="24"/>
          <w:szCs w:val="24"/>
          <w:highlight w:val="none"/>
        </w:rPr>
        <w:t>授权书；</w:t>
      </w:r>
    </w:p>
    <w:p w14:paraId="531A7984">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竞争性谈判</w:t>
      </w:r>
      <w:r>
        <w:rPr>
          <w:rFonts w:hint="eastAsia" w:ascii="宋体" w:hAnsi="宋体"/>
          <w:color w:val="auto"/>
          <w:sz w:val="24"/>
          <w:szCs w:val="24"/>
          <w:highlight w:val="none"/>
        </w:rPr>
        <w:t>响应函；</w:t>
      </w:r>
    </w:p>
    <w:p w14:paraId="2AFE7214">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459EE358">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1FDE229F">
      <w:pPr>
        <w:pageBreakBefore w:val="0"/>
        <w:kinsoku/>
        <w:wordWrap/>
        <w:overflowPunct/>
        <w:topLinePunct w:val="0"/>
        <w:autoSpaceDE/>
        <w:autoSpaceDN/>
        <w:bidi w:val="0"/>
        <w:snapToGrid/>
        <w:spacing w:line="490" w:lineRule="exact"/>
        <w:ind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 xml:space="preserve">要求和供应商认为需要提供的其它说明和资料。 </w:t>
      </w:r>
    </w:p>
    <w:p w14:paraId="4F2FB85F">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2" w:name="_Toc13926"/>
      <w:r>
        <w:rPr>
          <w:rFonts w:hint="eastAsia" w:ascii="宋体" w:hAnsi="宋体" w:eastAsia="宋体" w:cs="宋体"/>
          <w:color w:val="auto"/>
          <w:sz w:val="24"/>
          <w:szCs w:val="24"/>
          <w:highlight w:val="none"/>
        </w:rPr>
        <w:t>（四）响应文件的提交</w:t>
      </w:r>
      <w:bookmarkEnd w:id="72"/>
    </w:p>
    <w:p w14:paraId="6B50C491">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1、响应文件必须在响应截止时间前在采购公告中的地点现场递交纸质响应文件；</w:t>
      </w:r>
    </w:p>
    <w:p w14:paraId="10E17647">
      <w:pPr>
        <w:spacing w:line="360" w:lineRule="auto"/>
        <w:ind w:firstLine="480" w:firstLineChars="200"/>
        <w:rPr>
          <w:rFonts w:ascii="宋体" w:hAnsi="宋体" w:eastAsia="宋体" w:cs="宋体"/>
          <w:color w:val="auto"/>
          <w:sz w:val="24"/>
          <w:szCs w:val="24"/>
          <w:highlight w:val="none"/>
        </w:rPr>
      </w:pPr>
      <w:r>
        <w:rPr>
          <w:rFonts w:hint="eastAsia" w:ascii="宋体" w:hAnsi="宋体" w:cs="Arial"/>
          <w:color w:val="auto"/>
          <w:sz w:val="24"/>
          <w:szCs w:val="24"/>
          <w:highlight w:val="none"/>
        </w:rPr>
        <w:t>2、具体详见</w:t>
      </w:r>
      <w:r>
        <w:rPr>
          <w:rFonts w:hint="eastAsia" w:ascii="宋体" w:hAnsi="宋体" w:cs="Arial"/>
          <w:color w:val="auto"/>
          <w:sz w:val="24"/>
          <w:szCs w:val="24"/>
          <w:highlight w:val="none"/>
          <w:lang w:val="en-US" w:eastAsia="zh-CN"/>
        </w:rPr>
        <w:t>谈判</w:t>
      </w:r>
      <w:r>
        <w:rPr>
          <w:rFonts w:hint="eastAsia" w:ascii="宋体" w:hAnsi="宋体" w:cs="Arial"/>
          <w:color w:val="auto"/>
          <w:sz w:val="24"/>
          <w:szCs w:val="24"/>
          <w:highlight w:val="none"/>
        </w:rPr>
        <w:t>公告及须知前附表。</w:t>
      </w:r>
    </w:p>
    <w:p w14:paraId="4A704820">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3" w:name="_Toc31181"/>
      <w:r>
        <w:rPr>
          <w:rFonts w:hint="eastAsia" w:ascii="宋体" w:hAnsi="宋体" w:eastAsia="宋体" w:cs="宋体"/>
          <w:color w:val="auto"/>
          <w:sz w:val="24"/>
          <w:szCs w:val="24"/>
          <w:highlight w:val="none"/>
        </w:rPr>
        <w:t>（五）谈判程序</w:t>
      </w:r>
      <w:bookmarkEnd w:id="73"/>
    </w:p>
    <w:p w14:paraId="5FDD5436">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color w:val="auto"/>
          <w:sz w:val="24"/>
          <w:szCs w:val="24"/>
          <w:highlight w:val="none"/>
        </w:rPr>
      </w:pPr>
      <w:r>
        <w:rPr>
          <w:rFonts w:hint="eastAsia" w:ascii="宋体" w:hAnsi="宋体" w:cs="Arial"/>
          <w:color w:val="auto"/>
          <w:sz w:val="24"/>
          <w:szCs w:val="24"/>
          <w:highlight w:val="none"/>
        </w:rPr>
        <w:t>1、谈判人员是按规定组成的三人或三人以上的谈判</w:t>
      </w:r>
      <w:r>
        <w:rPr>
          <w:rFonts w:hint="eastAsia" w:ascii="宋体" w:hAnsi="宋体" w:eastAsia="宋体" w:cs="宋体"/>
          <w:b w:val="0"/>
          <w:bCs/>
          <w:color w:val="auto"/>
          <w:kern w:val="0"/>
          <w:sz w:val="24"/>
          <w:szCs w:val="24"/>
          <w:highlight w:val="none"/>
          <w:lang w:val="en-US" w:eastAsia="zh-CN" w:bidi="ar-SA"/>
        </w:rPr>
        <w:t>小组。</w:t>
      </w:r>
    </w:p>
    <w:p w14:paraId="07DEECBA">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2、在掌握了供应商的基本情况后，谈判小组将与供应商分别进行谈判。</w:t>
      </w:r>
    </w:p>
    <w:p w14:paraId="39B8B14A">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3、谈判是</w:t>
      </w:r>
      <w:r>
        <w:rPr>
          <w:rFonts w:ascii="宋体" w:hAnsi="宋体" w:cs="Arial"/>
          <w:color w:val="auto"/>
          <w:sz w:val="24"/>
          <w:szCs w:val="24"/>
          <w:highlight w:val="none"/>
        </w:rPr>
        <w:t>分别</w:t>
      </w:r>
      <w:r>
        <w:rPr>
          <w:rFonts w:hint="eastAsia" w:ascii="宋体" w:hAnsi="宋体" w:cs="Arial"/>
          <w:color w:val="auto"/>
          <w:sz w:val="24"/>
          <w:szCs w:val="24"/>
          <w:highlight w:val="none"/>
        </w:rPr>
        <w:t>单独进行的。供应商不得与其他参与谈判的供应商相互串通；谈判小组也不得将与某一供应商的谈判情况向其他供应商及其关系人透露。</w:t>
      </w:r>
    </w:p>
    <w:p w14:paraId="290E421C">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4、谈判采用一轮谈判、两轮报价的方式进行。但最终采取多少轮谈判，由谈判小组视情况而定。</w:t>
      </w:r>
    </w:p>
    <w:p w14:paraId="75B07726">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color w:val="auto"/>
          <w:sz w:val="24"/>
          <w:szCs w:val="24"/>
          <w:highlight w:val="none"/>
        </w:rPr>
      </w:pPr>
      <w:bookmarkStart w:id="74" w:name="_Toc6912"/>
      <w:bookmarkStart w:id="75" w:name="_Toc22445"/>
      <w:r>
        <w:rPr>
          <w:rFonts w:hint="eastAsia" w:ascii="宋体" w:hAnsi="宋体" w:eastAsia="宋体" w:cs="宋体"/>
          <w:b w:val="0"/>
          <w:bCs/>
          <w:color w:val="auto"/>
          <w:sz w:val="24"/>
          <w:szCs w:val="24"/>
          <w:highlight w:val="none"/>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color w:val="auto"/>
          <w:sz w:val="24"/>
          <w:szCs w:val="24"/>
          <w:highlight w:val="none"/>
          <w:lang w:val="en-US" w:eastAsia="zh-CN"/>
        </w:rPr>
        <w:t>书面形式</w:t>
      </w:r>
      <w:r>
        <w:rPr>
          <w:rFonts w:hint="eastAsia" w:ascii="宋体" w:hAnsi="宋体" w:eastAsia="宋体" w:cs="宋体"/>
          <w:b w:val="0"/>
          <w:bCs/>
          <w:color w:val="auto"/>
          <w:sz w:val="24"/>
          <w:szCs w:val="24"/>
          <w:highlight w:val="none"/>
        </w:rPr>
        <w:t>完成报价</w:t>
      </w:r>
      <w:r>
        <w:rPr>
          <w:rFonts w:hint="eastAsia" w:ascii="宋体" w:hAnsi="宋体" w:eastAsia="宋体" w:cs="宋体"/>
          <w:color w:val="auto"/>
          <w:sz w:val="24"/>
          <w:szCs w:val="24"/>
          <w:highlight w:val="none"/>
        </w:rPr>
        <w:t>。</w:t>
      </w:r>
      <w:bookmarkEnd w:id="74"/>
      <w:bookmarkEnd w:id="75"/>
    </w:p>
    <w:p w14:paraId="5B5B9A7A">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color w:val="auto"/>
          <w:sz w:val="24"/>
          <w:szCs w:val="24"/>
          <w:highlight w:val="none"/>
        </w:rPr>
      </w:pPr>
      <w:bookmarkStart w:id="76" w:name="_Toc9547"/>
      <w:bookmarkStart w:id="77" w:name="_Toc7574"/>
      <w:r>
        <w:rPr>
          <w:rFonts w:hint="eastAsia" w:ascii="宋体" w:hAnsi="宋体" w:eastAsia="宋体" w:cs="宋体"/>
          <w:b w:val="0"/>
          <w:bCs/>
          <w:color w:val="auto"/>
          <w:sz w:val="24"/>
          <w:szCs w:val="24"/>
          <w:highlight w:val="none"/>
        </w:rPr>
        <w:t>6、供应商必须在规定的时间内将自己在谈判中作出的澄清、变动以及最终的报价，经供应商</w:t>
      </w:r>
      <w:r>
        <w:rPr>
          <w:rFonts w:hint="eastAsia" w:ascii="宋体" w:hAnsi="宋体" w:eastAsia="宋体" w:cs="宋体"/>
          <w:b w:val="0"/>
          <w:bCs/>
          <w:color w:val="auto"/>
          <w:sz w:val="24"/>
          <w:szCs w:val="24"/>
          <w:highlight w:val="none"/>
          <w:lang w:val="en-US" w:eastAsia="zh-CN"/>
        </w:rPr>
        <w:t>盖</w:t>
      </w:r>
      <w:r>
        <w:rPr>
          <w:rFonts w:hint="eastAsia" w:ascii="宋体" w:hAnsi="宋体" w:eastAsia="宋体" w:cs="宋体"/>
          <w:b w:val="0"/>
          <w:bCs/>
          <w:color w:val="auto"/>
          <w:sz w:val="24"/>
          <w:szCs w:val="24"/>
          <w:highlight w:val="none"/>
        </w:rPr>
        <w:t>章后，以</w:t>
      </w:r>
      <w:r>
        <w:rPr>
          <w:rFonts w:hint="eastAsia" w:ascii="宋体" w:hAnsi="宋体" w:eastAsia="宋体" w:cs="宋体"/>
          <w:b w:val="0"/>
          <w:bCs/>
          <w:color w:val="auto"/>
          <w:sz w:val="24"/>
          <w:szCs w:val="24"/>
          <w:highlight w:val="none"/>
          <w:lang w:val="en-US" w:eastAsia="zh-CN"/>
        </w:rPr>
        <w:t>书面</w:t>
      </w:r>
      <w:r>
        <w:rPr>
          <w:rFonts w:hint="eastAsia" w:ascii="宋体" w:hAnsi="宋体" w:eastAsia="宋体" w:cs="宋体"/>
          <w:b w:val="0"/>
          <w:bCs/>
          <w:color w:val="auto"/>
          <w:sz w:val="24"/>
          <w:szCs w:val="24"/>
          <w:highlight w:val="none"/>
        </w:rPr>
        <w:t>方式提交给谈判小组。</w:t>
      </w:r>
      <w:bookmarkEnd w:id="76"/>
      <w:bookmarkEnd w:id="77"/>
    </w:p>
    <w:p w14:paraId="5A029BBD">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8" w:name="_Toc1072"/>
      <w:r>
        <w:rPr>
          <w:rFonts w:hint="eastAsia" w:ascii="宋体" w:hAnsi="宋体" w:eastAsia="宋体" w:cs="宋体"/>
          <w:color w:val="auto"/>
          <w:sz w:val="24"/>
          <w:szCs w:val="24"/>
          <w:highlight w:val="none"/>
        </w:rPr>
        <w:t>（六）评审及异常情况处理</w:t>
      </w:r>
      <w:bookmarkEnd w:id="78"/>
    </w:p>
    <w:bookmarkEnd w:id="65"/>
    <w:bookmarkEnd w:id="66"/>
    <w:p w14:paraId="5928DD7D">
      <w:pPr>
        <w:pageBreakBefore w:val="0"/>
        <w:kinsoku/>
        <w:wordWrap/>
        <w:overflowPunct/>
        <w:topLinePunct w:val="0"/>
        <w:autoSpaceDE/>
        <w:autoSpaceDN/>
        <w:bidi w:val="0"/>
        <w:snapToGrid/>
        <w:spacing w:line="490" w:lineRule="exact"/>
        <w:ind w:firstLine="480" w:firstLineChars="200"/>
        <w:rPr>
          <w:rFonts w:ascii="宋体" w:hAnsi="宋体" w:cs="Arial"/>
          <w:color w:val="auto"/>
          <w:sz w:val="24"/>
          <w:szCs w:val="24"/>
          <w:highlight w:val="none"/>
        </w:rPr>
      </w:pPr>
      <w:r>
        <w:rPr>
          <w:rFonts w:hint="eastAsia" w:ascii="宋体" w:hAnsi="宋体"/>
          <w:color w:val="auto"/>
          <w:sz w:val="24"/>
          <w:szCs w:val="24"/>
          <w:highlight w:val="none"/>
        </w:rPr>
        <w:t>1、</w:t>
      </w:r>
      <w:r>
        <w:rPr>
          <w:rFonts w:hint="eastAsia" w:ascii="宋体" w:hAnsi="宋体" w:cs="Arial"/>
          <w:color w:val="auto"/>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4E35138F">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2、谈判时出现以下情况之一的，将予以废标：</w:t>
      </w:r>
    </w:p>
    <w:p w14:paraId="041D5D92">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（1）符合专业条件的供应商或者对采购文件作实质性响应的供应商不足三家的；</w:t>
      </w:r>
    </w:p>
    <w:p w14:paraId="7ED92462">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（2）供应商的报价均超过了采购预算，经过多轮谈判仍不能降到预算内、且采购人不能支付的；</w:t>
      </w:r>
    </w:p>
    <w:p w14:paraId="5F37CD7F">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（3）经过谈判，供应商所提供的货物服务仍无法满足</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实质性要求、影响工作的；</w:t>
      </w:r>
    </w:p>
    <w:p w14:paraId="3DC5F148">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（4）出现影响采购公正的违法、违规行为的；</w:t>
      </w:r>
    </w:p>
    <w:p w14:paraId="2670869D">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（5）因重大变故，采购任务取消的。</w:t>
      </w:r>
    </w:p>
    <w:p w14:paraId="30FD033C">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Arial"/>
          <w:color w:val="auto"/>
          <w:sz w:val="24"/>
          <w:szCs w:val="24"/>
          <w:highlight w:val="none"/>
        </w:rPr>
        <w:t>3、重新组织</w:t>
      </w:r>
      <w:r>
        <w:rPr>
          <w:rFonts w:hint="eastAsia" w:ascii="宋体" w:hAnsi="宋体" w:cs="Arial"/>
          <w:color w:val="auto"/>
          <w:sz w:val="24"/>
          <w:szCs w:val="24"/>
          <w:highlight w:val="none"/>
          <w:lang w:val="en-US" w:eastAsia="zh-CN"/>
        </w:rPr>
        <w:t>竞争性谈判</w:t>
      </w:r>
      <w:r>
        <w:rPr>
          <w:rFonts w:hint="eastAsia" w:ascii="宋体" w:hAnsi="宋体" w:cs="Arial"/>
          <w:color w:val="auto"/>
          <w:sz w:val="24"/>
          <w:szCs w:val="24"/>
          <w:highlight w:val="none"/>
        </w:rPr>
        <w:t>，采购单位将通过</w:t>
      </w:r>
      <w:r>
        <w:rPr>
          <w:rFonts w:hint="eastAsia" w:ascii="宋体" w:hAnsi="宋体" w:cs="宋体"/>
          <w:color w:val="auto"/>
          <w:sz w:val="24"/>
          <w:szCs w:val="24"/>
          <w:highlight w:val="none"/>
        </w:rPr>
        <w:t>六安市叶集区人民医院（六安市第六人民医院）官网公示（http://www.lasdlrmyy.cn/）</w:t>
      </w:r>
      <w:r>
        <w:rPr>
          <w:rFonts w:hint="eastAsia" w:ascii="宋体" w:hAnsi="宋体" w:cs="宋体"/>
          <w:color w:val="auto"/>
          <w:sz w:val="24"/>
          <w:szCs w:val="24"/>
          <w:highlight w:val="none"/>
          <w:lang w:eastAsia="zh-CN"/>
        </w:rPr>
        <w:t>。</w:t>
      </w:r>
    </w:p>
    <w:p w14:paraId="40C9BB05">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9" w:name="_Toc25235"/>
      <w:r>
        <w:rPr>
          <w:rFonts w:hint="eastAsia" w:ascii="宋体" w:hAnsi="宋体" w:eastAsia="宋体" w:cs="宋体"/>
          <w:color w:val="auto"/>
          <w:sz w:val="24"/>
          <w:szCs w:val="24"/>
          <w:highlight w:val="none"/>
        </w:rPr>
        <w:t>（七）报价响应及答疑</w:t>
      </w:r>
      <w:bookmarkEnd w:id="79"/>
    </w:p>
    <w:p w14:paraId="3C8A0EBE">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auto"/>
          <w:sz w:val="24"/>
          <w:szCs w:val="24"/>
          <w:highlight w:val="none"/>
          <w:lang w:eastAsia="zh-CN"/>
        </w:rPr>
        <w:t>应有</w:t>
      </w:r>
      <w:r>
        <w:rPr>
          <w:rFonts w:hint="eastAsia" w:ascii="宋体" w:hAnsi="宋体"/>
          <w:color w:val="auto"/>
          <w:sz w:val="24"/>
          <w:szCs w:val="24"/>
          <w:highlight w:val="none"/>
        </w:rPr>
        <w:t>费用。响应报价为供应商在响应文件中提出的各项支付金额的总和。只有总价而没有分项报价的响应文件无效。</w:t>
      </w:r>
    </w:p>
    <w:p w14:paraId="3E4A46D2">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规定的规格、参数、质量、价格、有效期、售后服务等要求。</w:t>
      </w:r>
    </w:p>
    <w:p w14:paraId="69C25786">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2570F5C0">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CB6893E">
      <w:pPr>
        <w:pageBreakBefore w:val="0"/>
        <w:kinsoku/>
        <w:wordWrap/>
        <w:overflowPunct/>
        <w:topLinePunct w:val="0"/>
        <w:autoSpaceDE/>
        <w:autoSpaceDN/>
        <w:bidi w:val="0"/>
        <w:snapToGrid/>
        <w:spacing w:line="490" w:lineRule="exact"/>
        <w:ind w:firstLine="550"/>
        <w:rPr>
          <w:rFonts w:ascii="宋体" w:hAnsi="宋体"/>
          <w:color w:val="auto"/>
          <w:sz w:val="24"/>
          <w:szCs w:val="24"/>
          <w:highlight w:val="none"/>
        </w:rPr>
      </w:pPr>
      <w:r>
        <w:rPr>
          <w:rFonts w:hint="eastAsia" w:ascii="宋体" w:hAnsi="宋体"/>
          <w:color w:val="auto"/>
          <w:sz w:val="24"/>
          <w:szCs w:val="24"/>
          <w:highlight w:val="none"/>
        </w:rPr>
        <w:t>5、供应商如果对</w:t>
      </w:r>
      <w:r>
        <w:rPr>
          <w:rFonts w:hint="eastAsia" w:ascii="宋体" w:hAnsi="宋体"/>
          <w:color w:val="auto"/>
          <w:sz w:val="24"/>
          <w:szCs w:val="24"/>
          <w:highlight w:val="none"/>
          <w:lang w:val="en-US" w:eastAsia="zh-CN"/>
        </w:rPr>
        <w:t>竞争性谈判文件</w:t>
      </w:r>
      <w:r>
        <w:rPr>
          <w:rFonts w:hint="eastAsia" w:ascii="宋体" w:hAnsi="宋体"/>
          <w:color w:val="auto"/>
          <w:sz w:val="24"/>
          <w:szCs w:val="24"/>
          <w:highlight w:val="none"/>
        </w:rPr>
        <w:t>的其他任何内容有相关疑问，可以通过电话或书面</w:t>
      </w:r>
      <w:r>
        <w:rPr>
          <w:rFonts w:hint="eastAsia" w:ascii="宋体" w:hAnsi="宋体"/>
          <w:color w:val="auto"/>
          <w:sz w:val="24"/>
          <w:highlight w:val="none"/>
        </w:rPr>
        <w:t>形式提出，具体要求详见须知前附表</w:t>
      </w:r>
      <w:r>
        <w:rPr>
          <w:rFonts w:hint="eastAsia" w:ascii="宋体" w:hAnsi="宋体"/>
          <w:color w:val="auto"/>
          <w:sz w:val="24"/>
          <w:highlight w:val="none"/>
          <w:lang w:eastAsia="zh-CN"/>
        </w:rPr>
        <w:t>。</w:t>
      </w:r>
    </w:p>
    <w:p w14:paraId="13B0B67B">
      <w:pPr>
        <w:pageBreakBefore w:val="0"/>
        <w:kinsoku/>
        <w:wordWrap/>
        <w:overflowPunct/>
        <w:topLinePunct w:val="0"/>
        <w:autoSpaceDE/>
        <w:autoSpaceDN/>
        <w:bidi w:val="0"/>
        <w:snapToGrid/>
        <w:spacing w:line="49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6、供应商应确保其所提供的响应资料的真实性、有效性及合法性，否则，由此引起的任何责任由其自行承担。</w:t>
      </w:r>
    </w:p>
    <w:p w14:paraId="3110F34D">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0" w:name="_Toc8006"/>
      <w:r>
        <w:rPr>
          <w:rFonts w:hint="eastAsia" w:ascii="宋体" w:hAnsi="宋体" w:eastAsia="宋体" w:cs="宋体"/>
          <w:color w:val="auto"/>
          <w:sz w:val="24"/>
          <w:szCs w:val="24"/>
          <w:highlight w:val="none"/>
        </w:rPr>
        <w:t>（八）合同的签订</w:t>
      </w:r>
      <w:bookmarkEnd w:id="80"/>
    </w:p>
    <w:p w14:paraId="126563CB">
      <w:pPr>
        <w:pageBreakBefore w:val="0"/>
        <w:kinsoku/>
        <w:wordWrap/>
        <w:overflowPunct/>
        <w:topLinePunct w:val="0"/>
        <w:autoSpaceDE/>
        <w:autoSpaceDN/>
        <w:bidi w:val="0"/>
        <w:snapToGrid/>
        <w:spacing w:line="49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CE30276">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ascii="宋体" w:hAnsi="宋体" w:cs="Arial"/>
          <w:color w:val="auto"/>
          <w:szCs w:val="24"/>
          <w:highlight w:val="none"/>
          <w:lang w:val="en-US" w:eastAsia="zh-CN"/>
        </w:rPr>
        <w:t>2</w:t>
      </w:r>
      <w:r>
        <w:rPr>
          <w:rFonts w:hint="eastAsia" w:ascii="宋体" w:hAnsi="宋体" w:cs="Arial"/>
          <w:color w:val="auto"/>
          <w:szCs w:val="24"/>
          <w:highlight w:val="none"/>
        </w:rPr>
        <w:t>、</w:t>
      </w:r>
      <w:r>
        <w:rPr>
          <w:rFonts w:ascii="宋体" w:hAnsi="宋体" w:cs="Arial"/>
          <w:color w:val="auto"/>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auto"/>
          <w:szCs w:val="24"/>
          <w:highlight w:val="none"/>
        </w:rPr>
        <w:t>或重</w:t>
      </w:r>
      <w:r>
        <w:rPr>
          <w:rFonts w:hint="eastAsia"/>
          <w:color w:val="auto"/>
          <w:highlight w:val="none"/>
        </w:rPr>
        <w:t>新组织采购。</w:t>
      </w:r>
    </w:p>
    <w:p w14:paraId="58D4C9F9">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3</w:t>
      </w:r>
      <w:r>
        <w:rPr>
          <w:rFonts w:hint="eastAsia"/>
          <w:color w:val="auto"/>
          <w:highlight w:val="none"/>
        </w:rPr>
        <w:t>、因政策变化等原因不能签订合同，造成企业合法利益受损的情形，采购人可以与供应商充分协商，给予合理补偿。</w:t>
      </w:r>
    </w:p>
    <w:p w14:paraId="33D6BE87">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4</w:t>
      </w:r>
      <w:r>
        <w:rPr>
          <w:rFonts w:hint="eastAsia"/>
          <w:color w:val="auto"/>
          <w:highlight w:val="none"/>
        </w:rPr>
        <w:t>、在签订合同时，供应商书面明确表示无需预付款或者主动要求降低预付款比例的，采购人可不适用前述（即付款方式）规定。</w:t>
      </w:r>
    </w:p>
    <w:p w14:paraId="05462685">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竞争性谈判文件</w:t>
      </w:r>
      <w:r>
        <w:rPr>
          <w:rFonts w:hint="eastAsia"/>
          <w:color w:val="auto"/>
          <w:highlight w:val="none"/>
        </w:rPr>
        <w:t>和合同中没有约定预付款的，经供应商申请，采购人可以支付预付款。</w:t>
      </w:r>
    </w:p>
    <w:p w14:paraId="25DC82EC">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6</w:t>
      </w:r>
      <w:r>
        <w:rPr>
          <w:rFonts w:hint="eastAsia"/>
          <w:color w:val="auto"/>
          <w:highlight w:val="none"/>
        </w:rPr>
        <w:t>、采购人可根据项目特点、供应商诚信等因素，要求供应商提交银行、保险公司、担保公司等金融机构出具的预付款保函或其他担保措施。</w:t>
      </w:r>
    </w:p>
    <w:p w14:paraId="5B319313">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7</w:t>
      </w:r>
      <w:r>
        <w:rPr>
          <w:rFonts w:hint="eastAsia"/>
          <w:color w:val="auto"/>
          <w:highlight w:val="none"/>
        </w:rPr>
        <w:t>、政府采购预付款应在合同、担保措施生效以及具备实施条件后 5 个工作日内支付。</w:t>
      </w:r>
    </w:p>
    <w:p w14:paraId="33BEEA31">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8</w:t>
      </w:r>
      <w:r>
        <w:rPr>
          <w:rFonts w:hint="eastAsia"/>
          <w:color w:val="auto"/>
          <w:highlight w:val="none"/>
        </w:rPr>
        <w:t>、延迟支付中小企业款项的，供应商可要求采购人按照合同约定支付逾期利息，合同没有约定的，按照同期人民银行 LPR支付逾期利息。</w:t>
      </w:r>
    </w:p>
    <w:p w14:paraId="076294A2">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9</w:t>
      </w:r>
      <w:r>
        <w:rPr>
          <w:rFonts w:hint="eastAsia"/>
          <w:color w:val="auto"/>
          <w:highlight w:val="none"/>
        </w:rPr>
        <w:t>、成交供应商无正当理由不与采购人订立合同的处罚依据：</w:t>
      </w:r>
    </w:p>
    <w:p w14:paraId="269552B4">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（1）《中华人民共和国政府采购法实施条例》</w:t>
      </w:r>
    </w:p>
    <w:p w14:paraId="170E0B1D">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0EB6F0A1">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6B08A3EC">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（2）《中华人民共和国政府采购法》</w:t>
      </w:r>
    </w:p>
    <w:p w14:paraId="7CD42BB9">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E6B50F">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（3）《政府采购非招标采购方式管理办法》（财政部令第74号）</w:t>
      </w:r>
    </w:p>
    <w:p w14:paraId="738C2886">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4DA7BD72">
      <w:pPr>
        <w:pStyle w:val="35"/>
        <w:pageBreakBefore w:val="0"/>
        <w:kinsoku/>
        <w:wordWrap/>
        <w:overflowPunct/>
        <w:topLinePunct w:val="0"/>
        <w:autoSpaceDE/>
        <w:autoSpaceDN/>
        <w:bidi w:val="0"/>
        <w:snapToGrid/>
        <w:spacing w:after="0" w:line="49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05C9E560">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1" w:name="_Toc30278"/>
      <w:r>
        <w:rPr>
          <w:rFonts w:hint="eastAsia" w:ascii="宋体" w:hAnsi="宋体" w:eastAsia="宋体" w:cs="宋体"/>
          <w:color w:val="auto"/>
          <w:sz w:val="24"/>
          <w:szCs w:val="24"/>
          <w:highlight w:val="none"/>
        </w:rPr>
        <w:t>（九）澄清及变更</w:t>
      </w:r>
      <w:bookmarkEnd w:id="81"/>
    </w:p>
    <w:p w14:paraId="7D0729BA">
      <w:pPr>
        <w:pageBreakBefore w:val="0"/>
        <w:kinsoku/>
        <w:wordWrap/>
        <w:overflowPunct/>
        <w:topLinePunct w:val="0"/>
        <w:autoSpaceDE/>
        <w:autoSpaceDN/>
        <w:bidi w:val="0"/>
        <w:snapToGrid/>
        <w:spacing w:line="490" w:lineRule="exact"/>
        <w:ind w:firstLine="480" w:firstLineChars="200"/>
        <w:rPr>
          <w:color w:val="auto"/>
          <w:highlight w:val="none"/>
        </w:rPr>
      </w:pP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如有澄清及变更，将以网上公告形式发布，请供应商及时关注。</w:t>
      </w:r>
    </w:p>
    <w:p w14:paraId="544750ED">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2" w:name="_Toc19438"/>
      <w:r>
        <w:rPr>
          <w:rFonts w:hint="eastAsia" w:ascii="宋体" w:hAnsi="宋体" w:eastAsia="宋体" w:cs="宋体"/>
          <w:color w:val="auto"/>
          <w:sz w:val="24"/>
          <w:szCs w:val="24"/>
          <w:highlight w:val="none"/>
        </w:rPr>
        <w:t>（十）验收与支付</w:t>
      </w:r>
      <w:bookmarkEnd w:id="82"/>
    </w:p>
    <w:p w14:paraId="77567ABC">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5DF61823">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7C0EF734">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69C8E2B1">
      <w:pPr>
        <w:pStyle w:val="35"/>
        <w:pageBreakBefore w:val="0"/>
        <w:kinsoku/>
        <w:wordWrap/>
        <w:overflowPunct/>
        <w:topLinePunct w:val="0"/>
        <w:autoSpaceDE/>
        <w:autoSpaceDN/>
        <w:bidi w:val="0"/>
        <w:snapToGrid/>
        <w:spacing w:after="0" w:line="49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27A83CDF">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3" w:name="_Toc29995"/>
      <w:r>
        <w:rPr>
          <w:rFonts w:hint="eastAsia" w:ascii="宋体" w:hAnsi="宋体" w:eastAsia="宋体" w:cs="宋体"/>
          <w:color w:val="auto"/>
          <w:sz w:val="24"/>
          <w:szCs w:val="24"/>
          <w:highlight w:val="none"/>
        </w:rPr>
        <w:t>（十一）质疑</w:t>
      </w:r>
      <w:bookmarkEnd w:id="83"/>
    </w:p>
    <w:p w14:paraId="53514799">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1、质疑人认为中标结果使自己的权益受到损害的，可以向采购人提出质疑。质疑实行实名制，应当有具体的事项及根据，不得进行虚假、恶意质疑，扰乱公共资源交易活动的正常工作秩序。</w:t>
      </w:r>
    </w:p>
    <w:p w14:paraId="3B1A9778">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C3924A9">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5732274F">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3、质疑材料应当包括以下内容：</w:t>
      </w:r>
    </w:p>
    <w:p w14:paraId="2F7FCDC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16793E9B">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5881B850">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56542674">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1E95B870">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41D8BC7C">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B2F18EE">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2E0170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1F15DEC6">
      <w:pPr>
        <w:pageBreakBefore w:val="0"/>
        <w:kinsoku/>
        <w:wordWrap/>
        <w:overflowPunct/>
        <w:topLinePunct w:val="0"/>
        <w:autoSpaceDE/>
        <w:autoSpaceDN/>
        <w:bidi w:val="0"/>
        <w:snapToGrid/>
        <w:spacing w:line="49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70C57502">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5CBC1D3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0D04579E">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387A9AD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6FE7090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5939BDF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2E0E2C68">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5、经审查符合质疑条件的，自收到质疑之日起即为受理。采购人将在质疑受理后7个工作日内作出答复或相关处理决定，并以书面形式通知质疑人，答复的内容不得涉及商业秘密。</w:t>
      </w:r>
    </w:p>
    <w:p w14:paraId="435B22DC">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74AAC8EE">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质疑人对质疑答复不满意或采购人未在规定时间内做出答复的，可以在规定期限内向</w:t>
      </w:r>
      <w:r>
        <w:rPr>
          <w:rFonts w:hint="eastAsia" w:ascii="宋体" w:hAnsi="宋体" w:cs="宋体"/>
          <w:color w:val="auto"/>
          <w:sz w:val="24"/>
          <w:szCs w:val="24"/>
          <w:highlight w:val="none"/>
        </w:rPr>
        <w:t>六安市叶集区人民医院（六安市第六人民医院）</w:t>
      </w:r>
      <w:r>
        <w:rPr>
          <w:rFonts w:hint="eastAsia" w:ascii="宋体" w:hAnsi="宋体"/>
          <w:bCs/>
          <w:color w:val="auto"/>
          <w:sz w:val="24"/>
          <w:highlight w:val="none"/>
        </w:rPr>
        <w:t>提起投诉。</w:t>
      </w:r>
    </w:p>
    <w:p w14:paraId="64C33DAE">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2A6CD420">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7、</w:t>
      </w:r>
      <w:bookmarkStart w:id="84" w:name="_Toc216158630"/>
      <w:r>
        <w:rPr>
          <w:rFonts w:hint="eastAsia" w:ascii="宋体" w:hAnsi="宋体" w:eastAsia="宋体" w:cs="Times New Roman"/>
          <w:bCs/>
          <w:color w:val="auto"/>
          <w:kern w:val="2"/>
          <w:sz w:val="24"/>
          <w:szCs w:val="24"/>
          <w:highlight w:val="none"/>
          <w:lang w:val="en-US" w:eastAsia="zh-CN" w:bidi="ar-SA"/>
        </w:rPr>
        <w:t>投诉人在全国范围12个月内三次以上投诉查无实据的，由财政部门列入不良行为记录名单。</w:t>
      </w:r>
    </w:p>
    <w:p w14:paraId="1D718F65">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投诉人有下列行为之一的，属于虚假、恶意投诉，由财政部门列入不良行为记录名单，禁止其1至3年内参加政府采购活动：</w:t>
      </w:r>
    </w:p>
    <w:p w14:paraId="7E0884F5">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（一）捏造事实</w:t>
      </w:r>
      <w:r>
        <w:rPr>
          <w:rFonts w:hint="eastAsia" w:ascii="宋体" w:hAnsi="宋体" w:cs="Times New Roman"/>
          <w:bCs/>
          <w:color w:val="auto"/>
          <w:kern w:val="2"/>
          <w:sz w:val="24"/>
          <w:szCs w:val="24"/>
          <w:highlight w:val="none"/>
          <w:lang w:val="en-US" w:eastAsia="zh-CN" w:bidi="ar-SA"/>
        </w:rPr>
        <w:t>；</w:t>
      </w:r>
    </w:p>
    <w:p w14:paraId="33817BFD">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（二）提供虚假材料</w:t>
      </w:r>
      <w:r>
        <w:rPr>
          <w:rFonts w:hint="eastAsia" w:ascii="宋体" w:hAnsi="宋体" w:cs="Times New Roman"/>
          <w:bCs/>
          <w:color w:val="auto"/>
          <w:kern w:val="2"/>
          <w:sz w:val="24"/>
          <w:szCs w:val="24"/>
          <w:highlight w:val="none"/>
          <w:lang w:val="en-US" w:eastAsia="zh-CN" w:bidi="ar-SA"/>
        </w:rPr>
        <w:t>；</w:t>
      </w:r>
    </w:p>
    <w:p w14:paraId="03EE39E7">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Times New Roman"/>
          <w:bCs/>
          <w:color w:val="auto"/>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28B39C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9C18774">
      <w:pPr>
        <w:pStyle w:val="3"/>
        <w:spacing w:before="0" w:after="0" w:line="560" w:lineRule="exact"/>
        <w:ind w:left="0" w:leftChars="0" w:right="0" w:rightChars="0" w:firstLine="0" w:firstLineChars="0"/>
        <w:jc w:val="center"/>
        <w:rPr>
          <w:rFonts w:ascii="宋体" w:hAnsi="宋体" w:eastAsia="宋体" w:cs="宋体"/>
          <w:color w:val="auto"/>
          <w:sz w:val="28"/>
          <w:szCs w:val="28"/>
          <w:highlight w:val="none"/>
        </w:rPr>
      </w:pPr>
      <w:bookmarkStart w:id="85" w:name="_Toc3141"/>
      <w:r>
        <w:rPr>
          <w:rFonts w:hint="eastAsia" w:ascii="宋体" w:hAnsi="宋体" w:eastAsia="宋体" w:cs="宋体"/>
          <w:color w:val="auto"/>
          <w:sz w:val="28"/>
          <w:szCs w:val="28"/>
          <w:highlight w:val="none"/>
        </w:rPr>
        <w:t>二、采购合同</w:t>
      </w:r>
      <w:bookmarkEnd w:id="85"/>
    </w:p>
    <w:bookmarkEnd w:id="84"/>
    <w:p w14:paraId="1EB86AA1">
      <w:pPr>
        <w:spacing w:line="254" w:lineRule="auto"/>
        <w:jc w:val="center"/>
        <w:rPr>
          <w:rFonts w:hint="default" w:eastAsia="宋体"/>
          <w:color w:val="auto"/>
          <w:spacing w:val="0"/>
          <w:position w:val="0"/>
          <w:sz w:val="22"/>
          <w:szCs w:val="21"/>
          <w:highlight w:val="none"/>
          <w:lang w:val="en-US" w:eastAsia="zh-CN"/>
        </w:rPr>
      </w:pPr>
      <w:bookmarkStart w:id="86" w:name="_Toc363199273"/>
      <w:r>
        <w:rPr>
          <w:rFonts w:hint="eastAsia"/>
          <w:color w:val="auto"/>
          <w:spacing w:val="0"/>
          <w:position w:val="0"/>
          <w:sz w:val="24"/>
          <w:szCs w:val="22"/>
          <w:highlight w:val="none"/>
          <w:lang w:val="en-US" w:eastAsia="zh-CN"/>
        </w:rPr>
        <w:t>甲乙双方自行拟定</w:t>
      </w:r>
    </w:p>
    <w:p w14:paraId="3F3F3EB2">
      <w:pPr>
        <w:spacing w:line="253" w:lineRule="auto"/>
        <w:rPr>
          <w:color w:val="auto"/>
          <w:highlight w:val="none"/>
        </w:rPr>
      </w:pPr>
    </w:p>
    <w:p w14:paraId="17D643D7">
      <w:pPr>
        <w:rPr>
          <w:color w:val="auto"/>
          <w:sz w:val="24"/>
          <w:szCs w:val="24"/>
          <w:highlight w:val="none"/>
        </w:rPr>
      </w:pPr>
    </w:p>
    <w:p w14:paraId="55D3DE4A">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A81FD12">
      <w:pPr>
        <w:pStyle w:val="3"/>
        <w:numPr>
          <w:ilvl w:val="0"/>
          <w:numId w:val="3"/>
        </w:numPr>
        <w:spacing w:before="0" w:after="0" w:line="560" w:lineRule="exact"/>
        <w:jc w:val="center"/>
        <w:rPr>
          <w:rFonts w:ascii="宋体" w:hAnsi="宋体" w:eastAsia="宋体" w:cs="宋体"/>
          <w:color w:val="auto"/>
          <w:sz w:val="28"/>
          <w:szCs w:val="28"/>
          <w:highlight w:val="none"/>
        </w:rPr>
      </w:pPr>
      <w:bookmarkStart w:id="87" w:name="_Toc6712"/>
      <w:r>
        <w:rPr>
          <w:rFonts w:hint="eastAsia" w:ascii="宋体" w:hAnsi="宋体" w:eastAsia="宋体" w:cs="宋体"/>
          <w:color w:val="auto"/>
          <w:sz w:val="28"/>
          <w:szCs w:val="28"/>
          <w:highlight w:val="none"/>
        </w:rPr>
        <w:t>采购需求</w:t>
      </w:r>
      <w:bookmarkEnd w:id="87"/>
    </w:p>
    <w:p w14:paraId="7B1C32FE">
      <w:pPr>
        <w:spacing w:line="360" w:lineRule="auto"/>
        <w:rPr>
          <w:rFonts w:hint="eastAsia" w:ascii="宋体" w:hAnsi="宋体" w:cs="宋体"/>
          <w:b/>
          <w:bCs/>
          <w:color w:val="auto"/>
          <w:sz w:val="24"/>
          <w:szCs w:val="22"/>
          <w:highlight w:val="none"/>
        </w:rPr>
      </w:pPr>
      <w:r>
        <w:rPr>
          <w:rFonts w:hint="eastAsia" w:ascii="宋体" w:hAnsi="宋体" w:cs="宋体"/>
          <w:b/>
          <w:bCs/>
          <w:color w:val="auto"/>
          <w:sz w:val="24"/>
          <w:szCs w:val="22"/>
          <w:highlight w:val="none"/>
          <w:lang w:eastAsia="zh-CN"/>
        </w:rPr>
        <w:t>（</w:t>
      </w:r>
      <w:r>
        <w:rPr>
          <w:rFonts w:hint="eastAsia" w:ascii="宋体" w:hAnsi="宋体" w:cs="宋体"/>
          <w:b/>
          <w:bCs/>
          <w:color w:val="auto"/>
          <w:sz w:val="24"/>
          <w:szCs w:val="22"/>
          <w:highlight w:val="none"/>
          <w:lang w:val="en-US" w:eastAsia="zh-CN"/>
        </w:rPr>
        <w:t>一</w:t>
      </w:r>
      <w:r>
        <w:rPr>
          <w:rFonts w:hint="eastAsia" w:ascii="宋体" w:hAnsi="宋体" w:cs="宋体"/>
          <w:b/>
          <w:bCs/>
          <w:color w:val="auto"/>
          <w:sz w:val="24"/>
          <w:szCs w:val="22"/>
          <w:highlight w:val="none"/>
          <w:lang w:eastAsia="zh-CN"/>
        </w:rPr>
        <w:t>）</w:t>
      </w:r>
      <w:r>
        <w:rPr>
          <w:rFonts w:hint="eastAsia" w:ascii="宋体" w:hAnsi="宋体" w:cs="宋体"/>
          <w:b/>
          <w:bCs/>
          <w:color w:val="auto"/>
          <w:sz w:val="24"/>
          <w:szCs w:val="22"/>
          <w:highlight w:val="none"/>
        </w:rPr>
        <w:t>标识符号说明</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2171"/>
        <w:gridCol w:w="3870"/>
      </w:tblGrid>
      <w:tr w14:paraId="2DD0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3EAD21FB">
            <w:pPr>
              <w:spacing w:line="360" w:lineRule="auto"/>
              <w:jc w:val="center"/>
              <w:rPr>
                <w:rFonts w:ascii="宋体" w:hAnsi="宋体" w:cs="宋体"/>
                <w:b/>
                <w:bCs/>
                <w:color w:val="auto"/>
                <w:sz w:val="24"/>
                <w:szCs w:val="22"/>
                <w:highlight w:val="none"/>
              </w:rPr>
            </w:pPr>
            <w:r>
              <w:rPr>
                <w:rFonts w:ascii="宋体" w:hAnsi="宋体" w:cs="宋体"/>
                <w:color w:val="auto"/>
                <w:sz w:val="24"/>
                <w:szCs w:val="24"/>
                <w:highlight w:val="none"/>
              </w:rPr>
              <w:t>标识注释</w:t>
            </w:r>
          </w:p>
        </w:tc>
        <w:tc>
          <w:tcPr>
            <w:tcW w:w="1198" w:type="pct"/>
            <w:noWrap w:val="0"/>
            <w:vAlign w:val="center"/>
          </w:tcPr>
          <w:p w14:paraId="0A2CF96B">
            <w:pPr>
              <w:spacing w:line="360" w:lineRule="auto"/>
              <w:jc w:val="center"/>
              <w:rPr>
                <w:rFonts w:ascii="宋体" w:hAnsi="宋体" w:cs="宋体"/>
                <w:b/>
                <w:bCs/>
                <w:color w:val="auto"/>
                <w:sz w:val="24"/>
                <w:szCs w:val="22"/>
                <w:highlight w:val="none"/>
              </w:rPr>
            </w:pPr>
            <w:r>
              <w:rPr>
                <w:rFonts w:ascii="宋体" w:hAnsi="宋体" w:cs="宋体"/>
                <w:color w:val="auto"/>
                <w:sz w:val="24"/>
                <w:szCs w:val="24"/>
                <w:highlight w:val="none"/>
              </w:rPr>
              <w:t>标识符号</w:t>
            </w:r>
          </w:p>
        </w:tc>
        <w:tc>
          <w:tcPr>
            <w:tcW w:w="2135" w:type="pct"/>
            <w:noWrap w:val="0"/>
            <w:vAlign w:val="center"/>
          </w:tcPr>
          <w:p w14:paraId="39A0FCB6">
            <w:pPr>
              <w:spacing w:line="360" w:lineRule="auto"/>
              <w:jc w:val="center"/>
              <w:rPr>
                <w:rFonts w:ascii="宋体" w:hAnsi="宋体" w:cs="宋体"/>
                <w:b/>
                <w:bCs/>
                <w:color w:val="auto"/>
                <w:sz w:val="24"/>
                <w:szCs w:val="22"/>
                <w:highlight w:val="none"/>
              </w:rPr>
            </w:pPr>
            <w:r>
              <w:rPr>
                <w:rFonts w:ascii="宋体" w:hAnsi="宋体" w:cs="宋体"/>
                <w:color w:val="auto"/>
                <w:sz w:val="24"/>
                <w:szCs w:val="24"/>
                <w:highlight w:val="none"/>
              </w:rPr>
              <w:t>代表意思</w:t>
            </w:r>
          </w:p>
        </w:tc>
      </w:tr>
      <w:tr w14:paraId="3BE9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noWrap w:val="0"/>
            <w:vAlign w:val="center"/>
          </w:tcPr>
          <w:p w14:paraId="78C1FA21">
            <w:pPr>
              <w:spacing w:line="360" w:lineRule="auto"/>
              <w:jc w:val="center"/>
              <w:rPr>
                <w:rFonts w:hint="eastAsia" w:ascii="宋体" w:hAnsi="宋体" w:eastAsia="宋体" w:cs="宋体"/>
                <w:b/>
                <w:bCs/>
                <w:color w:val="auto"/>
                <w:kern w:val="2"/>
                <w:sz w:val="24"/>
                <w:szCs w:val="22"/>
                <w:highlight w:val="none"/>
                <w:lang w:val="en-US" w:eastAsia="zh-CN" w:bidi="ar-SA"/>
              </w:rPr>
            </w:pPr>
            <w:r>
              <w:rPr>
                <w:rFonts w:ascii="宋体" w:hAnsi="宋体" w:cs="宋体"/>
                <w:b/>
                <w:bCs/>
                <w:color w:val="auto"/>
                <w:sz w:val="24"/>
                <w:szCs w:val="24"/>
                <w:highlight w:val="none"/>
              </w:rPr>
              <w:t>重要指标项</w:t>
            </w:r>
          </w:p>
        </w:tc>
        <w:tc>
          <w:tcPr>
            <w:tcW w:w="1198" w:type="pct"/>
            <w:shd w:val="clear" w:color="auto" w:fill="auto"/>
            <w:noWrap w:val="0"/>
            <w:vAlign w:val="center"/>
          </w:tcPr>
          <w:p w14:paraId="7F96AA84">
            <w:pPr>
              <w:spacing w:line="360" w:lineRule="auto"/>
              <w:jc w:val="center"/>
              <w:rPr>
                <w:rFonts w:hint="eastAsia" w:ascii="宋体" w:hAnsi="宋体" w:eastAsia="宋体" w:cs="宋体"/>
                <w:b/>
                <w:bCs/>
                <w:color w:val="auto"/>
                <w:kern w:val="2"/>
                <w:sz w:val="24"/>
                <w:szCs w:val="22"/>
                <w:highlight w:val="none"/>
                <w:lang w:val="en-US" w:eastAsia="zh-CN" w:bidi="ar-SA"/>
              </w:rPr>
            </w:pPr>
            <w:bookmarkStart w:id="88" w:name="OLE_LINK18"/>
            <w:r>
              <w:rPr>
                <w:rFonts w:ascii="宋体" w:hAnsi="宋体" w:cs="宋体"/>
                <w:b/>
                <w:bCs/>
                <w:color w:val="auto"/>
                <w:sz w:val="24"/>
                <w:szCs w:val="24"/>
                <w:highlight w:val="none"/>
              </w:rPr>
              <w:t>★</w:t>
            </w:r>
            <w:bookmarkEnd w:id="88"/>
          </w:p>
        </w:tc>
        <w:tc>
          <w:tcPr>
            <w:tcW w:w="2135" w:type="pct"/>
            <w:shd w:val="clear" w:color="auto" w:fill="auto"/>
            <w:noWrap w:val="0"/>
            <w:vAlign w:val="center"/>
          </w:tcPr>
          <w:p w14:paraId="1796F2FA">
            <w:pPr>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须提供相关证明材料（官网截图等）</w:t>
            </w:r>
          </w:p>
        </w:tc>
      </w:tr>
    </w:tbl>
    <w:p w14:paraId="027BEA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设备配置清单</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902"/>
        <w:gridCol w:w="1903"/>
        <w:gridCol w:w="2627"/>
      </w:tblGrid>
      <w:tr w14:paraId="2B1E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noWrap w:val="0"/>
            <w:vAlign w:val="center"/>
          </w:tcPr>
          <w:p w14:paraId="6BB5314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498" w:type="pct"/>
            <w:noWrap w:val="0"/>
            <w:vAlign w:val="center"/>
          </w:tcPr>
          <w:p w14:paraId="736BDC5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w:t>
            </w:r>
          </w:p>
        </w:tc>
        <w:tc>
          <w:tcPr>
            <w:tcW w:w="1050" w:type="pct"/>
            <w:noWrap w:val="0"/>
            <w:vAlign w:val="center"/>
          </w:tcPr>
          <w:p w14:paraId="58454F0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50" w:type="pct"/>
            <w:noWrap w:val="0"/>
            <w:vAlign w:val="center"/>
          </w:tcPr>
          <w:p w14:paraId="1423DD1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p>
        </w:tc>
      </w:tr>
      <w:tr w14:paraId="1CF2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00" w:type="pct"/>
            <w:noWrap w:val="0"/>
            <w:vAlign w:val="center"/>
          </w:tcPr>
          <w:p w14:paraId="27634F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一体式计算机</w:t>
            </w:r>
          </w:p>
        </w:tc>
        <w:tc>
          <w:tcPr>
            <w:tcW w:w="498" w:type="pct"/>
            <w:noWrap w:val="0"/>
            <w:vAlign w:val="center"/>
          </w:tcPr>
          <w:p w14:paraId="728DD24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050" w:type="pct"/>
            <w:noWrap w:val="0"/>
            <w:vAlign w:val="center"/>
          </w:tcPr>
          <w:p w14:paraId="685F843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450" w:type="pct"/>
            <w:noWrap w:val="0"/>
            <w:vAlign w:val="top"/>
          </w:tcPr>
          <w:p w14:paraId="3875030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3500元/台</w:t>
            </w:r>
          </w:p>
        </w:tc>
      </w:tr>
      <w:tr w14:paraId="5A28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0" w:type="pct"/>
            <w:noWrap w:val="0"/>
            <w:vAlign w:val="center"/>
          </w:tcPr>
          <w:p w14:paraId="20FD97A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笔记本电脑</w:t>
            </w:r>
          </w:p>
          <w:p w14:paraId="52D4AE3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（移动工作站级）</w:t>
            </w:r>
          </w:p>
        </w:tc>
        <w:tc>
          <w:tcPr>
            <w:tcW w:w="498" w:type="pct"/>
            <w:noWrap w:val="0"/>
            <w:vAlign w:val="center"/>
          </w:tcPr>
          <w:p w14:paraId="6754FA1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050" w:type="pct"/>
            <w:noWrap w:val="0"/>
            <w:vAlign w:val="center"/>
          </w:tcPr>
          <w:p w14:paraId="37B4938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0" w:type="pct"/>
            <w:noWrap w:val="0"/>
            <w:vAlign w:val="top"/>
          </w:tcPr>
          <w:p w14:paraId="3290ECC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9000元/台</w:t>
            </w:r>
          </w:p>
        </w:tc>
      </w:tr>
      <w:tr w14:paraId="7CEC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noWrap w:val="0"/>
            <w:vAlign w:val="top"/>
          </w:tcPr>
          <w:p w14:paraId="2C85218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24口交换机</w:t>
            </w:r>
          </w:p>
        </w:tc>
        <w:tc>
          <w:tcPr>
            <w:tcW w:w="498" w:type="pct"/>
            <w:noWrap w:val="0"/>
            <w:vAlign w:val="center"/>
          </w:tcPr>
          <w:p w14:paraId="19086EA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050" w:type="pct"/>
            <w:noWrap w:val="0"/>
            <w:vAlign w:val="center"/>
          </w:tcPr>
          <w:p w14:paraId="12F51E3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0" w:type="pct"/>
            <w:noWrap w:val="0"/>
            <w:vAlign w:val="top"/>
          </w:tcPr>
          <w:p w14:paraId="274CEB5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1500元/台</w:t>
            </w:r>
          </w:p>
        </w:tc>
      </w:tr>
      <w:tr w14:paraId="114E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noWrap w:val="0"/>
            <w:vAlign w:val="top"/>
          </w:tcPr>
          <w:p w14:paraId="5ACFEDB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22U机柜</w:t>
            </w:r>
          </w:p>
        </w:tc>
        <w:tc>
          <w:tcPr>
            <w:tcW w:w="498" w:type="pct"/>
            <w:noWrap w:val="0"/>
            <w:vAlign w:val="center"/>
          </w:tcPr>
          <w:p w14:paraId="075059E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1050" w:type="pct"/>
            <w:noWrap w:val="0"/>
            <w:vAlign w:val="center"/>
          </w:tcPr>
          <w:p w14:paraId="5153688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0" w:type="pct"/>
            <w:noWrap w:val="0"/>
            <w:vAlign w:val="top"/>
          </w:tcPr>
          <w:p w14:paraId="3E1361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1000元/个</w:t>
            </w:r>
          </w:p>
        </w:tc>
      </w:tr>
      <w:tr w14:paraId="23BC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noWrap w:val="0"/>
            <w:vAlign w:val="top"/>
          </w:tcPr>
          <w:p w14:paraId="7E7A515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网络布线、安装、所有辅材等</w:t>
            </w:r>
          </w:p>
        </w:tc>
        <w:tc>
          <w:tcPr>
            <w:tcW w:w="498" w:type="pct"/>
            <w:noWrap w:val="0"/>
            <w:vAlign w:val="center"/>
          </w:tcPr>
          <w:p w14:paraId="5E8C3B3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1050" w:type="pct"/>
            <w:noWrap w:val="0"/>
            <w:vAlign w:val="center"/>
          </w:tcPr>
          <w:p w14:paraId="2364EAC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0" w:type="pct"/>
            <w:noWrap w:val="0"/>
            <w:vAlign w:val="top"/>
          </w:tcPr>
          <w:p w14:paraId="69133AC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2500元/项</w:t>
            </w:r>
          </w:p>
        </w:tc>
      </w:tr>
    </w:tbl>
    <w:p w14:paraId="15CDA2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eastAsia="zh-CN"/>
        </w:rPr>
      </w:pPr>
    </w:p>
    <w:p w14:paraId="2300F6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技术参数及要求</w:t>
      </w:r>
    </w:p>
    <w:tbl>
      <w:tblPr>
        <w:tblStyle w:val="37"/>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82"/>
        <w:gridCol w:w="5313"/>
        <w:gridCol w:w="1487"/>
      </w:tblGrid>
      <w:tr w14:paraId="7F53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196B49D6">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48" w:type="pct"/>
          </w:tcPr>
          <w:p w14:paraId="51274FA0">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2827" w:type="pct"/>
          </w:tcPr>
          <w:p w14:paraId="4DC475F4">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技术参数及要求</w:t>
            </w:r>
          </w:p>
        </w:tc>
        <w:tc>
          <w:tcPr>
            <w:tcW w:w="791" w:type="pct"/>
          </w:tcPr>
          <w:p w14:paraId="301085A7">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单项限价（元）</w:t>
            </w:r>
          </w:p>
        </w:tc>
      </w:tr>
      <w:tr w14:paraId="0EF0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1" w:hRule="atLeast"/>
          <w:jc w:val="center"/>
        </w:trPr>
        <w:tc>
          <w:tcPr>
            <w:tcW w:w="432" w:type="pct"/>
            <w:vAlign w:val="center"/>
          </w:tcPr>
          <w:p w14:paraId="4066FD6B">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8" w:type="pct"/>
            <w:vAlign w:val="center"/>
          </w:tcPr>
          <w:p w14:paraId="01CE3C17">
            <w:pPr>
              <w:spacing w:line="360" w:lineRule="auto"/>
              <w:jc w:val="center"/>
              <w:rPr>
                <w:rFonts w:hint="default" w:ascii="宋体" w:hAnsi="宋体" w:eastAsia="宋体" w:cs="宋体"/>
                <w:color w:val="auto"/>
                <w:sz w:val="24"/>
                <w:szCs w:val="24"/>
                <w:highlight w:val="none"/>
                <w:lang w:val="en-US" w:eastAsia="zh-CN"/>
              </w:rPr>
            </w:pPr>
            <w:bookmarkStart w:id="89" w:name="OLE_LINK23"/>
            <w:r>
              <w:rPr>
                <w:rFonts w:hint="eastAsia" w:ascii="宋体" w:hAnsi="宋体" w:cs="宋体"/>
                <w:color w:val="auto"/>
                <w:sz w:val="24"/>
                <w:szCs w:val="24"/>
                <w:highlight w:val="none"/>
                <w:lang w:val="en-US" w:eastAsia="zh-CN"/>
              </w:rPr>
              <w:t>一体式</w:t>
            </w:r>
            <w:bookmarkEnd w:id="89"/>
            <w:r>
              <w:rPr>
                <w:rFonts w:hint="eastAsia" w:ascii="宋体" w:hAnsi="宋体" w:cs="宋体"/>
                <w:color w:val="auto"/>
                <w:sz w:val="24"/>
                <w:szCs w:val="24"/>
                <w:highlight w:val="none"/>
                <w:lang w:val="en-US" w:eastAsia="zh-CN"/>
              </w:rPr>
              <w:t>电脑</w:t>
            </w:r>
          </w:p>
        </w:tc>
        <w:tc>
          <w:tcPr>
            <w:tcW w:w="2827" w:type="pct"/>
            <w:vAlign w:val="center"/>
          </w:tcPr>
          <w:p w14:paraId="6EDDC372">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.CPU：核心/线程</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4核8线程</w:t>
            </w:r>
            <w:bookmarkStart w:id="90" w:name="OLE_LINK4"/>
            <w:r>
              <w:rPr>
                <w:rFonts w:hint="eastAsia" w:ascii="宋体" w:hAnsi="宋体" w:cs="宋体"/>
                <w:color w:val="auto"/>
                <w:sz w:val="24"/>
                <w:szCs w:val="24"/>
                <w:highlight w:val="none"/>
                <w:lang w:val="en-US" w:eastAsia="zh-CN"/>
              </w:rPr>
              <w:t>，加速频率</w:t>
            </w:r>
            <w:r>
              <w:rPr>
                <w:rFonts w:hint="eastAsia" w:ascii="宋体" w:hAnsi="宋体" w:eastAsia="宋体" w:cs="宋体"/>
                <w:color w:val="auto"/>
                <w:sz w:val="24"/>
                <w:szCs w:val="24"/>
                <w:highlight w:val="none"/>
                <w:lang w:val="en-US" w:eastAsia="zh-CN"/>
              </w:rPr>
              <w:t>≥</w:t>
            </w:r>
            <w:bookmarkEnd w:id="90"/>
            <w:r>
              <w:rPr>
                <w:rFonts w:hint="eastAsia" w:ascii="宋体" w:hAnsi="宋体" w:cs="宋体"/>
                <w:color w:val="auto"/>
                <w:sz w:val="24"/>
                <w:szCs w:val="24"/>
                <w:highlight w:val="none"/>
                <w:lang w:val="en-US" w:eastAsia="zh-CN"/>
              </w:rPr>
              <w:t>4.0GHz L3缓存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4MB</w:t>
            </w:r>
            <w:r>
              <w:rPr>
                <w:rFonts w:hint="eastAsia" w:ascii="宋体" w:hAnsi="宋体" w:eastAsia="宋体" w:cs="宋体"/>
                <w:color w:val="auto"/>
                <w:sz w:val="24"/>
                <w:szCs w:val="24"/>
                <w:highlight w:val="none"/>
                <w:lang w:val="en-US" w:eastAsia="zh-CN"/>
              </w:rPr>
              <w:t>；</w:t>
            </w:r>
          </w:p>
          <w:p w14:paraId="116314ED">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内存：≥</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GB</w:t>
            </w:r>
            <w:r>
              <w:rPr>
                <w:rFonts w:hint="eastAsia" w:ascii="宋体" w:hAnsi="宋体" w:cs="宋体"/>
                <w:color w:val="auto"/>
                <w:sz w:val="24"/>
                <w:szCs w:val="24"/>
                <w:highlight w:val="none"/>
                <w:lang w:val="en-US" w:eastAsia="zh-CN"/>
              </w:rPr>
              <w:t xml:space="preserve"> DDR4</w:t>
            </w:r>
            <w:r>
              <w:rPr>
                <w:rFonts w:hint="eastAsia" w:ascii="宋体" w:hAnsi="宋体" w:eastAsia="宋体" w:cs="宋体"/>
                <w:color w:val="auto"/>
                <w:sz w:val="24"/>
                <w:szCs w:val="24"/>
                <w:highlight w:val="none"/>
                <w:lang w:val="en-US" w:eastAsia="zh-CN"/>
              </w:rPr>
              <w:t>内存</w:t>
            </w:r>
            <w:bookmarkStart w:id="91" w:name="OLE_LINK5"/>
            <w:r>
              <w:rPr>
                <w:rFonts w:hint="eastAsia" w:ascii="宋体" w:hAnsi="宋体" w:eastAsia="宋体" w:cs="宋体"/>
                <w:color w:val="auto"/>
                <w:sz w:val="24"/>
                <w:szCs w:val="24"/>
                <w:highlight w:val="none"/>
                <w:lang w:val="en-US" w:eastAsia="zh-CN"/>
              </w:rPr>
              <w:t>；</w:t>
            </w:r>
          </w:p>
          <w:p w14:paraId="1C59DC85">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bookmarkEnd w:id="91"/>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固态硬盘：≥</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val="en-US" w:eastAsia="zh-CN"/>
              </w:rPr>
              <w:t>G；</w:t>
            </w:r>
          </w:p>
          <w:p w14:paraId="27D3079C">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集成显</w:t>
            </w:r>
            <w:r>
              <w:rPr>
                <w:rFonts w:hint="eastAsia" w:ascii="宋体" w:hAnsi="宋体" w:cs="宋体"/>
                <w:color w:val="auto"/>
                <w:sz w:val="24"/>
                <w:szCs w:val="24"/>
                <w:highlight w:val="none"/>
                <w:lang w:val="en-US" w:eastAsia="zh-CN"/>
              </w:rPr>
              <w:t>卡、千兆有线网卡；</w:t>
            </w:r>
          </w:p>
          <w:p w14:paraId="2A4481E4">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显示器：</w:t>
            </w:r>
            <w:r>
              <w:rPr>
                <w:rFonts w:hint="eastAsia" w:ascii="宋体" w:hAnsi="宋体" w:cs="宋体"/>
                <w:color w:val="auto"/>
                <w:sz w:val="24"/>
                <w:szCs w:val="24"/>
                <w:highlight w:val="none"/>
                <w:lang w:val="en-US" w:eastAsia="zh-CN"/>
              </w:rPr>
              <w:t>屏幕尺寸</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英寸</w:t>
            </w:r>
            <w:r>
              <w:rPr>
                <w:rFonts w:hint="eastAsia" w:ascii="宋体" w:hAnsi="宋体" w:cs="宋体"/>
                <w:color w:val="auto"/>
                <w:sz w:val="24"/>
                <w:szCs w:val="24"/>
                <w:highlight w:val="none"/>
                <w:lang w:val="en-US" w:eastAsia="zh-CN"/>
              </w:rPr>
              <w:t>,分辨率</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1920*1080</w:t>
            </w:r>
            <w:r>
              <w:rPr>
                <w:rFonts w:hint="eastAsia" w:ascii="宋体" w:hAnsi="宋体" w:eastAsia="宋体" w:cs="宋体"/>
                <w:color w:val="auto"/>
                <w:sz w:val="24"/>
                <w:szCs w:val="24"/>
                <w:highlight w:val="none"/>
                <w:lang w:val="en-US" w:eastAsia="zh-CN"/>
              </w:rPr>
              <w:t>；</w:t>
            </w:r>
          </w:p>
          <w:p w14:paraId="584E538D">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6.接口</w:t>
            </w: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个USB接口</w:t>
            </w:r>
            <w:r>
              <w:rPr>
                <w:rFonts w:hint="eastAsia" w:ascii="宋体" w:hAnsi="宋体" w:cs="宋体"/>
                <w:color w:val="auto"/>
                <w:sz w:val="24"/>
                <w:szCs w:val="24"/>
                <w:highlight w:val="none"/>
                <w:lang w:val="en-US" w:eastAsia="zh-CN"/>
              </w:rPr>
              <w:t>,1x麦克风接口</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 1x音频接口</w:t>
            </w:r>
            <w:r>
              <w:rPr>
                <w:rFonts w:hint="eastAsia" w:ascii="宋体" w:hAnsi="宋体" w:eastAsia="宋体" w:cs="宋体"/>
                <w:color w:val="auto"/>
                <w:sz w:val="24"/>
                <w:szCs w:val="24"/>
                <w:highlight w:val="none"/>
                <w:lang w:val="en-US" w:eastAsia="zh-CN"/>
              </w:rPr>
              <w:t>，标配USB键盘、USB光电鼠标；</w:t>
            </w:r>
          </w:p>
          <w:p w14:paraId="302247EE">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预装正版系统同时配套正版办公软件，供货整机为原</w:t>
            </w:r>
            <w:r>
              <w:rPr>
                <w:rFonts w:hint="eastAsia" w:ascii="宋体" w:hAnsi="宋体" w:cs="宋体"/>
                <w:color w:val="auto"/>
                <w:sz w:val="24"/>
                <w:szCs w:val="24"/>
                <w:highlight w:val="none"/>
                <w:lang w:val="en-US" w:eastAsia="zh-CN"/>
              </w:rPr>
              <w:t>厂</w:t>
            </w:r>
            <w:r>
              <w:rPr>
                <w:rFonts w:hint="eastAsia" w:ascii="宋体" w:hAnsi="宋体" w:eastAsia="宋体" w:cs="宋体"/>
                <w:color w:val="auto"/>
                <w:sz w:val="24"/>
                <w:szCs w:val="24"/>
                <w:highlight w:val="none"/>
                <w:lang w:val="en-US" w:eastAsia="zh-CN"/>
              </w:rPr>
              <w:t>未拆封机器</w:t>
            </w:r>
            <w:r>
              <w:rPr>
                <w:rFonts w:hint="eastAsia" w:ascii="宋体" w:hAnsi="宋体" w:cs="宋体"/>
                <w:color w:val="auto"/>
                <w:sz w:val="24"/>
                <w:szCs w:val="24"/>
                <w:highlight w:val="none"/>
                <w:lang w:val="en-US" w:eastAsia="zh-CN"/>
              </w:rPr>
              <w:t>。</w:t>
            </w:r>
          </w:p>
        </w:tc>
        <w:tc>
          <w:tcPr>
            <w:tcW w:w="791" w:type="pct"/>
            <w:vAlign w:val="center"/>
          </w:tcPr>
          <w:p w14:paraId="20C5EB89">
            <w:pPr>
              <w:spacing w:line="360" w:lineRule="auto"/>
              <w:jc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3500元/台</w:t>
            </w:r>
          </w:p>
        </w:tc>
      </w:tr>
      <w:tr w14:paraId="4336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27B90D6">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8" w:type="pct"/>
            <w:vAlign w:val="center"/>
          </w:tcPr>
          <w:p w14:paraId="283EFFF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笔记本电脑</w:t>
            </w:r>
          </w:p>
          <w:p w14:paraId="30232CA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（移动工作站级）</w:t>
            </w:r>
          </w:p>
        </w:tc>
        <w:tc>
          <w:tcPr>
            <w:tcW w:w="2827" w:type="pct"/>
            <w:vAlign w:val="center"/>
          </w:tcPr>
          <w:p w14:paraId="69586C70">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.CPU：核心/线程</w:t>
            </w:r>
            <w:r>
              <w:rPr>
                <w:rFonts w:hint="eastAsia" w:ascii="宋体" w:hAnsi="宋体" w:eastAsia="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核20线程，加速频率</w:t>
            </w:r>
            <w:r>
              <w:rPr>
                <w:rFonts w:hint="eastAsia" w:ascii="宋体" w:hAnsi="宋体" w:eastAsia="宋体" w:cs="宋体"/>
                <w:color w:val="auto"/>
                <w:sz w:val="24"/>
                <w:szCs w:val="24"/>
                <w:highlight w:val="none"/>
                <w:lang w:val="en-US" w:eastAsia="zh-CN"/>
              </w:rPr>
              <w:t>≥5.0GHz L3缓存≥30MB；</w:t>
            </w:r>
          </w:p>
          <w:p w14:paraId="1199DD4D">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内存：≥</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GB</w:t>
            </w:r>
            <w:r>
              <w:rPr>
                <w:rFonts w:hint="eastAsia" w:ascii="宋体" w:hAnsi="宋体" w:cs="宋体"/>
                <w:color w:val="auto"/>
                <w:sz w:val="24"/>
                <w:szCs w:val="24"/>
                <w:highlight w:val="none"/>
                <w:lang w:val="en-US" w:eastAsia="zh-CN"/>
              </w:rPr>
              <w:t xml:space="preserve"> DDR5</w:t>
            </w:r>
            <w:r>
              <w:rPr>
                <w:rFonts w:hint="eastAsia" w:ascii="宋体" w:hAnsi="宋体" w:eastAsia="宋体" w:cs="宋体"/>
                <w:color w:val="auto"/>
                <w:sz w:val="24"/>
                <w:szCs w:val="24"/>
                <w:highlight w:val="none"/>
                <w:lang w:val="en-US" w:eastAsia="zh-CN"/>
              </w:rPr>
              <w:t>内存，≥2个内存插槽；</w:t>
            </w:r>
          </w:p>
          <w:p w14:paraId="439205ED">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固态硬盘：≥</w:t>
            </w:r>
            <w:r>
              <w:rPr>
                <w:rFonts w:hint="eastAsia" w:ascii="宋体" w:hAnsi="宋体" w:cs="宋体"/>
                <w:color w:val="auto"/>
                <w:sz w:val="24"/>
                <w:szCs w:val="24"/>
                <w:highlight w:val="none"/>
                <w:lang w:val="en-US" w:eastAsia="zh-CN"/>
              </w:rPr>
              <w:t>1TB</w:t>
            </w:r>
            <w:r>
              <w:rPr>
                <w:rFonts w:hint="eastAsia" w:ascii="宋体" w:hAnsi="宋体" w:eastAsia="宋体" w:cs="宋体"/>
                <w:color w:val="auto"/>
                <w:sz w:val="24"/>
                <w:szCs w:val="24"/>
                <w:highlight w:val="none"/>
                <w:lang w:val="en-US" w:eastAsia="zh-CN"/>
              </w:rPr>
              <w:t>；</w:t>
            </w:r>
          </w:p>
          <w:p w14:paraId="02DB095A">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.显卡：CUDA核心</w:t>
            </w:r>
            <w:r>
              <w:rPr>
                <w:rFonts w:hint="eastAsia" w:ascii="宋体" w:hAnsi="宋体" w:eastAsia="宋体" w:cs="宋体"/>
                <w:color w:val="auto"/>
                <w:sz w:val="24"/>
                <w:szCs w:val="24"/>
                <w:highlight w:val="none"/>
                <w:lang w:val="en-US" w:eastAsia="zh-CN"/>
              </w:rPr>
              <w:t>≥3328，显存≥</w:t>
            </w:r>
            <w:r>
              <w:rPr>
                <w:rFonts w:hint="eastAsia" w:ascii="宋体" w:hAnsi="宋体" w:cs="宋体"/>
                <w:color w:val="auto"/>
                <w:sz w:val="24"/>
                <w:szCs w:val="24"/>
                <w:highlight w:val="none"/>
                <w:lang w:val="en-US" w:eastAsia="zh-CN"/>
              </w:rPr>
              <w:t>8GB GDDR7,CPUAI算力</w:t>
            </w:r>
            <w:r>
              <w:rPr>
                <w:rFonts w:hint="eastAsia" w:ascii="宋体" w:hAnsi="宋体" w:eastAsia="宋体" w:cs="宋体"/>
                <w:color w:val="auto"/>
                <w:sz w:val="24"/>
                <w:szCs w:val="24"/>
                <w:highlight w:val="none"/>
                <w:lang w:val="en-US" w:eastAsia="zh-CN"/>
              </w:rPr>
              <w:t>≥572TOPS，支持DLSS4</w:t>
            </w:r>
            <w:r>
              <w:rPr>
                <w:rFonts w:hint="eastAsia" w:ascii="宋体" w:hAnsi="宋体" w:cs="宋体"/>
                <w:color w:val="auto"/>
                <w:sz w:val="24"/>
                <w:szCs w:val="24"/>
                <w:highlight w:val="none"/>
                <w:lang w:val="en-US" w:eastAsia="zh-CN"/>
              </w:rPr>
              <w:t>；</w:t>
            </w:r>
          </w:p>
          <w:p w14:paraId="31EB167D">
            <w:pPr>
              <w:keepNext w:val="0"/>
              <w:keepLines w:val="0"/>
              <w:pageBreakBefore w:val="0"/>
              <w:numPr>
                <w:ilvl w:val="0"/>
                <w:numId w:val="4"/>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显示器： </w:t>
            </w:r>
            <w:r>
              <w:rPr>
                <w:rFonts w:hint="eastAsia" w:ascii="宋体" w:hAnsi="宋体" w:cs="宋体"/>
                <w:color w:val="auto"/>
                <w:sz w:val="24"/>
                <w:szCs w:val="24"/>
                <w:highlight w:val="none"/>
                <w:lang w:val="en-US" w:eastAsia="zh-CN"/>
              </w:rPr>
              <w:t>屏幕尺寸</w:t>
            </w:r>
            <w:r>
              <w:rPr>
                <w:rFonts w:hint="eastAsia" w:ascii="宋体" w:hAnsi="宋体" w:eastAsia="宋体" w:cs="宋体"/>
                <w:color w:val="auto"/>
                <w:sz w:val="24"/>
                <w:szCs w:val="24"/>
                <w:highlight w:val="none"/>
                <w:lang w:val="en-US" w:eastAsia="zh-CN"/>
              </w:rPr>
              <w:t>≥15.3英寸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分辨率≥2.5K，刷新率≥120Hz；</w:t>
            </w:r>
          </w:p>
          <w:p w14:paraId="593BDAF6">
            <w:pPr>
              <w:keepNext w:val="0"/>
              <w:keepLines w:val="0"/>
              <w:pageBreakBefore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6.接口</w:t>
            </w:r>
            <w:r>
              <w:rPr>
                <w:rFonts w:hint="eastAsia" w:ascii="宋体" w:hAnsi="宋体" w:eastAsia="宋体" w:cs="宋体"/>
                <w:color w:val="auto"/>
                <w:sz w:val="24"/>
                <w:szCs w:val="24"/>
                <w:highlight w:val="none"/>
                <w:lang w:val="en-US" w:eastAsia="zh-CN"/>
              </w:rPr>
              <w:t>：双天线无线</w:t>
            </w:r>
            <w:r>
              <w:rPr>
                <w:rFonts w:hint="eastAsia" w:ascii="宋体" w:hAnsi="宋体" w:cs="宋体"/>
                <w:color w:val="auto"/>
                <w:sz w:val="24"/>
                <w:szCs w:val="24"/>
                <w:highlight w:val="none"/>
                <w:lang w:val="en-US" w:eastAsia="zh-CN"/>
              </w:rPr>
              <w:t>网卡、千兆有线网卡,</w:t>
            </w:r>
            <w:r>
              <w:rPr>
                <w:rFonts w:hint="eastAsia" w:ascii="宋体" w:hAnsi="宋体" w:eastAsia="宋体" w:cs="宋体"/>
                <w:color w:val="auto"/>
                <w:sz w:val="24"/>
                <w:szCs w:val="24"/>
                <w:highlight w:val="none"/>
                <w:lang w:val="en-US" w:eastAsia="zh-CN"/>
              </w:rPr>
              <w:t>满足≥3个USB-A、USB-C接口</w:t>
            </w:r>
            <w:r>
              <w:rPr>
                <w:rFonts w:hint="eastAsia" w:ascii="宋体" w:hAnsi="宋体" w:cs="宋体"/>
                <w:color w:val="auto"/>
                <w:sz w:val="24"/>
                <w:szCs w:val="24"/>
                <w:highlight w:val="none"/>
                <w:lang w:val="en-US" w:eastAsia="zh-CN"/>
              </w:rPr>
              <w:t>,1xHDMI</w:t>
            </w:r>
            <w:r>
              <w:rPr>
                <w:rFonts w:hint="eastAsia" w:ascii="宋体" w:hAnsi="宋体" w:eastAsia="宋体" w:cs="宋体"/>
                <w:color w:val="auto"/>
                <w:sz w:val="24"/>
                <w:szCs w:val="24"/>
                <w:highlight w:val="none"/>
                <w:lang w:val="en-US" w:eastAsia="zh-CN"/>
              </w:rPr>
              <w:t>；</w:t>
            </w:r>
          </w:p>
          <w:p w14:paraId="3C6990EC">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i w:val="0"/>
                <w:iCs w:val="0"/>
                <w:color w:val="auto"/>
                <w:kern w:val="2"/>
                <w:sz w:val="24"/>
                <w:szCs w:val="24"/>
                <w:highlight w:val="none"/>
                <w:u w:val="none"/>
                <w:vertAlign w:val="baseline"/>
                <w:lang w:val="en-US" w:eastAsia="zh-CN" w:bidi="ar"/>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预装正版系统同时配套正版办公软件，供货整机为原</w:t>
            </w:r>
            <w:r>
              <w:rPr>
                <w:rFonts w:hint="eastAsia" w:ascii="宋体" w:hAnsi="宋体" w:cs="宋体"/>
                <w:color w:val="auto"/>
                <w:sz w:val="24"/>
                <w:szCs w:val="24"/>
                <w:highlight w:val="none"/>
                <w:lang w:val="en-US" w:eastAsia="zh-CN"/>
              </w:rPr>
              <w:t>厂</w:t>
            </w:r>
            <w:r>
              <w:rPr>
                <w:rFonts w:hint="eastAsia" w:ascii="宋体" w:hAnsi="宋体" w:eastAsia="宋体" w:cs="宋体"/>
                <w:color w:val="auto"/>
                <w:sz w:val="24"/>
                <w:szCs w:val="24"/>
                <w:highlight w:val="none"/>
                <w:lang w:val="en-US" w:eastAsia="zh-CN"/>
              </w:rPr>
              <w:t>未拆封机器.</w:t>
            </w:r>
          </w:p>
        </w:tc>
        <w:tc>
          <w:tcPr>
            <w:tcW w:w="791" w:type="pct"/>
            <w:vAlign w:val="center"/>
          </w:tcPr>
          <w:p w14:paraId="03025922">
            <w:pPr>
              <w:spacing w:line="360" w:lineRule="auto"/>
              <w:jc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9000元/台</w:t>
            </w:r>
          </w:p>
        </w:tc>
      </w:tr>
      <w:tr w14:paraId="71E8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AED9251">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8" w:type="pct"/>
            <w:vAlign w:val="top"/>
          </w:tcPr>
          <w:p w14:paraId="6EDCDA0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24口交换机</w:t>
            </w:r>
          </w:p>
        </w:tc>
        <w:tc>
          <w:tcPr>
            <w:tcW w:w="2827" w:type="pct"/>
            <w:vAlign w:val="center"/>
          </w:tcPr>
          <w:p w14:paraId="03CF4D20">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1、企业级千兆交换机机架式</w:t>
            </w:r>
            <w:r>
              <w:rPr>
                <w:rFonts w:hint="eastAsia" w:ascii="宋体" w:hAnsi="宋体" w:eastAsia="宋体" w:cs="宋体"/>
                <w:color w:val="auto"/>
                <w:sz w:val="24"/>
                <w:szCs w:val="24"/>
                <w:highlight w:val="none"/>
                <w:lang w:val="en-US" w:eastAsia="zh-CN"/>
              </w:rPr>
              <w:t>；</w:t>
            </w:r>
          </w:p>
          <w:p w14:paraId="31D03E6D">
            <w:pPr>
              <w:keepNext w:val="0"/>
              <w:keepLines w:val="0"/>
              <w:pageBreakBefore w:val="0"/>
              <w:widowControl/>
              <w:numPr>
                <w:ilvl w:val="0"/>
                <w:numId w:val="5"/>
              </w:numPr>
              <w:suppressLineNumbers w:val="0"/>
              <w:kinsoku/>
              <w:wordWrap/>
              <w:overflowPunct/>
              <w:topLinePunct w:val="0"/>
              <w:autoSpaceDE/>
              <w:autoSpaceDN/>
              <w:bidi w:val="0"/>
              <w:adjustRightInd/>
              <w:spacing w:line="360" w:lineRule="auto"/>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千兆电口</w:t>
            </w:r>
            <w:r>
              <w:rPr>
                <w:rFonts w:hint="eastAsia" w:ascii="宋体" w:hAnsi="宋体" w:eastAsia="宋体" w:cs="宋体"/>
                <w:color w:val="auto"/>
                <w:sz w:val="24"/>
                <w:szCs w:val="24"/>
                <w:highlight w:val="none"/>
                <w:lang w:val="en-US" w:eastAsia="zh-CN"/>
              </w:rPr>
              <w:t>≥24个，</w:t>
            </w:r>
            <w:r>
              <w:rPr>
                <w:rFonts w:hint="eastAsia" w:ascii="宋体" w:hAnsi="宋体" w:cs="宋体"/>
                <w:color w:val="auto"/>
                <w:sz w:val="24"/>
                <w:szCs w:val="24"/>
                <w:highlight w:val="none"/>
                <w:lang w:val="en-US" w:eastAsia="zh-CN"/>
              </w:rPr>
              <w:t>万兆光口</w:t>
            </w:r>
            <w:r>
              <w:rPr>
                <w:rFonts w:hint="eastAsia" w:ascii="宋体" w:hAnsi="宋体" w:eastAsia="宋体" w:cs="宋体"/>
                <w:color w:val="auto"/>
                <w:sz w:val="24"/>
                <w:szCs w:val="24"/>
                <w:highlight w:val="none"/>
                <w:lang w:val="en-US" w:eastAsia="zh-CN"/>
              </w:rPr>
              <w:t>≥2个；</w:t>
            </w:r>
          </w:p>
          <w:p w14:paraId="483CF80C">
            <w:pPr>
              <w:keepNext w:val="0"/>
              <w:keepLines w:val="0"/>
              <w:pageBreakBefore w:val="0"/>
              <w:widowControl/>
              <w:numPr>
                <w:ilvl w:val="0"/>
                <w:numId w:val="5"/>
              </w:numPr>
              <w:suppressLineNumbers w:val="0"/>
              <w:kinsoku/>
              <w:wordWrap/>
              <w:overflowPunct/>
              <w:topLinePunct w:val="0"/>
              <w:autoSpaceDE/>
              <w:autoSpaceDN/>
              <w:bidi w:val="0"/>
              <w:adjustRightInd/>
              <w:spacing w:line="360" w:lineRule="auto"/>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交换容量</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52Gbps，包转发率</w:t>
            </w:r>
            <w:r>
              <w:rPr>
                <w:rFonts w:hint="eastAsia" w:ascii="宋体" w:hAnsi="宋体" w:eastAsia="宋体" w:cs="宋体"/>
                <w:color w:val="auto"/>
                <w:sz w:val="24"/>
                <w:szCs w:val="24"/>
                <w:highlight w:val="none"/>
                <w:lang w:val="en-US" w:eastAsia="zh-CN"/>
              </w:rPr>
              <w:t>≥38.69</w:t>
            </w:r>
            <w:r>
              <w:rPr>
                <w:rFonts w:hint="eastAsia" w:ascii="宋体" w:hAnsi="宋体" w:cs="宋体"/>
                <w:color w:val="auto"/>
                <w:sz w:val="24"/>
                <w:szCs w:val="24"/>
                <w:highlight w:val="none"/>
                <w:lang w:val="en-US" w:eastAsia="zh-CN"/>
              </w:rPr>
              <w:t>Mpps</w:t>
            </w:r>
            <w:r>
              <w:rPr>
                <w:rFonts w:hint="eastAsia" w:ascii="宋体" w:hAnsi="宋体" w:eastAsia="宋体" w:cs="宋体"/>
                <w:color w:val="auto"/>
                <w:sz w:val="24"/>
                <w:szCs w:val="24"/>
                <w:highlight w:val="none"/>
                <w:lang w:val="en-US" w:eastAsia="zh-CN"/>
              </w:rPr>
              <w:t>；</w:t>
            </w:r>
          </w:p>
          <w:p w14:paraId="315EEEFB">
            <w:pPr>
              <w:keepNext w:val="0"/>
              <w:keepLines w:val="0"/>
              <w:pageBreakBefore w:val="0"/>
              <w:widowControl/>
              <w:numPr>
                <w:ilvl w:val="0"/>
                <w:numId w:val="5"/>
              </w:numPr>
              <w:suppressLineNumbers w:val="0"/>
              <w:kinsoku/>
              <w:wordWrap/>
              <w:overflowPunct/>
              <w:topLinePunct w:val="0"/>
              <w:autoSpaceDE/>
              <w:autoSpaceDN/>
              <w:bidi w:val="0"/>
              <w:adjustRightInd/>
              <w:spacing w:line="360" w:lineRule="auto"/>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支持标准交换、端口隔离功能一键切换。</w:t>
            </w:r>
          </w:p>
        </w:tc>
        <w:tc>
          <w:tcPr>
            <w:tcW w:w="791" w:type="pct"/>
            <w:vAlign w:val="center"/>
          </w:tcPr>
          <w:p w14:paraId="12D8A025">
            <w:pPr>
              <w:spacing w:line="360" w:lineRule="auto"/>
              <w:jc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1500元/台</w:t>
            </w:r>
          </w:p>
        </w:tc>
      </w:tr>
      <w:tr w14:paraId="6AD0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185A9F4">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948" w:type="pct"/>
            <w:vAlign w:val="top"/>
          </w:tcPr>
          <w:p w14:paraId="6EB17DAA">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22U机柜</w:t>
            </w:r>
          </w:p>
        </w:tc>
        <w:tc>
          <w:tcPr>
            <w:tcW w:w="2827" w:type="pct"/>
            <w:vAlign w:val="center"/>
          </w:tcPr>
          <w:p w14:paraId="2B187027">
            <w:pPr>
              <w:keepNext w:val="0"/>
              <w:keepLines w:val="0"/>
              <w:pageBreakBefore w:val="0"/>
              <w:widowControl/>
              <w:numPr>
                <w:ilvl w:val="0"/>
                <w:numId w:val="6"/>
              </w:numPr>
              <w:suppressLineNumbers w:val="0"/>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尺寸:宽600mm*深600mm*高1160mm；</w:t>
            </w:r>
          </w:p>
          <w:p w14:paraId="63248861">
            <w:pPr>
              <w:keepNext w:val="0"/>
              <w:keepLines w:val="0"/>
              <w:pageBreakBefore w:val="0"/>
              <w:widowControl/>
              <w:numPr>
                <w:ilvl w:val="0"/>
                <w:numId w:val="6"/>
              </w:numPr>
              <w:suppressLineNumbers w:val="0"/>
              <w:kinsoku/>
              <w:wordWrap/>
              <w:overflowPunct/>
              <w:topLinePunct w:val="0"/>
              <w:autoSpaceDE/>
              <w:autoSpaceDN/>
              <w:bidi w:val="0"/>
              <w:adjustRightInd/>
              <w:spacing w:line="36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主体黑色，加厚冷轧钢板；</w:t>
            </w:r>
          </w:p>
          <w:p w14:paraId="354B9A13">
            <w:pPr>
              <w:keepNext w:val="0"/>
              <w:keepLines w:val="0"/>
              <w:pageBreakBefore w:val="0"/>
              <w:widowControl/>
              <w:numPr>
                <w:ilvl w:val="0"/>
                <w:numId w:val="6"/>
              </w:numPr>
              <w:suppressLineNumbers w:val="0"/>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钢化玻璃前门、包含锁具、机柜层板和PDU电源；</w:t>
            </w:r>
          </w:p>
          <w:p w14:paraId="7ED3A535">
            <w:pPr>
              <w:keepNext w:val="0"/>
              <w:keepLines w:val="0"/>
              <w:pageBreakBefore w:val="0"/>
              <w:widowControl/>
              <w:numPr>
                <w:ilvl w:val="0"/>
                <w:numId w:val="6"/>
              </w:numPr>
              <w:suppressLineNumbers w:val="0"/>
              <w:kinsoku/>
              <w:wordWrap/>
              <w:overflowPunct/>
              <w:topLinePunct w:val="0"/>
              <w:autoSpaceDE/>
              <w:autoSpaceDN/>
              <w:bidi w:val="0"/>
              <w:adjustRightInd/>
              <w:spacing w:line="36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机柜×1；螺丝×1包；托盘×1；风扇×1；脚钉×4。</w:t>
            </w:r>
          </w:p>
        </w:tc>
        <w:tc>
          <w:tcPr>
            <w:tcW w:w="791" w:type="pct"/>
            <w:vAlign w:val="center"/>
          </w:tcPr>
          <w:p w14:paraId="7ECC7808">
            <w:pPr>
              <w:spacing w:line="360" w:lineRule="auto"/>
              <w:jc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1000元/个</w:t>
            </w:r>
          </w:p>
        </w:tc>
      </w:tr>
      <w:tr w14:paraId="56F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CD1DF40">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48" w:type="pct"/>
            <w:vAlign w:val="top"/>
          </w:tcPr>
          <w:p w14:paraId="74F97E83">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局域网布线、安装</w:t>
            </w:r>
          </w:p>
        </w:tc>
        <w:tc>
          <w:tcPr>
            <w:tcW w:w="2827" w:type="pct"/>
            <w:vAlign w:val="center"/>
          </w:tcPr>
          <w:p w14:paraId="15C0622F">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包含此项目网络布线、终端设备安装与调试及所有辅材。</w:t>
            </w:r>
          </w:p>
        </w:tc>
        <w:tc>
          <w:tcPr>
            <w:tcW w:w="791" w:type="pct"/>
            <w:vAlign w:val="center"/>
          </w:tcPr>
          <w:p w14:paraId="50D575C2">
            <w:pPr>
              <w:spacing w:line="360" w:lineRule="auto"/>
              <w:jc w:val="center"/>
              <w:rPr>
                <w:rFonts w:hint="default"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2500元/项</w:t>
            </w:r>
          </w:p>
        </w:tc>
      </w:tr>
    </w:tbl>
    <w:p w14:paraId="20885A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cs="宋体"/>
          <w:b/>
          <w:bCs/>
          <w:color w:val="auto"/>
          <w:sz w:val="24"/>
          <w:szCs w:val="24"/>
          <w:highlight w:val="none"/>
          <w:lang w:val="en-US" w:eastAsia="zh-CN"/>
        </w:rPr>
        <w:t>其他要求：</w:t>
      </w:r>
    </w:p>
    <w:p w14:paraId="55DB9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bookmarkStart w:id="92" w:name="OLE_LINK24"/>
      <w:r>
        <w:rPr>
          <w:rFonts w:hint="eastAsia" w:ascii="宋体" w:hAnsi="宋体" w:cs="宋体"/>
          <w:b w:val="0"/>
          <w:bCs w:val="0"/>
          <w:color w:val="auto"/>
          <w:sz w:val="24"/>
          <w:szCs w:val="24"/>
          <w:highlight w:val="none"/>
          <w:lang w:val="en-US" w:eastAsia="zh-CN"/>
        </w:rPr>
        <w:t>1、质保期：提供设备</w:t>
      </w:r>
      <w:bookmarkStart w:id="93" w:name="OLE_LINK21"/>
      <w:r>
        <w:rPr>
          <w:rFonts w:hint="eastAsia" w:ascii="宋体" w:hAnsi="宋体" w:cs="宋体"/>
          <w:b w:val="0"/>
          <w:bCs w:val="0"/>
          <w:color w:val="auto"/>
          <w:sz w:val="24"/>
          <w:szCs w:val="24"/>
          <w:highlight w:val="none"/>
          <w:lang w:val="en-US" w:eastAsia="zh-CN"/>
        </w:rPr>
        <w:t>上门</w:t>
      </w:r>
      <w:bookmarkEnd w:id="93"/>
      <w:r>
        <w:rPr>
          <w:rFonts w:hint="eastAsia" w:ascii="宋体" w:hAnsi="宋体" w:cs="宋体"/>
          <w:b w:val="0"/>
          <w:bCs w:val="0"/>
          <w:color w:val="auto"/>
          <w:sz w:val="24"/>
          <w:szCs w:val="24"/>
          <w:highlight w:val="none"/>
          <w:lang w:val="en-US" w:eastAsia="zh-CN"/>
        </w:rPr>
        <w:t>保修不少于</w:t>
      </w:r>
      <w:r>
        <w:rPr>
          <w:rFonts w:hint="eastAsia" w:ascii="宋体" w:hAnsi="宋体" w:cs="宋体"/>
          <w:b w:val="0"/>
          <w:bCs w:val="0"/>
          <w:color w:val="auto"/>
          <w:sz w:val="24"/>
          <w:szCs w:val="24"/>
          <w:highlight w:val="none"/>
          <w:u w:val="single"/>
          <w:lang w:val="en-US" w:eastAsia="zh-CN"/>
        </w:rPr>
        <w:t>贰年</w:t>
      </w:r>
      <w:r>
        <w:rPr>
          <w:rFonts w:hint="eastAsia" w:ascii="宋体" w:hAnsi="宋体" w:cs="宋体"/>
          <w:b w:val="0"/>
          <w:bCs w:val="0"/>
          <w:color w:val="auto"/>
          <w:sz w:val="24"/>
          <w:szCs w:val="24"/>
          <w:highlight w:val="none"/>
          <w:lang w:val="en-US" w:eastAsia="zh-CN"/>
        </w:rPr>
        <w:t>含所有部件及易损部件（一体式计算机为</w:t>
      </w:r>
      <w:r>
        <w:rPr>
          <w:rFonts w:hint="eastAsia" w:ascii="宋体" w:hAnsi="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lang w:val="en-US" w:eastAsia="zh-CN"/>
        </w:rPr>
        <w:t>年</w:t>
      </w:r>
      <w:r>
        <w:rPr>
          <w:rFonts w:hint="eastAsia" w:ascii="宋体" w:hAnsi="宋体" w:eastAsia="宋体" w:cs="宋体"/>
          <w:color w:val="auto"/>
          <w:sz w:val="24"/>
          <w:szCs w:val="24"/>
          <w:highlight w:val="none"/>
          <w:lang w:val="en-US" w:eastAsia="zh-CN"/>
        </w:rPr>
        <w:t>上门服务</w:t>
      </w:r>
      <w:r>
        <w:rPr>
          <w:rFonts w:hint="eastAsia" w:ascii="宋体" w:hAnsi="宋体" w:cs="宋体"/>
          <w:b w:val="0"/>
          <w:bCs w:val="0"/>
          <w:color w:val="auto"/>
          <w:sz w:val="24"/>
          <w:szCs w:val="24"/>
          <w:highlight w:val="none"/>
          <w:lang w:val="en-US" w:eastAsia="zh-CN"/>
        </w:rPr>
        <w:t>）。</w:t>
      </w:r>
    </w:p>
    <w:bookmarkEnd w:id="92"/>
    <w:p w14:paraId="1A585B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2、合同履行期限：</w:t>
      </w:r>
      <w:r>
        <w:rPr>
          <w:rFonts w:hint="eastAsia" w:ascii="宋体" w:hAnsi="宋体" w:eastAsia="宋体" w:cs="宋体"/>
          <w:b w:val="0"/>
          <w:bCs w:val="0"/>
          <w:color w:val="auto"/>
          <w:sz w:val="24"/>
          <w:szCs w:val="24"/>
          <w:highlight w:val="none"/>
          <w:lang w:eastAsia="zh-CN"/>
        </w:rPr>
        <w:t>合同签订后7个工作日内供货并安装调试完毕。</w:t>
      </w:r>
    </w:p>
    <w:p w14:paraId="2BD3D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3、供应商本地区有驻点维修人员，保证 24 小时内解决故障。</w:t>
      </w:r>
    </w:p>
    <w:p w14:paraId="6BA57F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eastAsia="zh-CN"/>
        </w:rPr>
      </w:pPr>
      <w:r>
        <w:rPr>
          <w:rFonts w:hint="eastAsia" w:ascii="宋体" w:hAnsi="宋体" w:cs="宋体"/>
          <w:b w:val="0"/>
          <w:bCs w:val="0"/>
          <w:color w:val="auto"/>
          <w:sz w:val="24"/>
          <w:szCs w:val="24"/>
          <w:highlight w:val="none"/>
          <w:lang w:val="en-US" w:eastAsia="zh-CN"/>
        </w:rPr>
        <w:t>备注：如有保修期外设备相关耗材及易损零配件请单独列出价格清单</w:t>
      </w:r>
      <w:r>
        <w:rPr>
          <w:rFonts w:hint="eastAsia" w:ascii="宋体" w:hAnsi="宋体" w:eastAsia="宋体" w:cs="宋体"/>
          <w:color w:val="auto"/>
          <w:sz w:val="24"/>
          <w:szCs w:val="24"/>
          <w:highlight w:val="none"/>
          <w:lang w:val="en-US" w:eastAsia="zh-CN"/>
        </w:rPr>
        <w:t>。</w:t>
      </w:r>
    </w:p>
    <w:p w14:paraId="2610B3E7">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br w:type="page"/>
      </w:r>
      <w:bookmarkStart w:id="94" w:name="_Toc27329"/>
      <w:bookmarkStart w:id="95" w:name="_Toc5000"/>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lang w:val="en-US" w:eastAsia="zh-CN"/>
        </w:rPr>
        <w:t>评审方法</w:t>
      </w:r>
      <w:bookmarkEnd w:id="94"/>
      <w:bookmarkEnd w:id="95"/>
    </w:p>
    <w:p w14:paraId="537C9541">
      <w:pPr>
        <w:keepNext w:val="0"/>
        <w:keepLines w:val="0"/>
        <w:pageBreakBefore w:val="0"/>
        <w:widowControl w:val="0"/>
        <w:kinsoku/>
        <w:overflowPunct/>
        <w:topLinePunct w:val="0"/>
        <w:autoSpaceDE/>
        <w:autoSpaceDN/>
        <w:bidi w:val="0"/>
        <w:adjustRightInd/>
        <w:snapToGrid/>
        <w:spacing w:line="500" w:lineRule="exact"/>
        <w:ind w:left="0" w:firstLine="474" w:firstLineChars="200"/>
        <w:textAlignment w:val="auto"/>
        <w:outlineLvl w:val="0"/>
        <w:rPr>
          <w:rFonts w:hint="eastAsia" w:ascii="宋体" w:hAnsi="宋体" w:eastAsia="宋体" w:cs="宋体"/>
          <w:b/>
          <w:bCs/>
          <w:color w:val="auto"/>
          <w:spacing w:val="-2"/>
          <w:sz w:val="24"/>
          <w:szCs w:val="24"/>
          <w:highlight w:val="none"/>
          <w:u w:val="none"/>
        </w:rPr>
      </w:pPr>
      <w:r>
        <w:rPr>
          <w:rFonts w:hint="eastAsia" w:ascii="宋体" w:hAnsi="宋体" w:eastAsia="宋体" w:cs="宋体"/>
          <w:b/>
          <w:bCs/>
          <w:color w:val="auto"/>
          <w:spacing w:val="-2"/>
          <w:sz w:val="24"/>
          <w:szCs w:val="24"/>
          <w:highlight w:val="none"/>
          <w:u w:val="none"/>
        </w:rPr>
        <w:t>1</w:t>
      </w:r>
      <w:r>
        <w:rPr>
          <w:rFonts w:hint="eastAsia" w:ascii="宋体" w:hAnsi="宋体" w:eastAsia="宋体" w:cs="宋体"/>
          <w:b/>
          <w:bCs/>
          <w:color w:val="auto"/>
          <w:spacing w:val="-2"/>
          <w:sz w:val="24"/>
          <w:szCs w:val="24"/>
          <w:highlight w:val="none"/>
          <w:u w:val="none"/>
          <w:lang w:eastAsia="zh-CN"/>
        </w:rPr>
        <w:t>、</w:t>
      </w:r>
      <w:r>
        <w:rPr>
          <w:rFonts w:hint="eastAsia" w:ascii="宋体" w:hAnsi="宋体" w:eastAsia="宋体" w:cs="宋体"/>
          <w:b/>
          <w:bCs/>
          <w:color w:val="auto"/>
          <w:spacing w:val="-2"/>
          <w:sz w:val="24"/>
          <w:szCs w:val="24"/>
          <w:highlight w:val="none"/>
          <w:u w:val="none"/>
        </w:rPr>
        <w:t>资格审查</w:t>
      </w:r>
    </w:p>
    <w:p w14:paraId="400308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采购人对供应商的资格进行审查，审查响应文件是否响应了</w:t>
      </w:r>
      <w:r>
        <w:rPr>
          <w:rFonts w:hint="eastAsia" w:ascii="宋体" w:hAnsi="宋体" w:cs="宋体"/>
          <w:color w:val="auto"/>
          <w:spacing w:val="0"/>
          <w:w w:val="100"/>
          <w:position w:val="0"/>
          <w:sz w:val="24"/>
          <w:szCs w:val="24"/>
          <w:highlight w:val="none"/>
          <w:u w:val="none"/>
          <w:lang w:val="en-US" w:eastAsia="zh-CN"/>
        </w:rPr>
        <w:t>竞争性谈判文件</w:t>
      </w:r>
      <w:r>
        <w:rPr>
          <w:rFonts w:hint="eastAsia" w:ascii="宋体" w:hAnsi="宋体" w:eastAsia="宋体" w:cs="宋体"/>
          <w:color w:val="auto"/>
          <w:spacing w:val="0"/>
          <w:w w:val="100"/>
          <w:position w:val="0"/>
          <w:sz w:val="24"/>
          <w:szCs w:val="24"/>
          <w:highlight w:val="none"/>
          <w:u w:val="none"/>
          <w:lang w:val="en-US" w:eastAsia="zh-CN"/>
        </w:rPr>
        <w:t>的资格要求。</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当发现供应商或其响应文件存在下列情况之一时，将判定供应商的资格不符合要求，资格审查不通过。</w:t>
      </w:r>
    </w:p>
    <w:tbl>
      <w:tblPr>
        <w:tblStyle w:val="98"/>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14:paraId="25BE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noWrap w:val="0"/>
            <w:vAlign w:val="center"/>
          </w:tcPr>
          <w:p w14:paraId="2EF31AA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rPr>
              <w:t>审查内容</w:t>
            </w:r>
          </w:p>
        </w:tc>
        <w:tc>
          <w:tcPr>
            <w:tcW w:w="6872" w:type="dxa"/>
            <w:noWrap w:val="0"/>
            <w:vAlign w:val="center"/>
          </w:tcPr>
          <w:p w14:paraId="4AB138E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780F2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noWrap w:val="0"/>
            <w:vAlign w:val="center"/>
          </w:tcPr>
          <w:p w14:paraId="43B3F99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p w14:paraId="40AC420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1378" w:type="dxa"/>
            <w:noWrap w:val="0"/>
            <w:vAlign w:val="center"/>
          </w:tcPr>
          <w:p w14:paraId="2688F48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872" w:type="dxa"/>
            <w:noWrap w:val="0"/>
            <w:vAlign w:val="center"/>
          </w:tcPr>
          <w:p w14:paraId="6118D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926A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noWrap w:val="0"/>
            <w:vAlign w:val="center"/>
          </w:tcPr>
          <w:p w14:paraId="65D676A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378" w:type="dxa"/>
            <w:noWrap w:val="0"/>
            <w:vAlign w:val="center"/>
          </w:tcPr>
          <w:p w14:paraId="79DBEF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872" w:type="dxa"/>
            <w:noWrap w:val="0"/>
            <w:vAlign w:val="center"/>
          </w:tcPr>
          <w:p w14:paraId="3C01CF6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cs="宋体"/>
                <w:color w:val="auto"/>
                <w:sz w:val="24"/>
                <w:szCs w:val="24"/>
                <w:highlight w:val="none"/>
                <w:lang w:val="en-US" w:eastAsia="zh-CN"/>
              </w:rPr>
              <w:t>竞争性谈判文件</w:t>
            </w:r>
            <w:r>
              <w:rPr>
                <w:rFonts w:hint="eastAsia" w:ascii="宋体" w:hAnsi="宋体" w:eastAsia="宋体" w:cs="宋体"/>
                <w:color w:val="auto"/>
                <w:sz w:val="24"/>
                <w:szCs w:val="24"/>
                <w:highlight w:val="none"/>
              </w:rPr>
              <w:t>要求</w:t>
            </w:r>
          </w:p>
        </w:tc>
      </w:tr>
      <w:tr w14:paraId="3396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noWrap w:val="0"/>
            <w:vAlign w:val="center"/>
          </w:tcPr>
          <w:p w14:paraId="1D7C12E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378" w:type="dxa"/>
            <w:noWrap w:val="0"/>
            <w:vAlign w:val="center"/>
          </w:tcPr>
          <w:p w14:paraId="5CEEB25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872" w:type="dxa"/>
            <w:noWrap w:val="0"/>
            <w:vAlign w:val="center"/>
          </w:tcPr>
          <w:p w14:paraId="7E85E8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cs="宋体"/>
                <w:color w:val="auto"/>
                <w:sz w:val="24"/>
                <w:szCs w:val="24"/>
                <w:highlight w:val="none"/>
                <w:lang w:val="en-US" w:eastAsia="zh-CN"/>
              </w:rPr>
              <w:t>竞争性谈判文件</w:t>
            </w:r>
            <w:r>
              <w:rPr>
                <w:rFonts w:hint="eastAsia" w:ascii="宋体" w:hAnsi="宋体" w:eastAsia="宋体" w:cs="宋体"/>
                <w:color w:val="auto"/>
                <w:sz w:val="24"/>
                <w:szCs w:val="24"/>
                <w:highlight w:val="none"/>
              </w:rPr>
              <w:t>要求</w:t>
            </w:r>
          </w:p>
          <w:p w14:paraId="427C64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w:t>
            </w:r>
          </w:p>
          <w:p w14:paraId="43527E5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1.信用记录查询渠道：</w:t>
            </w:r>
          </w:p>
          <w:p w14:paraId="74CFCD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(1)被人民法院列入失信被执行人名单的(以</w:t>
            </w:r>
          </w:p>
          <w:p w14:paraId="53955A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www.creditchina.gov.cn查询为准)</w:t>
            </w:r>
          </w:p>
          <w:p w14:paraId="73CD76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(2)被税务机关列入重大税收违法失信主体名单的(以ww w.creditchina.gov.cn查询为准)</w:t>
            </w:r>
          </w:p>
          <w:p w14:paraId="3EAEBDF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(3)被财政部门列入政府采购严重违法失信行为记录名单的 (以www.ccgp.gov.cn/查询为准)</w:t>
            </w:r>
          </w:p>
          <w:p w14:paraId="2F30A00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(4)被市场监督管理部门列入严重违法失信名单的(以 www.gsxt.gov.cn查询为准)</w:t>
            </w:r>
          </w:p>
          <w:p w14:paraId="1C07BF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文件中无需提供证明材料，由采购人查询供应商的信用记录，信用记录以投标截止时间的记录信息为准。</w:t>
            </w:r>
          </w:p>
          <w:p w14:paraId="46804CF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3.信用信息记录方式：采购人将查询网页截图随其他采购资料一同存档备查。</w:t>
            </w:r>
          </w:p>
          <w:p w14:paraId="6FDB612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4.在上述规定的查询时间之外，网站信息发生的任何变更均不作为资格审查依据。</w:t>
            </w:r>
          </w:p>
        </w:tc>
      </w:tr>
      <w:tr w14:paraId="4B44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noWrap w:val="0"/>
            <w:vAlign w:val="center"/>
          </w:tcPr>
          <w:p w14:paraId="2C7785C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378" w:type="dxa"/>
            <w:noWrap w:val="0"/>
            <w:vAlign w:val="center"/>
          </w:tcPr>
          <w:p w14:paraId="71C7A18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872" w:type="dxa"/>
            <w:noWrap w:val="0"/>
            <w:vAlign w:val="center"/>
          </w:tcPr>
          <w:p w14:paraId="3AE1C34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cs="宋体"/>
                <w:color w:val="auto"/>
                <w:sz w:val="24"/>
                <w:szCs w:val="24"/>
                <w:highlight w:val="none"/>
                <w:lang w:val="en-US" w:eastAsia="zh-CN"/>
              </w:rPr>
              <w:t>竞争性谈判文件</w:t>
            </w:r>
            <w:r>
              <w:rPr>
                <w:rFonts w:hint="eastAsia" w:ascii="宋体" w:hAnsi="宋体" w:eastAsia="宋体" w:cs="宋体"/>
                <w:color w:val="auto"/>
                <w:sz w:val="24"/>
                <w:szCs w:val="24"/>
                <w:highlight w:val="none"/>
              </w:rPr>
              <w:t>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r>
              <w:rPr>
                <w:rFonts w:hint="eastAsia" w:ascii="宋体" w:hAnsi="宋体" w:eastAsia="宋体" w:cs="宋体"/>
                <w:color w:val="auto"/>
                <w:sz w:val="24"/>
                <w:szCs w:val="24"/>
                <w:highlight w:val="none"/>
                <w:lang w:eastAsia="zh-CN"/>
              </w:rPr>
              <w:t>。</w:t>
            </w:r>
          </w:p>
        </w:tc>
      </w:tr>
    </w:tbl>
    <w:p w14:paraId="549D84C4">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position w:val="0"/>
          <w:sz w:val="24"/>
          <w:szCs w:val="24"/>
          <w:highlight w:val="none"/>
          <w:u w:val="none"/>
          <w:lang w:val="en-US" w:eastAsia="zh-CN"/>
        </w:rPr>
      </w:pPr>
      <w:r>
        <w:rPr>
          <w:rFonts w:hint="eastAsia" w:ascii="宋体" w:hAnsi="宋体" w:eastAsia="宋体" w:cs="宋体"/>
          <w:b/>
          <w:bCs/>
          <w:color w:val="auto"/>
          <w:spacing w:val="0"/>
          <w:w w:val="100"/>
          <w:position w:val="0"/>
          <w:sz w:val="24"/>
          <w:szCs w:val="24"/>
          <w:highlight w:val="none"/>
          <w:u w:val="none"/>
          <w:lang w:val="en-US" w:eastAsia="zh-CN"/>
        </w:rPr>
        <w:t>2、综合评审</w:t>
      </w:r>
    </w:p>
    <w:p w14:paraId="709E410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由谈判小组对响应文件进行评审，并根据</w:t>
      </w:r>
      <w:r>
        <w:rPr>
          <w:rFonts w:hint="eastAsia" w:ascii="宋体" w:hAnsi="宋体" w:cs="宋体"/>
          <w:color w:val="auto"/>
          <w:spacing w:val="0"/>
          <w:w w:val="100"/>
          <w:position w:val="0"/>
          <w:sz w:val="24"/>
          <w:szCs w:val="24"/>
          <w:highlight w:val="none"/>
          <w:u w:val="none"/>
          <w:lang w:val="en-US" w:eastAsia="zh-CN"/>
        </w:rPr>
        <w:t>竞争性谈判文件</w:t>
      </w:r>
      <w:r>
        <w:rPr>
          <w:rFonts w:hint="eastAsia" w:ascii="宋体" w:hAnsi="宋体" w:eastAsia="宋体" w:cs="宋体"/>
          <w:color w:val="auto"/>
          <w:spacing w:val="0"/>
          <w:w w:val="100"/>
          <w:position w:val="0"/>
          <w:sz w:val="24"/>
          <w:szCs w:val="24"/>
          <w:highlight w:val="none"/>
          <w:u w:val="none"/>
          <w:lang w:val="en-US" w:eastAsia="zh-CN"/>
        </w:rPr>
        <w:t>规定的程序、评定成交的标准等事项与实质性响应</w:t>
      </w:r>
      <w:r>
        <w:rPr>
          <w:rFonts w:hint="eastAsia" w:ascii="宋体" w:hAnsi="宋体" w:cs="宋体"/>
          <w:color w:val="auto"/>
          <w:spacing w:val="0"/>
          <w:w w:val="100"/>
          <w:position w:val="0"/>
          <w:sz w:val="24"/>
          <w:szCs w:val="24"/>
          <w:highlight w:val="none"/>
          <w:u w:val="none"/>
          <w:lang w:val="en-US" w:eastAsia="zh-CN"/>
        </w:rPr>
        <w:t>竞争性谈判文件</w:t>
      </w:r>
      <w:r>
        <w:rPr>
          <w:rFonts w:hint="eastAsia" w:ascii="宋体" w:hAnsi="宋体" w:eastAsia="宋体" w:cs="宋体"/>
          <w:color w:val="auto"/>
          <w:spacing w:val="0"/>
          <w:w w:val="100"/>
          <w:position w:val="0"/>
          <w:sz w:val="24"/>
          <w:szCs w:val="24"/>
          <w:highlight w:val="none"/>
          <w:u w:val="none"/>
          <w:lang w:val="en-US" w:eastAsia="zh-CN"/>
        </w:rPr>
        <w:t>要求的供应商进行谈判。</w:t>
      </w:r>
    </w:p>
    <w:p w14:paraId="7372FB82">
      <w:pPr>
        <w:rPr>
          <w:rFonts w:hint="eastAsia" w:ascii="宋体" w:hAnsi="宋体" w:eastAsia="宋体" w:cs="宋体"/>
          <w:color w:val="auto"/>
          <w:sz w:val="28"/>
          <w:szCs w:val="28"/>
          <w:highlight w:val="none"/>
        </w:rPr>
      </w:pPr>
    </w:p>
    <w:p w14:paraId="50B8047C">
      <w:pPr>
        <w:pStyle w:val="3"/>
        <w:spacing w:before="0" w:after="0" w:line="560" w:lineRule="exact"/>
        <w:jc w:val="center"/>
        <w:rPr>
          <w:rFonts w:ascii="宋体" w:hAnsi="宋体" w:eastAsia="宋体" w:cs="宋体"/>
          <w:color w:val="auto"/>
          <w:sz w:val="28"/>
          <w:szCs w:val="28"/>
          <w:highlight w:val="none"/>
        </w:rPr>
      </w:pPr>
      <w:bookmarkStart w:id="96" w:name="_Toc10062"/>
      <w:r>
        <w:rPr>
          <w:rFonts w:hint="eastAsia" w:ascii="宋体" w:hAnsi="宋体" w:eastAsia="宋体" w:cs="宋体"/>
          <w:color w:val="auto"/>
          <w:sz w:val="28"/>
          <w:szCs w:val="28"/>
          <w:highlight w:val="none"/>
          <w:lang w:eastAsia="zh-CN"/>
        </w:rPr>
        <w:t>五</w:t>
      </w:r>
      <w:r>
        <w:rPr>
          <w:rFonts w:hint="eastAsia" w:ascii="宋体" w:hAnsi="宋体" w:eastAsia="宋体" w:cs="宋体"/>
          <w:color w:val="auto"/>
          <w:sz w:val="28"/>
          <w:szCs w:val="28"/>
          <w:highlight w:val="none"/>
        </w:rPr>
        <w:t>、响应文件格式</w:t>
      </w:r>
      <w:bookmarkEnd w:id="96"/>
    </w:p>
    <w:p w14:paraId="68AF36C8">
      <w:pPr>
        <w:spacing w:line="500" w:lineRule="exact"/>
        <w:jc w:val="center"/>
        <w:rPr>
          <w:rFonts w:ascii="宋体" w:hAnsi="宋体"/>
          <w:b/>
          <w:color w:val="auto"/>
          <w:sz w:val="32"/>
          <w:highlight w:val="none"/>
        </w:rPr>
      </w:pPr>
    </w:p>
    <w:p w14:paraId="1C379206">
      <w:pPr>
        <w:spacing w:line="500" w:lineRule="exact"/>
        <w:jc w:val="center"/>
        <w:rPr>
          <w:rFonts w:ascii="宋体" w:hAnsi="宋体"/>
          <w:b/>
          <w:color w:val="auto"/>
          <w:sz w:val="32"/>
          <w:highlight w:val="none"/>
        </w:rPr>
      </w:pPr>
      <w:r>
        <w:rPr>
          <w:rFonts w:hint="eastAsia" w:ascii="宋体" w:hAnsi="宋体"/>
          <w:b/>
          <w:color w:val="auto"/>
          <w:sz w:val="32"/>
          <w:highlight w:val="none"/>
          <w:u w:val="single"/>
        </w:rPr>
        <w:t xml:space="preserve">　　　　　　　 </w:t>
      </w:r>
      <w:r>
        <w:rPr>
          <w:rFonts w:hint="eastAsia" w:ascii="宋体" w:hAnsi="宋体"/>
          <w:b/>
          <w:color w:val="auto"/>
          <w:sz w:val="32"/>
          <w:highlight w:val="none"/>
        </w:rPr>
        <w:t>项目</w:t>
      </w:r>
    </w:p>
    <w:p w14:paraId="25CF9F9A">
      <w:pPr>
        <w:spacing w:line="900" w:lineRule="exact"/>
        <w:rPr>
          <w:rFonts w:ascii="宋体" w:hAnsi="宋体"/>
          <w:b/>
          <w:color w:val="auto"/>
          <w:sz w:val="72"/>
          <w:highlight w:val="none"/>
        </w:rPr>
      </w:pPr>
    </w:p>
    <w:p w14:paraId="2DD56ECC">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3F5CC61E">
      <w:pPr>
        <w:spacing w:line="900" w:lineRule="exact"/>
        <w:jc w:val="center"/>
        <w:rPr>
          <w:rFonts w:ascii="宋体" w:hAnsi="宋体"/>
          <w:b/>
          <w:color w:val="auto"/>
          <w:sz w:val="72"/>
          <w:highlight w:val="none"/>
        </w:rPr>
      </w:pPr>
    </w:p>
    <w:p w14:paraId="3D52A377">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792BEF4A">
      <w:pPr>
        <w:spacing w:line="900" w:lineRule="exact"/>
        <w:jc w:val="center"/>
        <w:rPr>
          <w:rFonts w:ascii="宋体" w:hAnsi="宋体"/>
          <w:b/>
          <w:color w:val="auto"/>
          <w:sz w:val="72"/>
          <w:highlight w:val="none"/>
        </w:rPr>
      </w:pPr>
    </w:p>
    <w:p w14:paraId="38CEEB74">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19D4083D">
      <w:pPr>
        <w:spacing w:line="900" w:lineRule="exact"/>
        <w:jc w:val="center"/>
        <w:rPr>
          <w:rFonts w:ascii="宋体" w:hAnsi="宋体"/>
          <w:b/>
          <w:color w:val="auto"/>
          <w:sz w:val="72"/>
          <w:highlight w:val="none"/>
        </w:rPr>
      </w:pPr>
    </w:p>
    <w:p w14:paraId="034207F8">
      <w:pPr>
        <w:jc w:val="center"/>
        <w:rPr>
          <w:rFonts w:ascii="宋体" w:hAnsi="宋体"/>
          <w:b/>
          <w:color w:val="auto"/>
          <w:sz w:val="72"/>
          <w:highlight w:val="none"/>
        </w:rPr>
      </w:pPr>
      <w:r>
        <w:rPr>
          <w:rFonts w:hint="eastAsia" w:ascii="宋体" w:hAnsi="宋体"/>
          <w:b/>
          <w:color w:val="auto"/>
          <w:sz w:val="72"/>
          <w:highlight w:val="none"/>
        </w:rPr>
        <w:t>件</w:t>
      </w:r>
    </w:p>
    <w:p w14:paraId="0ECCEBAA">
      <w:pPr>
        <w:spacing w:after="156" w:afterLines="50"/>
        <w:jc w:val="center"/>
        <w:rPr>
          <w:rFonts w:ascii="宋体" w:hAnsi="宋体"/>
          <w:b/>
          <w:color w:val="auto"/>
          <w:sz w:val="72"/>
          <w:highlight w:val="none"/>
        </w:rPr>
      </w:pPr>
    </w:p>
    <w:p w14:paraId="1895A454">
      <w:pPr>
        <w:spacing w:after="156" w:afterLines="50" w:line="500" w:lineRule="exact"/>
        <w:jc w:val="center"/>
        <w:rPr>
          <w:rFonts w:ascii="宋体" w:hAnsi="宋体"/>
          <w:b/>
          <w:color w:val="auto"/>
          <w:sz w:val="30"/>
          <w:szCs w:val="30"/>
          <w:highlight w:val="none"/>
        </w:rPr>
      </w:pPr>
      <w:r>
        <w:rPr>
          <w:rFonts w:hint="eastAsia" w:ascii="宋体" w:hAnsi="宋体"/>
          <w:b/>
          <w:color w:val="auto"/>
          <w:sz w:val="30"/>
          <w:szCs w:val="30"/>
          <w:highlight w:val="none"/>
        </w:rPr>
        <w:t>第</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包</w:t>
      </w:r>
    </w:p>
    <w:p w14:paraId="5E30065C">
      <w:pPr>
        <w:spacing w:after="156" w:afterLines="50" w:line="500" w:lineRule="exact"/>
        <w:jc w:val="center"/>
        <w:rPr>
          <w:rFonts w:ascii="宋体" w:hAnsi="宋体"/>
          <w:b/>
          <w:color w:val="auto"/>
          <w:sz w:val="72"/>
          <w:highlight w:val="none"/>
        </w:rPr>
      </w:pPr>
    </w:p>
    <w:p w14:paraId="3E9A27F6">
      <w:pPr>
        <w:spacing w:after="156" w:afterLines="50" w:line="500" w:lineRule="exact"/>
        <w:ind w:firstLine="2570" w:firstLineChars="800"/>
        <w:rPr>
          <w:rFonts w:ascii="宋体" w:hAnsi="宋体"/>
          <w:b/>
          <w:color w:val="auto"/>
          <w:sz w:val="32"/>
          <w:highlight w:val="none"/>
          <w:u w:val="single"/>
        </w:rPr>
      </w:pPr>
      <w:r>
        <w:rPr>
          <w:rFonts w:hint="eastAsia" w:ascii="宋体" w:hAnsi="宋体"/>
          <w:b/>
          <w:color w:val="auto"/>
          <w:sz w:val="32"/>
          <w:highlight w:val="none"/>
        </w:rPr>
        <w:t>供 应 商：</w:t>
      </w:r>
    </w:p>
    <w:p w14:paraId="285B219C">
      <w:pPr>
        <w:spacing w:after="156" w:afterLines="50" w:line="500" w:lineRule="exact"/>
        <w:ind w:firstLine="3373" w:firstLineChars="1050"/>
        <w:rPr>
          <w:rFonts w:ascii="宋体" w:hAnsi="宋体"/>
          <w:b/>
          <w:color w:val="auto"/>
          <w:sz w:val="32"/>
          <w:highlight w:val="none"/>
        </w:rPr>
      </w:pPr>
      <w:r>
        <w:rPr>
          <w:rFonts w:hint="eastAsia" w:ascii="宋体" w:hAnsi="宋体"/>
          <w:b/>
          <w:color w:val="auto"/>
          <w:sz w:val="32"/>
          <w:highlight w:val="none"/>
        </w:rPr>
        <w:t>年  月  日</w:t>
      </w:r>
    </w:p>
    <w:p w14:paraId="2316A58C">
      <w:pPr>
        <w:spacing w:after="156" w:afterLines="50" w:line="500" w:lineRule="exact"/>
        <w:jc w:val="center"/>
        <w:rPr>
          <w:rFonts w:ascii="宋体" w:hAnsi="宋体"/>
          <w:b/>
          <w:color w:val="auto"/>
          <w:sz w:val="32"/>
          <w:highlight w:val="none"/>
        </w:rPr>
      </w:pPr>
    </w:p>
    <w:p w14:paraId="2E48917F">
      <w:pPr>
        <w:spacing w:line="360" w:lineRule="auto"/>
        <w:rPr>
          <w:rFonts w:ascii="宋体" w:hAnsi="宋体"/>
          <w:color w:val="auto"/>
          <w:sz w:val="24"/>
          <w:szCs w:val="28"/>
          <w:highlight w:val="none"/>
        </w:rPr>
      </w:pPr>
    </w:p>
    <w:bookmarkEnd w:id="86"/>
    <w:p w14:paraId="75FD52E0">
      <w:pPr>
        <w:pStyle w:val="3"/>
        <w:spacing w:before="0" w:after="0" w:line="560" w:lineRule="exact"/>
        <w:jc w:val="center"/>
        <w:rPr>
          <w:rFonts w:ascii="宋体" w:hAnsi="宋体" w:eastAsia="宋体" w:cs="宋体"/>
          <w:color w:val="auto"/>
          <w:sz w:val="24"/>
          <w:szCs w:val="24"/>
          <w:highlight w:val="none"/>
        </w:rPr>
      </w:pPr>
      <w:bookmarkStart w:id="97" w:name="_Toc29003"/>
      <w:r>
        <w:rPr>
          <w:rFonts w:hint="eastAsia" w:ascii="宋体" w:hAnsi="宋体" w:eastAsia="宋体" w:cs="宋体"/>
          <w:color w:val="auto"/>
          <w:sz w:val="24"/>
          <w:szCs w:val="24"/>
          <w:highlight w:val="none"/>
        </w:rPr>
        <w:t>响应文件资料清单</w:t>
      </w:r>
      <w:bookmarkEnd w:id="97"/>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29F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26672BA">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vAlign w:val="center"/>
          </w:tcPr>
          <w:p w14:paraId="18C3041B">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vAlign w:val="center"/>
          </w:tcPr>
          <w:p w14:paraId="1CEBB8AB">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3A93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F33C373">
            <w:pPr>
              <w:jc w:val="center"/>
              <w:rPr>
                <w:rFonts w:ascii="Tahoma" w:hAnsi="Tahoma"/>
                <w:color w:val="auto"/>
                <w:sz w:val="24"/>
                <w:highlight w:val="none"/>
              </w:rPr>
            </w:pPr>
            <w:r>
              <w:rPr>
                <w:rFonts w:hint="eastAsia" w:ascii="Tahoma" w:hAnsi="Tahoma"/>
                <w:color w:val="auto"/>
                <w:sz w:val="24"/>
                <w:highlight w:val="none"/>
              </w:rPr>
              <w:t>一</w:t>
            </w:r>
          </w:p>
        </w:tc>
        <w:tc>
          <w:tcPr>
            <w:tcW w:w="6038" w:type="dxa"/>
            <w:vAlign w:val="center"/>
          </w:tcPr>
          <w:p w14:paraId="5EC27C4E">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vAlign w:val="center"/>
          </w:tcPr>
          <w:p w14:paraId="670EBCA7">
            <w:pPr>
              <w:spacing w:line="360" w:lineRule="auto"/>
              <w:jc w:val="center"/>
              <w:rPr>
                <w:rFonts w:ascii="宋体" w:hAnsi="宋体"/>
                <w:b/>
                <w:color w:val="auto"/>
                <w:sz w:val="24"/>
                <w:highlight w:val="none"/>
              </w:rPr>
            </w:pPr>
          </w:p>
        </w:tc>
      </w:tr>
      <w:tr w14:paraId="048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A14C31A">
            <w:pPr>
              <w:jc w:val="center"/>
              <w:rPr>
                <w:rFonts w:ascii="Tahoma" w:hAnsi="Tahoma"/>
                <w:color w:val="auto"/>
                <w:sz w:val="24"/>
                <w:highlight w:val="none"/>
              </w:rPr>
            </w:pPr>
            <w:r>
              <w:rPr>
                <w:rFonts w:hint="eastAsia" w:ascii="Tahoma" w:hAnsi="Tahoma"/>
                <w:color w:val="auto"/>
                <w:sz w:val="24"/>
                <w:highlight w:val="none"/>
              </w:rPr>
              <w:t>二</w:t>
            </w:r>
          </w:p>
        </w:tc>
        <w:tc>
          <w:tcPr>
            <w:tcW w:w="6038" w:type="dxa"/>
            <w:vAlign w:val="center"/>
          </w:tcPr>
          <w:p w14:paraId="57696D61">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vAlign w:val="center"/>
          </w:tcPr>
          <w:p w14:paraId="48F03871">
            <w:pPr>
              <w:spacing w:line="360" w:lineRule="auto"/>
              <w:jc w:val="center"/>
              <w:rPr>
                <w:rFonts w:ascii="宋体" w:hAnsi="宋体"/>
                <w:b/>
                <w:color w:val="auto"/>
                <w:sz w:val="24"/>
                <w:highlight w:val="none"/>
              </w:rPr>
            </w:pPr>
          </w:p>
        </w:tc>
      </w:tr>
      <w:tr w14:paraId="2A98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CCBF9AB">
            <w:pPr>
              <w:jc w:val="center"/>
              <w:rPr>
                <w:rFonts w:ascii="Tahoma" w:hAnsi="Tahoma"/>
                <w:color w:val="auto"/>
                <w:sz w:val="24"/>
                <w:highlight w:val="none"/>
              </w:rPr>
            </w:pPr>
            <w:r>
              <w:rPr>
                <w:rFonts w:hint="eastAsia" w:ascii="Tahoma" w:hAnsi="Tahoma"/>
                <w:color w:val="auto"/>
                <w:sz w:val="24"/>
                <w:highlight w:val="none"/>
              </w:rPr>
              <w:t>三</w:t>
            </w:r>
          </w:p>
        </w:tc>
        <w:tc>
          <w:tcPr>
            <w:tcW w:w="6038" w:type="dxa"/>
            <w:vAlign w:val="center"/>
          </w:tcPr>
          <w:p w14:paraId="1F6F5FC2">
            <w:pPr>
              <w:pStyle w:val="63"/>
              <w:rPr>
                <w:color w:val="auto"/>
                <w:highlight w:val="none"/>
              </w:rPr>
            </w:pPr>
            <w:r>
              <w:rPr>
                <w:rFonts w:hint="eastAsia" w:ascii="宋体" w:hAnsi="宋体"/>
                <w:color w:val="auto"/>
                <w:szCs w:val="24"/>
                <w:highlight w:val="none"/>
              </w:rPr>
              <w:t>谈判授权书</w:t>
            </w:r>
          </w:p>
        </w:tc>
        <w:tc>
          <w:tcPr>
            <w:tcW w:w="1417" w:type="dxa"/>
            <w:vAlign w:val="center"/>
          </w:tcPr>
          <w:p w14:paraId="7AB1263A">
            <w:pPr>
              <w:spacing w:line="360" w:lineRule="auto"/>
              <w:jc w:val="center"/>
              <w:rPr>
                <w:rFonts w:ascii="宋体" w:hAnsi="宋体"/>
                <w:b/>
                <w:color w:val="auto"/>
                <w:sz w:val="24"/>
                <w:highlight w:val="none"/>
              </w:rPr>
            </w:pPr>
          </w:p>
        </w:tc>
      </w:tr>
      <w:tr w14:paraId="6CA7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3D046F4">
            <w:pPr>
              <w:jc w:val="center"/>
              <w:rPr>
                <w:rFonts w:ascii="Tahoma" w:hAnsi="Tahoma"/>
                <w:color w:val="auto"/>
                <w:sz w:val="24"/>
                <w:highlight w:val="none"/>
              </w:rPr>
            </w:pPr>
            <w:r>
              <w:rPr>
                <w:rFonts w:hint="eastAsia" w:ascii="Tahoma" w:hAnsi="Tahoma"/>
                <w:color w:val="auto"/>
                <w:sz w:val="24"/>
                <w:highlight w:val="none"/>
              </w:rPr>
              <w:t>四</w:t>
            </w:r>
          </w:p>
        </w:tc>
        <w:tc>
          <w:tcPr>
            <w:tcW w:w="6038" w:type="dxa"/>
            <w:vAlign w:val="center"/>
          </w:tcPr>
          <w:p w14:paraId="3BCA6E7B">
            <w:pPr>
              <w:pStyle w:val="63"/>
              <w:rPr>
                <w:color w:val="auto"/>
                <w:highlight w:val="none"/>
              </w:rPr>
            </w:pPr>
            <w:r>
              <w:rPr>
                <w:rFonts w:hint="eastAsia" w:ascii="宋体" w:hAnsi="宋体"/>
                <w:color w:val="auto"/>
                <w:szCs w:val="24"/>
                <w:highlight w:val="none"/>
              </w:rPr>
              <w:t>谈判响应函</w:t>
            </w:r>
          </w:p>
        </w:tc>
        <w:tc>
          <w:tcPr>
            <w:tcW w:w="1417" w:type="dxa"/>
            <w:vAlign w:val="center"/>
          </w:tcPr>
          <w:p w14:paraId="416C4F0A">
            <w:pPr>
              <w:spacing w:line="360" w:lineRule="auto"/>
              <w:jc w:val="center"/>
              <w:rPr>
                <w:rFonts w:ascii="宋体" w:hAnsi="宋体"/>
                <w:b/>
                <w:color w:val="auto"/>
                <w:sz w:val="24"/>
                <w:highlight w:val="none"/>
              </w:rPr>
            </w:pPr>
          </w:p>
        </w:tc>
      </w:tr>
      <w:tr w14:paraId="0597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6DB22BA">
            <w:pPr>
              <w:jc w:val="center"/>
              <w:rPr>
                <w:rFonts w:ascii="Tahoma" w:hAnsi="Tahoma"/>
                <w:color w:val="auto"/>
                <w:sz w:val="24"/>
                <w:highlight w:val="none"/>
              </w:rPr>
            </w:pPr>
            <w:r>
              <w:rPr>
                <w:rFonts w:hint="eastAsia" w:ascii="Tahoma" w:hAnsi="Tahoma"/>
                <w:color w:val="auto"/>
                <w:sz w:val="24"/>
                <w:highlight w:val="none"/>
              </w:rPr>
              <w:t>五</w:t>
            </w:r>
          </w:p>
        </w:tc>
        <w:tc>
          <w:tcPr>
            <w:tcW w:w="6038" w:type="dxa"/>
            <w:vAlign w:val="center"/>
          </w:tcPr>
          <w:p w14:paraId="05025063">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32C949B9">
            <w:pPr>
              <w:spacing w:line="360" w:lineRule="auto"/>
              <w:jc w:val="center"/>
              <w:rPr>
                <w:rFonts w:ascii="宋体" w:hAnsi="宋体"/>
                <w:b/>
                <w:color w:val="auto"/>
                <w:sz w:val="24"/>
                <w:highlight w:val="none"/>
              </w:rPr>
            </w:pPr>
          </w:p>
        </w:tc>
      </w:tr>
      <w:tr w14:paraId="3CE0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19F2D76A">
            <w:pPr>
              <w:jc w:val="center"/>
              <w:rPr>
                <w:rFonts w:ascii="Tahoma" w:hAnsi="Tahoma"/>
                <w:color w:val="auto"/>
                <w:sz w:val="24"/>
                <w:highlight w:val="none"/>
              </w:rPr>
            </w:pPr>
            <w:r>
              <w:rPr>
                <w:rFonts w:hint="eastAsia" w:ascii="Tahoma" w:hAnsi="Tahoma"/>
                <w:color w:val="auto"/>
                <w:sz w:val="24"/>
                <w:highlight w:val="none"/>
              </w:rPr>
              <w:t>六</w:t>
            </w:r>
          </w:p>
        </w:tc>
        <w:tc>
          <w:tcPr>
            <w:tcW w:w="6038" w:type="dxa"/>
            <w:vAlign w:val="center"/>
          </w:tcPr>
          <w:p w14:paraId="1519AEA3">
            <w:pPr>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5F11E0DD">
            <w:pPr>
              <w:spacing w:line="360" w:lineRule="auto"/>
              <w:rPr>
                <w:rFonts w:ascii="宋体" w:hAnsi="宋体"/>
                <w:b/>
                <w:color w:val="auto"/>
                <w:sz w:val="24"/>
                <w:highlight w:val="none"/>
              </w:rPr>
            </w:pPr>
          </w:p>
        </w:tc>
      </w:tr>
      <w:tr w14:paraId="3466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4E9E2EE7">
            <w:pPr>
              <w:tabs>
                <w:tab w:val="left" w:pos="396"/>
              </w:tabs>
              <w:jc w:val="left"/>
              <w:rPr>
                <w:rFonts w:hint="default" w:ascii="Tahoma" w:hAnsi="Tahoma" w:eastAsia="宋体"/>
                <w:color w:val="auto"/>
                <w:sz w:val="24"/>
                <w:highlight w:val="none"/>
                <w:lang w:val="en-US" w:eastAsia="zh-CN"/>
              </w:rPr>
            </w:pPr>
            <w:r>
              <w:rPr>
                <w:rFonts w:hint="eastAsia" w:ascii="Tahoma" w:hAnsi="Tahoma"/>
                <w:color w:val="auto"/>
                <w:sz w:val="24"/>
                <w:highlight w:val="none"/>
                <w:lang w:eastAsia="zh-CN"/>
              </w:rPr>
              <w:tab/>
            </w:r>
            <w:r>
              <w:rPr>
                <w:rFonts w:hint="eastAsia" w:ascii="Tahoma" w:hAnsi="Tahoma"/>
                <w:color w:val="auto"/>
                <w:sz w:val="24"/>
                <w:highlight w:val="none"/>
                <w:lang w:val="en-US" w:eastAsia="zh-CN"/>
              </w:rPr>
              <w:t>七</w:t>
            </w:r>
          </w:p>
        </w:tc>
        <w:tc>
          <w:tcPr>
            <w:tcW w:w="6038" w:type="dxa"/>
            <w:vAlign w:val="center"/>
          </w:tcPr>
          <w:p w14:paraId="043D3B05">
            <w:pPr>
              <w:spacing w:line="480" w:lineRule="exact"/>
              <w:rPr>
                <w:rFonts w:ascii="宋体" w:hAnsi="宋体" w:cs="宋体"/>
                <w:color w:val="auto"/>
                <w:sz w:val="24"/>
                <w:highlight w:val="none"/>
              </w:rPr>
            </w:pPr>
            <w:r>
              <w:rPr>
                <w:rFonts w:hint="eastAsia" w:ascii="宋体" w:hAnsi="宋体" w:cs="宋体"/>
                <w:color w:val="auto"/>
                <w:sz w:val="24"/>
                <w:szCs w:val="24"/>
                <w:highlight w:val="none"/>
                <w:lang w:eastAsia="zh-CN"/>
              </w:rPr>
              <w:t>竞争性谈判文件</w:t>
            </w:r>
            <w:r>
              <w:rPr>
                <w:rFonts w:hint="eastAsia" w:ascii="宋体" w:hAnsi="宋体" w:cs="宋体"/>
                <w:color w:val="auto"/>
                <w:sz w:val="24"/>
                <w:szCs w:val="24"/>
                <w:highlight w:val="none"/>
              </w:rPr>
              <w:t>要求和供应商认为需要提供的其它说明和资料</w:t>
            </w:r>
          </w:p>
        </w:tc>
        <w:tc>
          <w:tcPr>
            <w:tcW w:w="1417" w:type="dxa"/>
            <w:vAlign w:val="center"/>
          </w:tcPr>
          <w:p w14:paraId="4E022CAA">
            <w:pPr>
              <w:spacing w:line="360" w:lineRule="auto"/>
              <w:rPr>
                <w:rFonts w:ascii="宋体" w:hAnsi="宋体"/>
                <w:b/>
                <w:color w:val="auto"/>
                <w:sz w:val="24"/>
                <w:highlight w:val="none"/>
              </w:rPr>
            </w:pPr>
          </w:p>
        </w:tc>
      </w:tr>
      <w:tr w14:paraId="2B0F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7A238D95">
            <w:pPr>
              <w:jc w:val="center"/>
              <w:rPr>
                <w:rFonts w:hint="eastAsia" w:ascii="Tahoma" w:hAnsi="Tahoma" w:eastAsia="宋体"/>
                <w:color w:val="auto"/>
                <w:sz w:val="24"/>
                <w:highlight w:val="none"/>
                <w:lang w:eastAsia="zh-CN"/>
              </w:rPr>
            </w:pPr>
          </w:p>
        </w:tc>
        <w:tc>
          <w:tcPr>
            <w:tcW w:w="6038" w:type="dxa"/>
            <w:vAlign w:val="center"/>
          </w:tcPr>
          <w:p w14:paraId="47F3F25E">
            <w:pPr>
              <w:rPr>
                <w:rFonts w:ascii="宋体" w:hAnsi="宋体" w:cs="宋体"/>
                <w:color w:val="auto"/>
                <w:sz w:val="24"/>
                <w:highlight w:val="none"/>
              </w:rPr>
            </w:pPr>
          </w:p>
        </w:tc>
        <w:tc>
          <w:tcPr>
            <w:tcW w:w="1417" w:type="dxa"/>
            <w:vAlign w:val="center"/>
          </w:tcPr>
          <w:p w14:paraId="72E87E96">
            <w:pPr>
              <w:spacing w:line="360" w:lineRule="auto"/>
              <w:rPr>
                <w:rFonts w:ascii="宋体" w:hAnsi="宋体"/>
                <w:b/>
                <w:color w:val="auto"/>
                <w:sz w:val="24"/>
                <w:highlight w:val="none"/>
              </w:rPr>
            </w:pPr>
          </w:p>
        </w:tc>
      </w:tr>
      <w:tr w14:paraId="523D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8192743">
            <w:pPr>
              <w:jc w:val="center"/>
              <w:rPr>
                <w:rFonts w:hint="eastAsia" w:ascii="Tahoma" w:hAnsi="Tahoma" w:eastAsia="宋体"/>
                <w:color w:val="auto"/>
                <w:sz w:val="24"/>
                <w:highlight w:val="none"/>
                <w:lang w:eastAsia="zh-CN"/>
              </w:rPr>
            </w:pPr>
          </w:p>
        </w:tc>
        <w:tc>
          <w:tcPr>
            <w:tcW w:w="6038" w:type="dxa"/>
            <w:vAlign w:val="center"/>
          </w:tcPr>
          <w:p w14:paraId="2F75AE2C">
            <w:pPr>
              <w:rPr>
                <w:rFonts w:ascii="宋体" w:hAnsi="宋体" w:cs="宋体"/>
                <w:color w:val="auto"/>
                <w:sz w:val="24"/>
                <w:highlight w:val="none"/>
              </w:rPr>
            </w:pPr>
          </w:p>
        </w:tc>
        <w:tc>
          <w:tcPr>
            <w:tcW w:w="1417" w:type="dxa"/>
            <w:vAlign w:val="center"/>
          </w:tcPr>
          <w:p w14:paraId="5F01A59F">
            <w:pPr>
              <w:spacing w:line="360" w:lineRule="auto"/>
              <w:rPr>
                <w:rFonts w:ascii="宋体" w:hAnsi="宋体"/>
                <w:b/>
                <w:color w:val="auto"/>
                <w:sz w:val="24"/>
                <w:highlight w:val="none"/>
              </w:rPr>
            </w:pPr>
          </w:p>
        </w:tc>
      </w:tr>
      <w:tr w14:paraId="4350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5E1D8A8C">
            <w:pPr>
              <w:jc w:val="center"/>
              <w:rPr>
                <w:color w:val="auto"/>
                <w:sz w:val="24"/>
                <w:highlight w:val="none"/>
              </w:rPr>
            </w:pPr>
          </w:p>
        </w:tc>
        <w:tc>
          <w:tcPr>
            <w:tcW w:w="6038" w:type="dxa"/>
            <w:vAlign w:val="center"/>
          </w:tcPr>
          <w:p w14:paraId="674BC425">
            <w:pPr>
              <w:rPr>
                <w:color w:val="auto"/>
                <w:sz w:val="24"/>
                <w:highlight w:val="none"/>
              </w:rPr>
            </w:pPr>
          </w:p>
        </w:tc>
        <w:tc>
          <w:tcPr>
            <w:tcW w:w="1417" w:type="dxa"/>
            <w:vAlign w:val="center"/>
          </w:tcPr>
          <w:p w14:paraId="684EC44C">
            <w:pPr>
              <w:spacing w:line="360" w:lineRule="auto"/>
              <w:rPr>
                <w:rFonts w:ascii="宋体" w:hAnsi="宋体"/>
                <w:b/>
                <w:color w:val="auto"/>
                <w:sz w:val="24"/>
                <w:highlight w:val="none"/>
              </w:rPr>
            </w:pPr>
          </w:p>
        </w:tc>
      </w:tr>
      <w:tr w14:paraId="0BA4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1E03033A">
            <w:pPr>
              <w:jc w:val="center"/>
              <w:rPr>
                <w:color w:val="auto"/>
                <w:sz w:val="24"/>
                <w:highlight w:val="none"/>
              </w:rPr>
            </w:pPr>
          </w:p>
        </w:tc>
        <w:tc>
          <w:tcPr>
            <w:tcW w:w="6038" w:type="dxa"/>
            <w:vAlign w:val="center"/>
          </w:tcPr>
          <w:p w14:paraId="2B9E6673">
            <w:pPr>
              <w:rPr>
                <w:color w:val="auto"/>
                <w:sz w:val="24"/>
                <w:highlight w:val="none"/>
              </w:rPr>
            </w:pPr>
          </w:p>
        </w:tc>
        <w:tc>
          <w:tcPr>
            <w:tcW w:w="1417" w:type="dxa"/>
            <w:vAlign w:val="center"/>
          </w:tcPr>
          <w:p w14:paraId="5C0FDB9C">
            <w:pPr>
              <w:spacing w:line="360" w:lineRule="auto"/>
              <w:rPr>
                <w:rFonts w:ascii="宋体" w:hAnsi="宋体"/>
                <w:b/>
                <w:color w:val="auto"/>
                <w:sz w:val="24"/>
                <w:highlight w:val="none"/>
              </w:rPr>
            </w:pPr>
          </w:p>
        </w:tc>
      </w:tr>
    </w:tbl>
    <w:p w14:paraId="1F96489F">
      <w:pPr>
        <w:spacing w:line="360" w:lineRule="auto"/>
        <w:jc w:val="center"/>
        <w:rPr>
          <w:rFonts w:ascii="宋体" w:hAnsi="宋体"/>
          <w:b/>
          <w:color w:val="auto"/>
          <w:sz w:val="24"/>
          <w:highlight w:val="none"/>
        </w:rPr>
      </w:pPr>
    </w:p>
    <w:p w14:paraId="181AEE3D">
      <w:pPr>
        <w:spacing w:line="360" w:lineRule="auto"/>
        <w:jc w:val="center"/>
        <w:rPr>
          <w:rFonts w:ascii="宋体" w:hAnsi="宋体"/>
          <w:b/>
          <w:color w:val="auto"/>
          <w:sz w:val="24"/>
          <w:highlight w:val="none"/>
        </w:rPr>
      </w:pPr>
    </w:p>
    <w:p w14:paraId="234F20A5">
      <w:pPr>
        <w:spacing w:line="360" w:lineRule="auto"/>
        <w:jc w:val="center"/>
        <w:rPr>
          <w:rFonts w:ascii="宋体" w:hAnsi="宋体"/>
          <w:b/>
          <w:color w:val="auto"/>
          <w:sz w:val="24"/>
          <w:highlight w:val="none"/>
        </w:rPr>
      </w:pPr>
    </w:p>
    <w:p w14:paraId="1421D6ED">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1B35B0DA">
      <w:pPr>
        <w:pStyle w:val="3"/>
        <w:spacing w:before="0" w:after="0" w:line="560" w:lineRule="exact"/>
        <w:rPr>
          <w:rFonts w:ascii="宋体" w:hAnsi="宋体" w:eastAsia="宋体" w:cs="宋体"/>
          <w:color w:val="auto"/>
          <w:sz w:val="24"/>
          <w:szCs w:val="24"/>
          <w:highlight w:val="none"/>
        </w:rPr>
      </w:pPr>
      <w:bookmarkStart w:id="98" w:name="_Toc10044"/>
      <w:r>
        <w:rPr>
          <w:rFonts w:hint="eastAsia" w:ascii="宋体" w:hAnsi="宋体" w:eastAsia="宋体" w:cs="宋体"/>
          <w:color w:val="auto"/>
          <w:sz w:val="24"/>
          <w:szCs w:val="24"/>
          <w:highlight w:val="none"/>
        </w:rPr>
        <w:t>附件一</w:t>
      </w:r>
      <w:bookmarkEnd w:id="98"/>
    </w:p>
    <w:p w14:paraId="7BC80258">
      <w:pPr>
        <w:pStyle w:val="3"/>
        <w:spacing w:before="156" w:beforeLines="50" w:after="156" w:afterLines="50" w:line="560" w:lineRule="exact"/>
        <w:jc w:val="center"/>
        <w:rPr>
          <w:rFonts w:ascii="宋体" w:hAnsi="宋体" w:eastAsia="宋体" w:cs="宋体"/>
          <w:color w:val="auto"/>
          <w:sz w:val="24"/>
          <w:szCs w:val="24"/>
          <w:highlight w:val="none"/>
        </w:rPr>
      </w:pPr>
      <w:bookmarkStart w:id="99" w:name="_Toc15863"/>
      <w:bookmarkStart w:id="100" w:name="_Toc5601"/>
      <w:bookmarkStart w:id="101" w:name="_Toc2626"/>
      <w:bookmarkStart w:id="102" w:name="_Toc21540"/>
      <w:bookmarkStart w:id="103" w:name="_Toc1582"/>
      <w:r>
        <w:rPr>
          <w:rFonts w:hint="eastAsia" w:ascii="宋体" w:hAnsi="宋体" w:eastAsia="宋体" w:cs="宋体"/>
          <w:color w:val="auto"/>
          <w:sz w:val="24"/>
          <w:szCs w:val="24"/>
          <w:highlight w:val="none"/>
        </w:rPr>
        <w:t>报价单</w:t>
      </w:r>
      <w:bookmarkEnd w:id="99"/>
      <w:bookmarkEnd w:id="100"/>
      <w:bookmarkEnd w:id="101"/>
      <w:bookmarkEnd w:id="102"/>
    </w:p>
    <w:tbl>
      <w:tblPr>
        <w:tblStyle w:val="3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F8F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38410DBB">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078" w:type="dxa"/>
            <w:vAlign w:val="center"/>
          </w:tcPr>
          <w:p w14:paraId="1DC7971B">
            <w:pPr>
              <w:jc w:val="center"/>
              <w:rPr>
                <w:rFonts w:ascii="宋体" w:hAnsi="宋体"/>
                <w:b/>
                <w:color w:val="auto"/>
                <w:sz w:val="24"/>
                <w:szCs w:val="24"/>
                <w:highlight w:val="none"/>
              </w:rPr>
            </w:pPr>
            <w:r>
              <w:rPr>
                <w:rFonts w:hint="eastAsia" w:ascii="宋体" w:hAnsi="宋体"/>
                <w:b/>
                <w:color w:val="auto"/>
                <w:sz w:val="24"/>
                <w:szCs w:val="24"/>
                <w:highlight w:val="none"/>
              </w:rPr>
              <w:t>服务内容</w:t>
            </w:r>
          </w:p>
        </w:tc>
        <w:tc>
          <w:tcPr>
            <w:tcW w:w="1214" w:type="dxa"/>
            <w:vAlign w:val="center"/>
          </w:tcPr>
          <w:p w14:paraId="6441B49E">
            <w:pPr>
              <w:jc w:val="center"/>
              <w:rPr>
                <w:rFonts w:ascii="宋体" w:hAnsi="宋体"/>
                <w:b/>
                <w:color w:val="auto"/>
                <w:sz w:val="24"/>
                <w:szCs w:val="24"/>
                <w:highlight w:val="none"/>
              </w:rPr>
            </w:pPr>
            <w:r>
              <w:rPr>
                <w:rFonts w:hint="eastAsia" w:ascii="宋体" w:hAnsi="宋体"/>
                <w:b/>
                <w:color w:val="auto"/>
                <w:sz w:val="24"/>
                <w:szCs w:val="24"/>
                <w:highlight w:val="none"/>
              </w:rPr>
              <w:t>项</w:t>
            </w:r>
          </w:p>
        </w:tc>
        <w:tc>
          <w:tcPr>
            <w:tcW w:w="1091" w:type="dxa"/>
            <w:vAlign w:val="center"/>
          </w:tcPr>
          <w:p w14:paraId="27581D46">
            <w:pPr>
              <w:jc w:val="center"/>
              <w:rPr>
                <w:rFonts w:ascii="宋体" w:hAnsi="宋体"/>
                <w:b/>
                <w:color w:val="auto"/>
                <w:sz w:val="24"/>
                <w:szCs w:val="24"/>
                <w:highlight w:val="none"/>
              </w:rPr>
            </w:pPr>
            <w:r>
              <w:rPr>
                <w:rFonts w:hint="eastAsia" w:ascii="宋体" w:hAnsi="宋体"/>
                <w:b/>
                <w:color w:val="auto"/>
                <w:sz w:val="24"/>
                <w:szCs w:val="24"/>
                <w:highlight w:val="none"/>
              </w:rPr>
              <w:t>单价</w:t>
            </w:r>
          </w:p>
        </w:tc>
        <w:tc>
          <w:tcPr>
            <w:tcW w:w="1821" w:type="dxa"/>
            <w:vAlign w:val="center"/>
          </w:tcPr>
          <w:p w14:paraId="1465045E">
            <w:pPr>
              <w:jc w:val="center"/>
              <w:rPr>
                <w:rFonts w:ascii="宋体" w:hAnsi="宋体"/>
                <w:b/>
                <w:color w:val="auto"/>
                <w:sz w:val="24"/>
                <w:szCs w:val="24"/>
                <w:highlight w:val="none"/>
              </w:rPr>
            </w:pPr>
            <w:r>
              <w:rPr>
                <w:rFonts w:hint="eastAsia" w:ascii="宋体" w:hAnsi="宋体"/>
                <w:b/>
                <w:color w:val="auto"/>
                <w:sz w:val="24"/>
                <w:szCs w:val="24"/>
                <w:highlight w:val="none"/>
              </w:rPr>
              <w:t>小计金额（元）</w:t>
            </w:r>
          </w:p>
        </w:tc>
      </w:tr>
      <w:tr w14:paraId="3FE0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C431CF0">
            <w:pPr>
              <w:jc w:val="center"/>
              <w:rPr>
                <w:rFonts w:ascii="宋体" w:hAnsi="宋体"/>
                <w:bCs/>
                <w:color w:val="auto"/>
                <w:sz w:val="24"/>
                <w:szCs w:val="24"/>
                <w:highlight w:val="none"/>
              </w:rPr>
            </w:pPr>
            <w:r>
              <w:rPr>
                <w:rFonts w:hint="eastAsia" w:ascii="宋体" w:hAnsi="宋体"/>
                <w:bCs/>
                <w:color w:val="auto"/>
                <w:sz w:val="24"/>
                <w:szCs w:val="24"/>
                <w:highlight w:val="none"/>
              </w:rPr>
              <w:t>1</w:t>
            </w:r>
          </w:p>
        </w:tc>
        <w:tc>
          <w:tcPr>
            <w:tcW w:w="4078" w:type="dxa"/>
            <w:vAlign w:val="center"/>
          </w:tcPr>
          <w:p w14:paraId="369998D4">
            <w:pPr>
              <w:jc w:val="center"/>
              <w:rPr>
                <w:rFonts w:ascii="宋体" w:hAnsi="宋体"/>
                <w:bCs/>
                <w:color w:val="auto"/>
                <w:sz w:val="24"/>
                <w:szCs w:val="24"/>
                <w:highlight w:val="none"/>
              </w:rPr>
            </w:pPr>
          </w:p>
        </w:tc>
        <w:tc>
          <w:tcPr>
            <w:tcW w:w="1214" w:type="dxa"/>
            <w:vAlign w:val="center"/>
          </w:tcPr>
          <w:p w14:paraId="018982F5">
            <w:pPr>
              <w:jc w:val="center"/>
              <w:rPr>
                <w:rFonts w:ascii="宋体" w:hAnsi="宋体"/>
                <w:bCs/>
                <w:color w:val="auto"/>
                <w:sz w:val="24"/>
                <w:szCs w:val="24"/>
                <w:highlight w:val="none"/>
              </w:rPr>
            </w:pPr>
          </w:p>
        </w:tc>
        <w:tc>
          <w:tcPr>
            <w:tcW w:w="1091" w:type="dxa"/>
            <w:vAlign w:val="center"/>
          </w:tcPr>
          <w:p w14:paraId="6BC541A5">
            <w:pPr>
              <w:jc w:val="center"/>
              <w:rPr>
                <w:rFonts w:ascii="宋体" w:hAnsi="宋体"/>
                <w:bCs/>
                <w:color w:val="auto"/>
                <w:sz w:val="24"/>
                <w:szCs w:val="24"/>
                <w:highlight w:val="none"/>
              </w:rPr>
            </w:pPr>
          </w:p>
        </w:tc>
        <w:tc>
          <w:tcPr>
            <w:tcW w:w="1821" w:type="dxa"/>
            <w:vAlign w:val="center"/>
          </w:tcPr>
          <w:p w14:paraId="3CDF4B97">
            <w:pPr>
              <w:jc w:val="center"/>
              <w:rPr>
                <w:rFonts w:ascii="宋体" w:hAnsi="宋体"/>
                <w:bCs/>
                <w:color w:val="auto"/>
                <w:sz w:val="24"/>
                <w:szCs w:val="24"/>
                <w:highlight w:val="none"/>
              </w:rPr>
            </w:pPr>
          </w:p>
        </w:tc>
      </w:tr>
      <w:tr w14:paraId="26A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CE961BA">
            <w:pPr>
              <w:jc w:val="center"/>
              <w:rPr>
                <w:rFonts w:ascii="宋体" w:hAnsi="宋体"/>
                <w:bCs/>
                <w:color w:val="auto"/>
                <w:sz w:val="24"/>
                <w:szCs w:val="24"/>
                <w:highlight w:val="none"/>
              </w:rPr>
            </w:pPr>
            <w:r>
              <w:rPr>
                <w:rFonts w:hint="eastAsia" w:ascii="宋体" w:hAnsi="宋体"/>
                <w:bCs/>
                <w:color w:val="auto"/>
                <w:sz w:val="24"/>
                <w:szCs w:val="24"/>
                <w:highlight w:val="none"/>
              </w:rPr>
              <w:t>2</w:t>
            </w:r>
          </w:p>
        </w:tc>
        <w:tc>
          <w:tcPr>
            <w:tcW w:w="4078" w:type="dxa"/>
            <w:vAlign w:val="center"/>
          </w:tcPr>
          <w:p w14:paraId="73BF65C7">
            <w:pPr>
              <w:jc w:val="center"/>
              <w:rPr>
                <w:rFonts w:ascii="宋体" w:hAnsi="宋体"/>
                <w:bCs/>
                <w:color w:val="auto"/>
                <w:sz w:val="24"/>
                <w:szCs w:val="24"/>
                <w:highlight w:val="none"/>
              </w:rPr>
            </w:pPr>
          </w:p>
        </w:tc>
        <w:tc>
          <w:tcPr>
            <w:tcW w:w="1214" w:type="dxa"/>
            <w:vAlign w:val="center"/>
          </w:tcPr>
          <w:p w14:paraId="14ADBE72">
            <w:pPr>
              <w:jc w:val="center"/>
              <w:rPr>
                <w:rFonts w:ascii="宋体" w:hAnsi="宋体"/>
                <w:bCs/>
                <w:color w:val="auto"/>
                <w:sz w:val="24"/>
                <w:szCs w:val="24"/>
                <w:highlight w:val="none"/>
              </w:rPr>
            </w:pPr>
          </w:p>
        </w:tc>
        <w:tc>
          <w:tcPr>
            <w:tcW w:w="1091" w:type="dxa"/>
            <w:vAlign w:val="center"/>
          </w:tcPr>
          <w:p w14:paraId="0D92A57A">
            <w:pPr>
              <w:jc w:val="center"/>
              <w:rPr>
                <w:rFonts w:ascii="宋体" w:hAnsi="宋体"/>
                <w:bCs/>
                <w:color w:val="auto"/>
                <w:sz w:val="24"/>
                <w:szCs w:val="24"/>
                <w:highlight w:val="none"/>
              </w:rPr>
            </w:pPr>
          </w:p>
        </w:tc>
        <w:tc>
          <w:tcPr>
            <w:tcW w:w="1821" w:type="dxa"/>
            <w:vAlign w:val="center"/>
          </w:tcPr>
          <w:p w14:paraId="28EEF364">
            <w:pPr>
              <w:jc w:val="center"/>
              <w:rPr>
                <w:rFonts w:ascii="宋体" w:hAnsi="宋体"/>
                <w:bCs/>
                <w:color w:val="auto"/>
                <w:sz w:val="24"/>
                <w:szCs w:val="24"/>
                <w:highlight w:val="none"/>
              </w:rPr>
            </w:pPr>
          </w:p>
        </w:tc>
      </w:tr>
      <w:tr w14:paraId="35E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0F171C">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4078" w:type="dxa"/>
            <w:vAlign w:val="center"/>
          </w:tcPr>
          <w:p w14:paraId="24246972">
            <w:pPr>
              <w:jc w:val="center"/>
              <w:rPr>
                <w:rFonts w:ascii="宋体" w:hAnsi="宋体"/>
                <w:bCs/>
                <w:color w:val="auto"/>
                <w:sz w:val="24"/>
                <w:szCs w:val="24"/>
                <w:highlight w:val="none"/>
              </w:rPr>
            </w:pPr>
          </w:p>
        </w:tc>
        <w:tc>
          <w:tcPr>
            <w:tcW w:w="1214" w:type="dxa"/>
            <w:vAlign w:val="center"/>
          </w:tcPr>
          <w:p w14:paraId="20BECC1F">
            <w:pPr>
              <w:jc w:val="center"/>
              <w:rPr>
                <w:rFonts w:ascii="宋体" w:hAnsi="宋体"/>
                <w:bCs/>
                <w:color w:val="auto"/>
                <w:sz w:val="24"/>
                <w:szCs w:val="24"/>
                <w:highlight w:val="none"/>
              </w:rPr>
            </w:pPr>
          </w:p>
        </w:tc>
        <w:tc>
          <w:tcPr>
            <w:tcW w:w="1091" w:type="dxa"/>
            <w:vAlign w:val="center"/>
          </w:tcPr>
          <w:p w14:paraId="5C608E77">
            <w:pPr>
              <w:jc w:val="center"/>
              <w:rPr>
                <w:rFonts w:ascii="宋体" w:hAnsi="宋体"/>
                <w:bCs/>
                <w:color w:val="auto"/>
                <w:sz w:val="24"/>
                <w:szCs w:val="24"/>
                <w:highlight w:val="none"/>
              </w:rPr>
            </w:pPr>
          </w:p>
        </w:tc>
        <w:tc>
          <w:tcPr>
            <w:tcW w:w="1821" w:type="dxa"/>
            <w:vAlign w:val="center"/>
          </w:tcPr>
          <w:p w14:paraId="2AFB7E7E">
            <w:pPr>
              <w:jc w:val="center"/>
              <w:rPr>
                <w:rFonts w:ascii="宋体" w:hAnsi="宋体"/>
                <w:bCs/>
                <w:color w:val="auto"/>
                <w:sz w:val="24"/>
                <w:szCs w:val="24"/>
                <w:highlight w:val="none"/>
              </w:rPr>
            </w:pPr>
          </w:p>
        </w:tc>
      </w:tr>
      <w:tr w14:paraId="524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A141773">
            <w:pPr>
              <w:jc w:val="center"/>
              <w:rPr>
                <w:rFonts w:ascii="宋体" w:hAnsi="宋体"/>
                <w:bCs/>
                <w:color w:val="auto"/>
                <w:sz w:val="24"/>
                <w:szCs w:val="24"/>
                <w:highlight w:val="none"/>
              </w:rPr>
            </w:pPr>
            <w:r>
              <w:rPr>
                <w:rFonts w:ascii="宋体" w:hAnsi="宋体"/>
                <w:bCs/>
                <w:color w:val="auto"/>
                <w:sz w:val="24"/>
                <w:szCs w:val="24"/>
                <w:highlight w:val="none"/>
              </w:rPr>
              <w:t>…</w:t>
            </w:r>
          </w:p>
        </w:tc>
        <w:tc>
          <w:tcPr>
            <w:tcW w:w="4078" w:type="dxa"/>
            <w:vAlign w:val="center"/>
          </w:tcPr>
          <w:p w14:paraId="1AD229C1">
            <w:pPr>
              <w:jc w:val="center"/>
              <w:rPr>
                <w:rFonts w:ascii="宋体" w:hAnsi="宋体"/>
                <w:bCs/>
                <w:color w:val="auto"/>
                <w:sz w:val="24"/>
                <w:szCs w:val="24"/>
                <w:highlight w:val="none"/>
              </w:rPr>
            </w:pPr>
          </w:p>
        </w:tc>
        <w:tc>
          <w:tcPr>
            <w:tcW w:w="1214" w:type="dxa"/>
            <w:vAlign w:val="center"/>
          </w:tcPr>
          <w:p w14:paraId="72A14E1E">
            <w:pPr>
              <w:jc w:val="center"/>
              <w:rPr>
                <w:rFonts w:ascii="宋体" w:hAnsi="宋体"/>
                <w:bCs/>
                <w:color w:val="auto"/>
                <w:sz w:val="24"/>
                <w:szCs w:val="24"/>
                <w:highlight w:val="none"/>
              </w:rPr>
            </w:pPr>
          </w:p>
        </w:tc>
        <w:tc>
          <w:tcPr>
            <w:tcW w:w="1091" w:type="dxa"/>
            <w:vAlign w:val="center"/>
          </w:tcPr>
          <w:p w14:paraId="4BDEEC9F">
            <w:pPr>
              <w:jc w:val="center"/>
              <w:rPr>
                <w:rFonts w:ascii="宋体" w:hAnsi="宋体"/>
                <w:bCs/>
                <w:color w:val="auto"/>
                <w:sz w:val="24"/>
                <w:szCs w:val="24"/>
                <w:highlight w:val="none"/>
              </w:rPr>
            </w:pPr>
          </w:p>
        </w:tc>
        <w:tc>
          <w:tcPr>
            <w:tcW w:w="1821" w:type="dxa"/>
            <w:vAlign w:val="center"/>
          </w:tcPr>
          <w:p w14:paraId="1AEE48C4">
            <w:pPr>
              <w:jc w:val="center"/>
              <w:rPr>
                <w:rFonts w:ascii="宋体" w:hAnsi="宋体"/>
                <w:bCs/>
                <w:color w:val="auto"/>
                <w:sz w:val="24"/>
                <w:szCs w:val="24"/>
                <w:highlight w:val="none"/>
              </w:rPr>
            </w:pPr>
          </w:p>
        </w:tc>
      </w:tr>
      <w:tr w14:paraId="5BF5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4C28D8">
            <w:pPr>
              <w:jc w:val="center"/>
              <w:rPr>
                <w:rFonts w:ascii="宋体" w:hAnsi="宋体"/>
                <w:bCs/>
                <w:color w:val="auto"/>
                <w:sz w:val="24"/>
                <w:szCs w:val="24"/>
                <w:highlight w:val="none"/>
              </w:rPr>
            </w:pPr>
          </w:p>
        </w:tc>
        <w:tc>
          <w:tcPr>
            <w:tcW w:w="4078" w:type="dxa"/>
            <w:vAlign w:val="center"/>
          </w:tcPr>
          <w:p w14:paraId="69B4E016">
            <w:pPr>
              <w:pStyle w:val="63"/>
              <w:ind w:left="-108"/>
              <w:jc w:val="center"/>
              <w:rPr>
                <w:rFonts w:ascii="宋体" w:hAnsi="宋体"/>
                <w:bCs/>
                <w:color w:val="auto"/>
                <w:szCs w:val="24"/>
                <w:highlight w:val="none"/>
              </w:rPr>
            </w:pPr>
            <w:r>
              <w:rPr>
                <w:rFonts w:hint="eastAsia" w:ascii="宋体" w:hAnsi="宋体"/>
                <w:bCs/>
                <w:color w:val="auto"/>
                <w:szCs w:val="24"/>
                <w:highlight w:val="none"/>
              </w:rPr>
              <w:t>其他费用</w:t>
            </w:r>
          </w:p>
        </w:tc>
        <w:tc>
          <w:tcPr>
            <w:tcW w:w="1214" w:type="dxa"/>
            <w:vAlign w:val="center"/>
          </w:tcPr>
          <w:p w14:paraId="1CA13820">
            <w:pPr>
              <w:jc w:val="center"/>
              <w:rPr>
                <w:rFonts w:ascii="宋体" w:hAnsi="宋体"/>
                <w:bCs/>
                <w:color w:val="auto"/>
                <w:sz w:val="24"/>
                <w:szCs w:val="24"/>
                <w:highlight w:val="none"/>
              </w:rPr>
            </w:pPr>
          </w:p>
        </w:tc>
        <w:tc>
          <w:tcPr>
            <w:tcW w:w="1091" w:type="dxa"/>
            <w:vAlign w:val="center"/>
          </w:tcPr>
          <w:p w14:paraId="3A2F9A5B">
            <w:pPr>
              <w:jc w:val="center"/>
              <w:rPr>
                <w:rFonts w:ascii="宋体" w:hAnsi="宋体"/>
                <w:bCs/>
                <w:color w:val="auto"/>
                <w:sz w:val="24"/>
                <w:szCs w:val="24"/>
                <w:highlight w:val="none"/>
              </w:rPr>
            </w:pPr>
          </w:p>
        </w:tc>
        <w:tc>
          <w:tcPr>
            <w:tcW w:w="1821" w:type="dxa"/>
            <w:vAlign w:val="center"/>
          </w:tcPr>
          <w:p w14:paraId="4D701A94">
            <w:pPr>
              <w:jc w:val="center"/>
              <w:rPr>
                <w:rFonts w:ascii="宋体" w:hAnsi="宋体"/>
                <w:bCs/>
                <w:color w:val="auto"/>
                <w:sz w:val="24"/>
                <w:szCs w:val="24"/>
                <w:highlight w:val="none"/>
              </w:rPr>
            </w:pPr>
          </w:p>
        </w:tc>
      </w:tr>
      <w:tr w14:paraId="2F70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27839FE">
            <w:pPr>
              <w:jc w:val="center"/>
              <w:rPr>
                <w:rFonts w:ascii="宋体" w:hAnsi="宋体"/>
                <w:bCs/>
                <w:color w:val="auto"/>
                <w:sz w:val="24"/>
                <w:szCs w:val="24"/>
                <w:highlight w:val="none"/>
              </w:rPr>
            </w:pPr>
          </w:p>
        </w:tc>
        <w:tc>
          <w:tcPr>
            <w:tcW w:w="4078" w:type="dxa"/>
            <w:vAlign w:val="center"/>
          </w:tcPr>
          <w:p w14:paraId="3C10A6CC">
            <w:pPr>
              <w:jc w:val="center"/>
              <w:rPr>
                <w:rFonts w:ascii="宋体" w:hAnsi="宋体"/>
                <w:bCs/>
                <w:color w:val="auto"/>
                <w:sz w:val="24"/>
                <w:szCs w:val="24"/>
                <w:highlight w:val="none"/>
              </w:rPr>
            </w:pPr>
            <w:r>
              <w:rPr>
                <w:rFonts w:ascii="宋体" w:hAnsi="宋体"/>
                <w:bCs/>
                <w:color w:val="auto"/>
                <w:sz w:val="24"/>
                <w:szCs w:val="24"/>
                <w:highlight w:val="none"/>
              </w:rPr>
              <w:t>……</w:t>
            </w:r>
          </w:p>
        </w:tc>
        <w:tc>
          <w:tcPr>
            <w:tcW w:w="1214" w:type="dxa"/>
            <w:vAlign w:val="center"/>
          </w:tcPr>
          <w:p w14:paraId="59B7A3E5">
            <w:pPr>
              <w:jc w:val="center"/>
              <w:rPr>
                <w:rFonts w:ascii="宋体" w:hAnsi="宋体"/>
                <w:bCs/>
                <w:color w:val="auto"/>
                <w:sz w:val="24"/>
                <w:szCs w:val="24"/>
                <w:highlight w:val="none"/>
              </w:rPr>
            </w:pPr>
          </w:p>
        </w:tc>
        <w:tc>
          <w:tcPr>
            <w:tcW w:w="1091" w:type="dxa"/>
            <w:vAlign w:val="center"/>
          </w:tcPr>
          <w:p w14:paraId="11BFA7D6">
            <w:pPr>
              <w:jc w:val="center"/>
              <w:rPr>
                <w:rFonts w:ascii="宋体" w:hAnsi="宋体"/>
                <w:bCs/>
                <w:color w:val="auto"/>
                <w:sz w:val="24"/>
                <w:szCs w:val="24"/>
                <w:highlight w:val="none"/>
              </w:rPr>
            </w:pPr>
          </w:p>
        </w:tc>
        <w:tc>
          <w:tcPr>
            <w:tcW w:w="1821" w:type="dxa"/>
            <w:vAlign w:val="center"/>
          </w:tcPr>
          <w:p w14:paraId="26557625">
            <w:pPr>
              <w:jc w:val="center"/>
              <w:rPr>
                <w:rFonts w:ascii="宋体" w:hAnsi="宋体"/>
                <w:bCs/>
                <w:color w:val="auto"/>
                <w:sz w:val="24"/>
                <w:szCs w:val="24"/>
                <w:highlight w:val="none"/>
              </w:rPr>
            </w:pPr>
          </w:p>
        </w:tc>
      </w:tr>
      <w:tr w14:paraId="7EB8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78EB4D5">
            <w:pPr>
              <w:jc w:val="center"/>
              <w:rPr>
                <w:rFonts w:ascii="宋体" w:hAnsi="宋体"/>
                <w:bCs/>
                <w:color w:val="auto"/>
                <w:sz w:val="24"/>
                <w:szCs w:val="24"/>
                <w:highlight w:val="none"/>
              </w:rPr>
            </w:pPr>
            <w:r>
              <w:rPr>
                <w:rFonts w:hint="eastAsia" w:ascii="宋体" w:hAnsi="宋体"/>
                <w:bCs/>
                <w:color w:val="auto"/>
                <w:sz w:val="24"/>
                <w:szCs w:val="24"/>
                <w:highlight w:val="none"/>
              </w:rPr>
              <w:t>合计金额（元）</w:t>
            </w:r>
          </w:p>
        </w:tc>
        <w:tc>
          <w:tcPr>
            <w:tcW w:w="1821" w:type="dxa"/>
            <w:vAlign w:val="center"/>
          </w:tcPr>
          <w:p w14:paraId="64A1BBD0">
            <w:pPr>
              <w:jc w:val="center"/>
              <w:rPr>
                <w:rFonts w:ascii="宋体" w:hAnsi="宋体"/>
                <w:bCs/>
                <w:color w:val="auto"/>
                <w:sz w:val="24"/>
                <w:szCs w:val="24"/>
                <w:highlight w:val="none"/>
              </w:rPr>
            </w:pPr>
          </w:p>
        </w:tc>
      </w:tr>
    </w:tbl>
    <w:p w14:paraId="6CC1FEC1">
      <w:pPr>
        <w:snapToGrid w:val="0"/>
        <w:spacing w:line="360" w:lineRule="auto"/>
        <w:rPr>
          <w:rFonts w:ascii="宋体" w:hAnsi="宋体"/>
          <w:bCs/>
          <w:color w:val="auto"/>
          <w:sz w:val="24"/>
          <w:szCs w:val="24"/>
          <w:highlight w:val="none"/>
        </w:rPr>
      </w:pPr>
    </w:p>
    <w:p w14:paraId="73400ABC">
      <w:pPr>
        <w:snapToGrid w:val="0"/>
        <w:spacing w:line="360" w:lineRule="auto"/>
        <w:rPr>
          <w:rFonts w:ascii="宋体" w:hAnsi="宋体"/>
          <w:bCs/>
          <w:color w:val="auto"/>
          <w:sz w:val="24"/>
          <w:szCs w:val="24"/>
          <w:highlight w:val="none"/>
        </w:rPr>
      </w:pPr>
    </w:p>
    <w:p w14:paraId="0FC3EE05">
      <w:pPr>
        <w:spacing w:line="360" w:lineRule="auto"/>
        <w:ind w:right="48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14:paraId="464F517F">
      <w:pPr>
        <w:spacing w:line="560" w:lineRule="exact"/>
        <w:ind w:right="48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供应商</w:t>
      </w:r>
      <w:r>
        <w:rPr>
          <w:rFonts w:hint="eastAsia" w:ascii="宋体" w:hAnsi="宋体"/>
          <w:b/>
          <w:bCs/>
          <w:color w:val="auto"/>
          <w:sz w:val="24"/>
          <w:szCs w:val="24"/>
          <w:highlight w:val="none"/>
          <w:lang w:val="en-US" w:eastAsia="zh-CN"/>
        </w:rPr>
        <w:t>盖公章</w:t>
      </w:r>
      <w:r>
        <w:rPr>
          <w:rFonts w:hint="eastAsia" w:ascii="宋体" w:hAnsi="宋体"/>
          <w:b/>
          <w:bCs/>
          <w:color w:val="auto"/>
          <w:sz w:val="24"/>
          <w:szCs w:val="24"/>
          <w:highlight w:val="none"/>
        </w:rPr>
        <w:t>：</w:t>
      </w:r>
    </w:p>
    <w:p w14:paraId="3E75FD4A">
      <w:pPr>
        <w:spacing w:line="560" w:lineRule="exact"/>
        <w:ind w:firstLine="4337" w:firstLineChars="1800"/>
        <w:jc w:val="center"/>
        <w:rPr>
          <w:rFonts w:ascii="宋体" w:hAnsi="宋体"/>
          <w:b/>
          <w:bCs/>
          <w:color w:val="auto"/>
          <w:sz w:val="24"/>
          <w:szCs w:val="24"/>
          <w:highlight w:val="none"/>
        </w:rPr>
      </w:pPr>
      <w:r>
        <w:rPr>
          <w:rFonts w:hint="eastAsia" w:ascii="宋体" w:hAnsi="宋体"/>
          <w:b/>
          <w:bCs/>
          <w:color w:val="auto"/>
          <w:sz w:val="24"/>
          <w:szCs w:val="24"/>
          <w:highlight w:val="none"/>
        </w:rPr>
        <w:t>日     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4A68C3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538053B">
      <w:pPr>
        <w:pStyle w:val="3"/>
        <w:wordWrap w:val="0"/>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bookmarkEnd w:id="103"/>
    </w:p>
    <w:p w14:paraId="6D6C2E87">
      <w:pPr>
        <w:pStyle w:val="3"/>
        <w:spacing w:before="0" w:after="0" w:line="560" w:lineRule="exact"/>
        <w:jc w:val="center"/>
        <w:rPr>
          <w:rFonts w:ascii="宋体" w:hAnsi="宋体" w:eastAsia="宋体" w:cs="宋体"/>
          <w:color w:val="auto"/>
          <w:sz w:val="24"/>
          <w:szCs w:val="24"/>
          <w:highlight w:val="none"/>
        </w:rPr>
      </w:pPr>
      <w:bookmarkStart w:id="104" w:name="_Toc13309"/>
      <w:bookmarkStart w:id="105" w:name="_Toc17280"/>
      <w:bookmarkStart w:id="106" w:name="_Toc31020"/>
      <w:r>
        <w:rPr>
          <w:rFonts w:hint="eastAsia" w:ascii="宋体" w:hAnsi="宋体" w:eastAsia="宋体" w:cs="宋体"/>
          <w:color w:val="auto"/>
          <w:sz w:val="24"/>
          <w:szCs w:val="24"/>
          <w:highlight w:val="none"/>
        </w:rPr>
        <w:t>供应商基本信息</w:t>
      </w:r>
      <w:bookmarkEnd w:id="104"/>
      <w:bookmarkEnd w:id="105"/>
      <w:bookmarkEnd w:id="106"/>
    </w:p>
    <w:p w14:paraId="7BBF2CBE">
      <w:pPr>
        <w:spacing w:line="360" w:lineRule="auto"/>
        <w:jc w:val="center"/>
        <w:rPr>
          <w:color w:val="auto"/>
          <w:highlight w:val="none"/>
        </w:rPr>
      </w:pPr>
      <w:r>
        <w:rPr>
          <w:rFonts w:hint="eastAsia"/>
          <w:color w:val="auto"/>
          <w:sz w:val="24"/>
          <w:szCs w:val="24"/>
          <w:highlight w:val="none"/>
        </w:rPr>
        <w:t>（</w:t>
      </w:r>
      <w:r>
        <w:rPr>
          <w:rFonts w:hint="eastAsia"/>
          <w:color w:val="auto"/>
          <w:sz w:val="24"/>
          <w:szCs w:val="24"/>
          <w:highlight w:val="none"/>
          <w:lang w:val="en-US" w:eastAsia="zh-CN"/>
        </w:rPr>
        <w:t>自行拟定并编入响应文件</w:t>
      </w:r>
      <w:r>
        <w:rPr>
          <w:rFonts w:hint="eastAsia"/>
          <w:color w:val="auto"/>
          <w:sz w:val="24"/>
          <w:szCs w:val="24"/>
          <w:highlight w:val="none"/>
        </w:rPr>
        <w:t>）</w:t>
      </w:r>
    </w:p>
    <w:p w14:paraId="5F1C5952">
      <w:pPr>
        <w:pStyle w:val="3"/>
        <w:wordWrap w:val="0"/>
        <w:spacing w:before="0" w:after="0" w:line="560" w:lineRule="exact"/>
        <w:rPr>
          <w:rFonts w:ascii="宋体" w:hAnsi="宋体" w:eastAsia="宋体" w:cs="宋体"/>
          <w:color w:val="auto"/>
          <w:sz w:val="24"/>
          <w:szCs w:val="24"/>
          <w:highlight w:val="none"/>
        </w:rPr>
      </w:pPr>
      <w:bookmarkStart w:id="107" w:name="_Toc21563"/>
      <w:r>
        <w:rPr>
          <w:rFonts w:hint="eastAsia" w:ascii="宋体" w:hAnsi="宋体" w:eastAsia="宋体" w:cs="宋体"/>
          <w:color w:val="auto"/>
          <w:sz w:val="24"/>
          <w:szCs w:val="24"/>
          <w:highlight w:val="none"/>
        </w:rPr>
        <w:t>附件三</w:t>
      </w:r>
      <w:bookmarkEnd w:id="107"/>
    </w:p>
    <w:p w14:paraId="6EC8B04E">
      <w:pPr>
        <w:pStyle w:val="3"/>
        <w:spacing w:before="0" w:after="0" w:line="560" w:lineRule="exact"/>
        <w:jc w:val="center"/>
        <w:rPr>
          <w:rFonts w:ascii="宋体" w:hAnsi="宋体" w:eastAsia="宋体" w:cs="宋体"/>
          <w:color w:val="auto"/>
          <w:sz w:val="24"/>
          <w:szCs w:val="24"/>
          <w:highlight w:val="none"/>
        </w:rPr>
      </w:pPr>
      <w:bookmarkStart w:id="108" w:name="_Toc10696"/>
      <w:bookmarkStart w:id="109" w:name="_Toc3234"/>
      <w:bookmarkStart w:id="110" w:name="_Toc19886"/>
      <w:r>
        <w:rPr>
          <w:rFonts w:hint="eastAsia" w:ascii="宋体" w:hAnsi="宋体" w:eastAsia="宋体" w:cs="宋体"/>
          <w:color w:val="auto"/>
          <w:sz w:val="24"/>
          <w:szCs w:val="24"/>
          <w:highlight w:val="none"/>
        </w:rPr>
        <w:t>谈判授权书</w:t>
      </w:r>
      <w:bookmarkEnd w:id="108"/>
      <w:bookmarkEnd w:id="109"/>
      <w:bookmarkEnd w:id="110"/>
    </w:p>
    <w:p w14:paraId="311B3DB1">
      <w:pPr>
        <w:rPr>
          <w:rFonts w:ascii="宋体" w:hAnsi="宋体"/>
          <w:color w:val="auto"/>
          <w:sz w:val="24"/>
          <w:szCs w:val="24"/>
          <w:highlight w:val="none"/>
        </w:rPr>
      </w:pPr>
    </w:p>
    <w:p w14:paraId="51880D2C">
      <w:pPr>
        <w:spacing w:line="48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val="en-US" w:eastAsia="zh-CN"/>
        </w:rPr>
        <w:t>采购人</w:t>
      </w:r>
    </w:p>
    <w:p w14:paraId="7DF3A100">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（被授权人的姓名）为我方就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项目谈判活动的合法代理人，以我方名义全权处理与该项目谈判、签订合同以及合同执行有关的一切事务。</w:t>
      </w:r>
    </w:p>
    <w:p w14:paraId="1B640320">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14:paraId="0C4FF8EE">
      <w:pPr>
        <w:spacing w:line="360" w:lineRule="auto"/>
        <w:jc w:val="left"/>
        <w:rPr>
          <w:rFonts w:ascii="宋体" w:hAnsi="宋体"/>
          <w:color w:val="auto"/>
          <w:sz w:val="24"/>
          <w:szCs w:val="24"/>
          <w:highlight w:val="none"/>
        </w:rPr>
      </w:pPr>
    </w:p>
    <w:p w14:paraId="5A212DAD">
      <w:pPr>
        <w:spacing w:line="360" w:lineRule="auto"/>
        <w:ind w:firstLine="1084" w:firstLineChars="450"/>
        <w:jc w:val="left"/>
        <w:rPr>
          <w:rFonts w:ascii="宋体" w:hAnsi="宋体"/>
          <w:color w:val="auto"/>
          <w:sz w:val="24"/>
          <w:szCs w:val="24"/>
          <w:highlight w:val="none"/>
          <w:u w:val="single"/>
        </w:rPr>
      </w:pPr>
      <w:r>
        <w:rPr>
          <w:rFonts w:hint="eastAsia" w:ascii="宋体" w:hAnsi="宋体"/>
          <w:b/>
          <w:bCs/>
          <w:color w:val="auto"/>
          <w:sz w:val="24"/>
          <w:szCs w:val="24"/>
          <w:highlight w:val="none"/>
        </w:rPr>
        <w:t>法定代表人签字：</w:t>
      </w:r>
      <w:r>
        <w:rPr>
          <w:rFonts w:hint="eastAsia" w:ascii="宋体" w:hAnsi="宋体"/>
          <w:color w:val="auto"/>
          <w:sz w:val="24"/>
          <w:szCs w:val="24"/>
          <w:highlight w:val="none"/>
          <w:u w:val="single"/>
        </w:rPr>
        <w:t xml:space="preserve">                            </w:t>
      </w:r>
    </w:p>
    <w:p w14:paraId="68117DEB">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66191FE6">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933E448">
      <w:pPr>
        <w:spacing w:line="360" w:lineRule="auto"/>
        <w:ind w:firstLine="1200" w:firstLineChars="5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413C0346">
      <w:pPr>
        <w:spacing w:line="360" w:lineRule="auto"/>
        <w:ind w:firstLine="1084" w:firstLineChars="450"/>
        <w:jc w:val="left"/>
        <w:rPr>
          <w:rFonts w:ascii="宋体" w:hAnsi="宋体"/>
          <w:b/>
          <w:bCs/>
          <w:color w:val="auto"/>
          <w:sz w:val="24"/>
          <w:szCs w:val="24"/>
          <w:highlight w:val="none"/>
        </w:rPr>
      </w:pPr>
    </w:p>
    <w:p w14:paraId="7C90CCEB">
      <w:pPr>
        <w:spacing w:line="360" w:lineRule="auto"/>
        <w:ind w:firstLine="1084" w:firstLineChars="450"/>
        <w:jc w:val="left"/>
        <w:rPr>
          <w:rFonts w:ascii="宋体" w:hAnsi="宋体"/>
          <w:color w:val="auto"/>
          <w:sz w:val="24"/>
          <w:szCs w:val="24"/>
          <w:highlight w:val="none"/>
        </w:rPr>
      </w:pPr>
      <w:r>
        <w:rPr>
          <w:rFonts w:hint="eastAsia" w:ascii="宋体" w:hAnsi="宋体"/>
          <w:b/>
          <w:bCs/>
          <w:color w:val="auto"/>
          <w:sz w:val="24"/>
          <w:szCs w:val="24"/>
          <w:highlight w:val="none"/>
        </w:rPr>
        <w:t>代理人（被授权人）：</w:t>
      </w:r>
      <w:r>
        <w:rPr>
          <w:rFonts w:hint="eastAsia" w:ascii="宋体" w:hAnsi="宋体"/>
          <w:color w:val="auto"/>
          <w:sz w:val="24"/>
          <w:szCs w:val="24"/>
          <w:highlight w:val="none"/>
          <w:u w:val="single"/>
        </w:rPr>
        <w:t xml:space="preserve">                     </w:t>
      </w:r>
    </w:p>
    <w:p w14:paraId="574F5DC2">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73668846">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0A3B06B">
      <w:pPr>
        <w:spacing w:line="360" w:lineRule="auto"/>
        <w:ind w:firstLine="1200" w:firstLineChars="5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0852F7AB">
      <w:pPr>
        <w:spacing w:line="360" w:lineRule="auto"/>
        <w:jc w:val="left"/>
        <w:rPr>
          <w:rFonts w:ascii="宋体" w:hAnsi="宋体"/>
          <w:color w:val="auto"/>
          <w:sz w:val="24"/>
          <w:szCs w:val="24"/>
          <w:highlight w:val="none"/>
        </w:rPr>
      </w:pPr>
    </w:p>
    <w:p w14:paraId="4B619EB1">
      <w:pPr>
        <w:wordWrap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 xml:space="preserve">                                                      </w:t>
      </w:r>
    </w:p>
    <w:p w14:paraId="3205FCEC">
      <w:pPr>
        <w:spacing w:line="360" w:lineRule="auto"/>
        <w:ind w:firstLine="4245" w:firstLineChars="1762"/>
        <w:rPr>
          <w:rFonts w:ascii="宋体" w:hAnsi="宋体"/>
          <w:b/>
          <w:bCs/>
          <w:color w:val="auto"/>
          <w:sz w:val="24"/>
          <w:szCs w:val="24"/>
          <w:highlight w:val="none"/>
          <w:u w:val="single"/>
        </w:rPr>
      </w:pPr>
      <w:r>
        <w:rPr>
          <w:rFonts w:hint="eastAsia" w:ascii="宋体" w:hAnsi="宋体"/>
          <w:b/>
          <w:bCs/>
          <w:color w:val="auto"/>
          <w:sz w:val="24"/>
          <w:szCs w:val="24"/>
          <w:highlight w:val="none"/>
        </w:rPr>
        <w:t>供应商</w:t>
      </w:r>
      <w:r>
        <w:rPr>
          <w:rFonts w:hint="eastAsia" w:ascii="宋体" w:hAnsi="宋体"/>
          <w:b/>
          <w:bCs/>
          <w:color w:val="auto"/>
          <w:sz w:val="24"/>
          <w:szCs w:val="24"/>
          <w:highlight w:val="none"/>
          <w:lang w:val="en-US" w:eastAsia="zh-CN"/>
        </w:rPr>
        <w:t>盖公章</w:t>
      </w:r>
      <w:r>
        <w:rPr>
          <w:rFonts w:hint="eastAsia" w:ascii="宋体" w:hAnsi="宋体"/>
          <w:b/>
          <w:bCs/>
          <w:color w:val="auto"/>
          <w:sz w:val="24"/>
          <w:szCs w:val="24"/>
          <w:highlight w:val="none"/>
        </w:rPr>
        <w:t>：</w:t>
      </w:r>
    </w:p>
    <w:p w14:paraId="61388A8D">
      <w:pPr>
        <w:tabs>
          <w:tab w:val="left" w:pos="630"/>
        </w:tabs>
        <w:spacing w:line="360" w:lineRule="auto"/>
        <w:ind w:firstLine="4245" w:firstLineChars="1762"/>
        <w:rPr>
          <w:rFonts w:ascii="宋体" w:hAnsi="宋体"/>
          <w:b/>
          <w:bCs/>
          <w:color w:val="auto"/>
          <w:sz w:val="24"/>
          <w:szCs w:val="24"/>
          <w:highlight w:val="none"/>
        </w:rPr>
      </w:pPr>
      <w:r>
        <w:rPr>
          <w:rFonts w:hint="eastAsia" w:ascii="宋体" w:hAnsi="宋体"/>
          <w:b/>
          <w:bCs/>
          <w:color w:val="auto"/>
          <w:sz w:val="24"/>
          <w:szCs w:val="24"/>
          <w:highlight w:val="none"/>
        </w:rPr>
        <w:t>日期：</w:t>
      </w:r>
    </w:p>
    <w:p w14:paraId="14823BFA">
      <w:pPr>
        <w:pStyle w:val="3"/>
        <w:spacing w:before="0" w:after="0" w:line="560" w:lineRule="exact"/>
        <w:rPr>
          <w:rFonts w:ascii="宋体" w:hAnsi="宋体" w:eastAsia="宋体" w:cs="宋体"/>
          <w:color w:val="auto"/>
          <w:sz w:val="24"/>
          <w:szCs w:val="24"/>
          <w:highlight w:val="none"/>
        </w:rPr>
      </w:pPr>
      <w:bookmarkStart w:id="111" w:name="_Toc3393"/>
      <w:r>
        <w:rPr>
          <w:rFonts w:hint="eastAsia" w:ascii="宋体" w:hAnsi="宋体" w:eastAsia="宋体" w:cs="宋体"/>
          <w:color w:val="auto"/>
          <w:sz w:val="24"/>
          <w:szCs w:val="24"/>
          <w:highlight w:val="none"/>
        </w:rPr>
        <w:t>附件四</w:t>
      </w:r>
      <w:bookmarkEnd w:id="111"/>
    </w:p>
    <w:p w14:paraId="533F979C">
      <w:pPr>
        <w:pStyle w:val="3"/>
        <w:spacing w:before="0" w:after="0" w:line="560" w:lineRule="exact"/>
        <w:jc w:val="center"/>
        <w:rPr>
          <w:rFonts w:ascii="宋体" w:hAnsi="宋体" w:eastAsia="宋体" w:cs="宋体"/>
          <w:color w:val="auto"/>
          <w:sz w:val="24"/>
          <w:szCs w:val="24"/>
          <w:highlight w:val="none"/>
        </w:rPr>
      </w:pPr>
      <w:bookmarkStart w:id="112" w:name="_Toc23412"/>
      <w:bookmarkStart w:id="113" w:name="_Toc417045478"/>
      <w:r>
        <w:rPr>
          <w:rFonts w:hint="eastAsia" w:ascii="宋体" w:hAnsi="宋体" w:eastAsia="宋体" w:cs="宋体"/>
          <w:color w:val="auto"/>
          <w:sz w:val="24"/>
          <w:szCs w:val="24"/>
          <w:highlight w:val="none"/>
        </w:rPr>
        <w:t>谈判响应函</w:t>
      </w:r>
      <w:bookmarkEnd w:id="112"/>
    </w:p>
    <w:p w14:paraId="08C32E56">
      <w:pPr>
        <w:spacing w:line="360" w:lineRule="auto"/>
        <w:rPr>
          <w:rFonts w:ascii="宋体" w:hAnsi="宋体"/>
          <w:color w:val="auto"/>
          <w:sz w:val="24"/>
          <w:szCs w:val="24"/>
          <w:highlight w:val="none"/>
        </w:rPr>
      </w:pPr>
      <w:r>
        <w:rPr>
          <w:rFonts w:hint="eastAsia" w:ascii="宋体" w:hAnsi="宋体"/>
          <w:color w:val="auto"/>
          <w:sz w:val="24"/>
          <w:szCs w:val="24"/>
          <w:highlight w:val="none"/>
        </w:rPr>
        <w:t>致：XXX（</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机构名称）</w:t>
      </w:r>
    </w:p>
    <w:p w14:paraId="6BD9E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号谈判公告的内容，我方决定参加贵方组织的“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w:t>
      </w:r>
      <w:r>
        <w:rPr>
          <w:rFonts w:hint="eastAsia" w:ascii="宋体" w:hAnsi="宋体"/>
          <w:color w:val="auto"/>
          <w:sz w:val="24"/>
          <w:szCs w:val="24"/>
          <w:highlight w:val="none"/>
          <w:lang w:eastAsia="zh-CN"/>
        </w:rPr>
        <w:t>竞争性谈判</w:t>
      </w:r>
      <w:r>
        <w:rPr>
          <w:rFonts w:hint="eastAsia" w:ascii="宋体" w:hAnsi="宋体"/>
          <w:color w:val="auto"/>
          <w:sz w:val="24"/>
          <w:szCs w:val="24"/>
          <w:highlight w:val="none"/>
        </w:rPr>
        <w:t>采购。我方授权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(姓名)代表我方___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（投标单位的名称）全权处理本项目谈判的有关事宜。</w:t>
      </w:r>
    </w:p>
    <w:p w14:paraId="46EEDC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2、我方愿意按照采购书规定的各项要求，向采购人提供所需的货物服务。</w:t>
      </w:r>
    </w:p>
    <w:p w14:paraId="1C3FC6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3、一旦我方中标，我方将严格履行合同规定的责任和义务，保证于采购人要求的日期内完成货物交付安装调试与服务，并交付采购人验收、使用。</w:t>
      </w:r>
    </w:p>
    <w:p w14:paraId="59FE8E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4、如我公司成交，我公司承诺愿意按</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规定缴纳履约保证金。</w:t>
      </w:r>
    </w:p>
    <w:p w14:paraId="19BDACD8">
      <w:pPr>
        <w:tabs>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5、我方愿意提供贵方可能另外要求的、与谈判有关的文件资料，并保证我方已提供和将要提供的文件是真实的、准确的。</w:t>
      </w:r>
    </w:p>
    <w:p w14:paraId="36925611">
      <w:pPr>
        <w:tabs>
          <w:tab w:val="left" w:pos="0"/>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6、我方完全理解贵方不一定将合同授予最低报价的供应商。</w:t>
      </w:r>
    </w:p>
    <w:p w14:paraId="6F79F80A">
      <w:pPr>
        <w:tabs>
          <w:tab w:val="left" w:pos="0"/>
          <w:tab w:val="left" w:pos="840"/>
        </w:tabs>
        <w:spacing w:line="360" w:lineRule="auto"/>
        <w:jc w:val="left"/>
        <w:rPr>
          <w:rFonts w:ascii="宋体" w:hAnsi="宋体"/>
          <w:color w:val="auto"/>
          <w:sz w:val="24"/>
          <w:szCs w:val="24"/>
          <w:highlight w:val="none"/>
        </w:rPr>
      </w:pPr>
    </w:p>
    <w:p w14:paraId="7702B250">
      <w:pPr>
        <w:tabs>
          <w:tab w:val="left" w:pos="0"/>
          <w:tab w:val="left" w:pos="840"/>
        </w:tabs>
        <w:rPr>
          <w:rFonts w:ascii="宋体" w:hAnsi="宋体"/>
          <w:color w:val="auto"/>
          <w:sz w:val="24"/>
          <w:szCs w:val="24"/>
          <w:highlight w:val="none"/>
        </w:rPr>
      </w:pPr>
    </w:p>
    <w:p w14:paraId="475E157E">
      <w:pPr>
        <w:tabs>
          <w:tab w:val="left" w:pos="0"/>
          <w:tab w:val="left" w:pos="840"/>
        </w:tabs>
        <w:rPr>
          <w:rFonts w:ascii="宋体" w:hAnsi="宋体"/>
          <w:color w:val="auto"/>
          <w:sz w:val="24"/>
          <w:szCs w:val="24"/>
          <w:highlight w:val="none"/>
        </w:rPr>
      </w:pPr>
    </w:p>
    <w:p w14:paraId="556EE830">
      <w:pPr>
        <w:tabs>
          <w:tab w:val="left" w:pos="0"/>
          <w:tab w:val="left" w:pos="840"/>
        </w:tabs>
        <w:rPr>
          <w:rFonts w:ascii="宋体" w:hAnsi="宋体"/>
          <w:color w:val="auto"/>
          <w:sz w:val="24"/>
          <w:szCs w:val="24"/>
          <w:highlight w:val="none"/>
        </w:rPr>
      </w:pPr>
    </w:p>
    <w:p w14:paraId="78019E19">
      <w:pPr>
        <w:tabs>
          <w:tab w:val="left" w:pos="0"/>
          <w:tab w:val="left" w:pos="840"/>
        </w:tabs>
        <w:rPr>
          <w:rFonts w:ascii="宋体" w:hAnsi="宋体"/>
          <w:color w:val="auto"/>
          <w:sz w:val="24"/>
          <w:szCs w:val="24"/>
          <w:highlight w:val="none"/>
        </w:rPr>
      </w:pPr>
    </w:p>
    <w:p w14:paraId="177F97E7">
      <w:pPr>
        <w:spacing w:line="360" w:lineRule="auto"/>
        <w:ind w:firstLine="4245" w:firstLineChars="1762"/>
        <w:rPr>
          <w:rFonts w:ascii="宋体" w:hAnsi="宋体"/>
          <w:b/>
          <w:bCs/>
          <w:color w:val="auto"/>
          <w:sz w:val="24"/>
          <w:szCs w:val="24"/>
          <w:highlight w:val="none"/>
          <w:u w:val="single"/>
        </w:rPr>
      </w:pPr>
      <w:r>
        <w:rPr>
          <w:rFonts w:hint="eastAsia" w:ascii="宋体" w:hAnsi="宋体"/>
          <w:b/>
          <w:bCs/>
          <w:color w:val="auto"/>
          <w:sz w:val="24"/>
          <w:szCs w:val="24"/>
          <w:highlight w:val="none"/>
        </w:rPr>
        <w:t>供应商</w:t>
      </w:r>
      <w:r>
        <w:rPr>
          <w:rFonts w:hint="eastAsia" w:ascii="宋体" w:hAnsi="宋体"/>
          <w:b/>
          <w:bCs/>
          <w:color w:val="auto"/>
          <w:sz w:val="24"/>
          <w:szCs w:val="24"/>
          <w:highlight w:val="none"/>
          <w:lang w:val="en-US" w:eastAsia="zh-CN"/>
        </w:rPr>
        <w:t>盖公章</w:t>
      </w:r>
      <w:r>
        <w:rPr>
          <w:rFonts w:hint="eastAsia" w:ascii="宋体" w:hAnsi="宋体"/>
          <w:b/>
          <w:bCs/>
          <w:color w:val="auto"/>
          <w:sz w:val="24"/>
          <w:szCs w:val="24"/>
          <w:highlight w:val="none"/>
        </w:rPr>
        <w:t>：</w:t>
      </w:r>
    </w:p>
    <w:p w14:paraId="7EA3B0A8">
      <w:pPr>
        <w:tabs>
          <w:tab w:val="left" w:pos="630"/>
        </w:tabs>
        <w:spacing w:line="360" w:lineRule="auto"/>
        <w:ind w:firstLine="4245" w:firstLineChars="1762"/>
        <w:rPr>
          <w:rFonts w:ascii="宋体" w:hAnsi="宋体"/>
          <w:b/>
          <w:bCs/>
          <w:color w:val="auto"/>
          <w:sz w:val="24"/>
          <w:szCs w:val="24"/>
          <w:highlight w:val="none"/>
        </w:rPr>
      </w:pPr>
      <w:r>
        <w:rPr>
          <w:rFonts w:hint="eastAsia" w:ascii="宋体" w:hAnsi="宋体"/>
          <w:b/>
          <w:bCs/>
          <w:color w:val="auto"/>
          <w:sz w:val="24"/>
          <w:szCs w:val="24"/>
          <w:highlight w:val="none"/>
        </w:rPr>
        <w:t>日期：</w:t>
      </w:r>
    </w:p>
    <w:p w14:paraId="2AC1DC44">
      <w:pPr>
        <w:pStyle w:val="4"/>
        <w:rPr>
          <w:color w:val="auto"/>
          <w:sz w:val="24"/>
          <w:szCs w:val="24"/>
          <w:highlight w:val="none"/>
          <w:lang w:val="en-US"/>
        </w:rPr>
      </w:pPr>
    </w:p>
    <w:p w14:paraId="5EEDBEB5">
      <w:pPr>
        <w:rPr>
          <w:color w:val="auto"/>
          <w:highlight w:val="none"/>
        </w:rPr>
      </w:pPr>
    </w:p>
    <w:p w14:paraId="12255120">
      <w:pPr>
        <w:rPr>
          <w:color w:val="auto"/>
          <w:highlight w:val="none"/>
        </w:rPr>
      </w:pPr>
    </w:p>
    <w:p w14:paraId="7EE8D522">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FFBD36">
      <w:pPr>
        <w:pStyle w:val="3"/>
        <w:spacing w:before="0" w:after="0" w:line="560" w:lineRule="exact"/>
        <w:rPr>
          <w:rFonts w:ascii="宋体" w:hAnsi="宋体" w:eastAsia="宋体" w:cs="宋体"/>
          <w:color w:val="auto"/>
          <w:sz w:val="24"/>
          <w:szCs w:val="24"/>
          <w:highlight w:val="none"/>
        </w:rPr>
      </w:pPr>
      <w:bookmarkStart w:id="114" w:name="_Toc22537"/>
      <w:r>
        <w:rPr>
          <w:rFonts w:hint="eastAsia" w:ascii="宋体" w:hAnsi="宋体" w:eastAsia="宋体" w:cs="宋体"/>
          <w:color w:val="auto"/>
          <w:sz w:val="24"/>
          <w:szCs w:val="24"/>
          <w:highlight w:val="none"/>
        </w:rPr>
        <w:t>附件</w:t>
      </w:r>
      <w:bookmarkEnd w:id="113"/>
      <w:r>
        <w:rPr>
          <w:rFonts w:hint="eastAsia" w:ascii="宋体" w:hAnsi="宋体" w:eastAsia="宋体" w:cs="宋体"/>
          <w:color w:val="auto"/>
          <w:sz w:val="24"/>
          <w:szCs w:val="24"/>
          <w:highlight w:val="none"/>
        </w:rPr>
        <w:t>五</w:t>
      </w:r>
      <w:bookmarkEnd w:id="114"/>
    </w:p>
    <w:p w14:paraId="5EB4E82B">
      <w:pPr>
        <w:pStyle w:val="35"/>
        <w:ind w:firstLine="2891" w:firstLineChars="1200"/>
        <w:rPr>
          <w:rFonts w:ascii="宋体" w:hAnsi="宋体" w:cs="宋体"/>
          <w:b/>
          <w:color w:val="auto"/>
          <w:szCs w:val="24"/>
          <w:highlight w:val="none"/>
          <w:lang w:val="zh-CN"/>
        </w:rPr>
      </w:pPr>
      <w:bookmarkStart w:id="115" w:name="_Hlk77794441"/>
      <w:bookmarkStart w:id="116" w:name="_Hlk77793942"/>
      <w:bookmarkStart w:id="117" w:name="_Toc363199274"/>
      <w:r>
        <w:rPr>
          <w:rFonts w:hint="eastAsia" w:ascii="宋体" w:hAnsi="宋体" w:cs="宋体"/>
          <w:b/>
          <w:color w:val="auto"/>
          <w:szCs w:val="24"/>
          <w:highlight w:val="none"/>
          <w:lang w:val="zh-CN"/>
        </w:rPr>
        <w:t>无重大违法记录声明函</w:t>
      </w:r>
    </w:p>
    <w:p w14:paraId="106B860E">
      <w:pPr>
        <w:pStyle w:val="35"/>
        <w:ind w:firstLine="480" w:firstLineChars="200"/>
        <w:rPr>
          <w:rFonts w:ascii="宋体" w:hAnsi="宋体"/>
          <w:color w:val="auto"/>
          <w:szCs w:val="24"/>
          <w:highlight w:val="none"/>
        </w:rPr>
      </w:pPr>
      <w:bookmarkStart w:id="118"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2C8EE8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000A8489">
      <w:pPr>
        <w:spacing w:line="360" w:lineRule="auto"/>
        <w:ind w:firstLine="435"/>
        <w:rPr>
          <w:rFonts w:ascii="宋体" w:hAnsi="宋体"/>
          <w:color w:val="auto"/>
          <w:sz w:val="24"/>
          <w:szCs w:val="24"/>
          <w:highlight w:val="none"/>
        </w:rPr>
      </w:pPr>
    </w:p>
    <w:p w14:paraId="73F3C2EF">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bCs/>
          <w:color w:val="auto"/>
          <w:sz w:val="24"/>
          <w:szCs w:val="24"/>
          <w:highlight w:val="none"/>
          <w:lang w:val="en-US" w:eastAsia="zh-CN"/>
        </w:rPr>
        <w:t>盖公章</w:t>
      </w:r>
      <w:r>
        <w:rPr>
          <w:rFonts w:hint="eastAsia" w:ascii="宋体" w:hAnsi="宋体"/>
          <w:bCs/>
          <w:color w:val="auto"/>
          <w:sz w:val="24"/>
          <w:szCs w:val="24"/>
          <w:highlight w:val="none"/>
        </w:rPr>
        <w:t>：</w:t>
      </w:r>
    </w:p>
    <w:p w14:paraId="46C5B3D7">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18"/>
    <w:p w14:paraId="081DB915">
      <w:pPr>
        <w:pStyle w:val="35"/>
        <w:ind w:firstLine="210"/>
        <w:rPr>
          <w:color w:val="auto"/>
          <w:highlight w:val="none"/>
        </w:rPr>
      </w:pPr>
    </w:p>
    <w:p w14:paraId="49D8FBCE">
      <w:pPr>
        <w:pStyle w:val="35"/>
        <w:ind w:firstLine="210"/>
        <w:rPr>
          <w:color w:val="auto"/>
          <w:highlight w:val="none"/>
        </w:rPr>
      </w:pPr>
    </w:p>
    <w:p w14:paraId="37F448BF">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42EF5441">
      <w:pPr>
        <w:spacing w:line="360" w:lineRule="auto"/>
        <w:ind w:firstLine="435"/>
        <w:rPr>
          <w:rFonts w:ascii="宋体" w:hAnsi="宋体"/>
          <w:color w:val="auto"/>
          <w:sz w:val="24"/>
          <w:szCs w:val="24"/>
          <w:highlight w:val="none"/>
        </w:rPr>
      </w:pPr>
      <w:bookmarkStart w:id="119" w:name="_Hlk77794010"/>
      <w:r>
        <w:rPr>
          <w:rFonts w:hint="eastAsia" w:ascii="宋体" w:hAnsi="宋体"/>
          <w:color w:val="auto"/>
          <w:sz w:val="24"/>
          <w:szCs w:val="24"/>
          <w:highlight w:val="none"/>
        </w:rPr>
        <w:t>本公司郑重承诺，我公司无以下不良信用记录情形：</w:t>
      </w:r>
    </w:p>
    <w:p w14:paraId="24939CF3">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5FD6D6B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77911C5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36DEF1EC">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EDE4549">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6CB084B2">
      <w:pPr>
        <w:tabs>
          <w:tab w:val="left" w:pos="630"/>
        </w:tabs>
        <w:spacing w:line="360" w:lineRule="auto"/>
        <w:ind w:firstLine="630"/>
        <w:rPr>
          <w:rFonts w:ascii="宋体" w:hAnsi="宋体"/>
          <w:color w:val="auto"/>
          <w:sz w:val="24"/>
          <w:szCs w:val="24"/>
          <w:highlight w:val="none"/>
        </w:rPr>
      </w:pPr>
    </w:p>
    <w:p w14:paraId="2E459BAE">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bCs/>
          <w:color w:val="auto"/>
          <w:sz w:val="24"/>
          <w:szCs w:val="24"/>
          <w:highlight w:val="none"/>
          <w:lang w:val="en-US" w:eastAsia="zh-CN"/>
        </w:rPr>
        <w:t>盖公章</w:t>
      </w:r>
      <w:r>
        <w:rPr>
          <w:rFonts w:hint="eastAsia" w:ascii="宋体" w:hAnsi="宋体"/>
          <w:bCs/>
          <w:color w:val="auto"/>
          <w:sz w:val="24"/>
          <w:szCs w:val="24"/>
          <w:highlight w:val="none"/>
        </w:rPr>
        <w:t>：</w:t>
      </w:r>
    </w:p>
    <w:p w14:paraId="0818276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 xml:space="preserve">日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期：</w:t>
      </w:r>
    </w:p>
    <w:bookmarkEnd w:id="115"/>
    <w:bookmarkEnd w:id="119"/>
    <w:p w14:paraId="1AD28E0E">
      <w:pPr>
        <w:pStyle w:val="35"/>
        <w:ind w:firstLine="210"/>
        <w:rPr>
          <w:color w:val="auto"/>
          <w:highlight w:val="none"/>
        </w:rPr>
      </w:pPr>
    </w:p>
    <w:bookmarkEnd w:id="116"/>
    <w:p w14:paraId="6051D08C">
      <w:pPr>
        <w:pStyle w:val="35"/>
        <w:ind w:firstLine="210"/>
        <w:rPr>
          <w:color w:val="auto"/>
          <w:highlight w:val="none"/>
        </w:rPr>
      </w:pPr>
    </w:p>
    <w:p w14:paraId="5F91A36E">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E5685F7">
      <w:pPr>
        <w:pStyle w:val="3"/>
        <w:spacing w:before="0" w:after="0" w:line="560" w:lineRule="exact"/>
        <w:rPr>
          <w:rFonts w:ascii="宋体" w:hAnsi="宋体" w:eastAsia="宋体" w:cs="宋体"/>
          <w:color w:val="auto"/>
          <w:sz w:val="24"/>
          <w:szCs w:val="24"/>
          <w:highlight w:val="none"/>
        </w:rPr>
      </w:pPr>
      <w:bookmarkStart w:id="120" w:name="_Toc17131"/>
      <w:r>
        <w:rPr>
          <w:rFonts w:hint="eastAsia" w:ascii="宋体" w:hAnsi="宋体" w:eastAsia="宋体" w:cs="宋体"/>
          <w:color w:val="auto"/>
          <w:sz w:val="24"/>
          <w:szCs w:val="24"/>
          <w:highlight w:val="none"/>
        </w:rPr>
        <w:t>附件</w:t>
      </w:r>
      <w:bookmarkEnd w:id="117"/>
      <w:r>
        <w:rPr>
          <w:rFonts w:hint="eastAsia" w:ascii="宋体" w:hAnsi="宋体" w:eastAsia="宋体" w:cs="宋体"/>
          <w:color w:val="auto"/>
          <w:sz w:val="24"/>
          <w:szCs w:val="24"/>
          <w:highlight w:val="none"/>
        </w:rPr>
        <w:t>六</w:t>
      </w:r>
      <w:bookmarkEnd w:id="120"/>
    </w:p>
    <w:p w14:paraId="3151A6EB">
      <w:pPr>
        <w:pStyle w:val="3"/>
        <w:spacing w:before="0" w:after="0" w:line="560" w:lineRule="exact"/>
        <w:jc w:val="center"/>
        <w:rPr>
          <w:rFonts w:ascii="宋体" w:hAnsi="宋体" w:eastAsia="宋体" w:cs="宋体"/>
          <w:color w:val="auto"/>
          <w:sz w:val="24"/>
          <w:szCs w:val="24"/>
          <w:highlight w:val="none"/>
          <w:lang w:val="zh-CN"/>
        </w:rPr>
      </w:pPr>
      <w:bookmarkStart w:id="121" w:name="_Toc24468"/>
      <w:bookmarkStart w:id="122" w:name="_Toc12738"/>
      <w:bookmarkStart w:id="123" w:name="_Toc25238"/>
      <w:bookmarkStart w:id="124" w:name="_Toc26614"/>
      <w:bookmarkStart w:id="125" w:name="_Toc30719"/>
      <w:r>
        <w:rPr>
          <w:rFonts w:hint="eastAsia" w:ascii="宋体" w:hAnsi="宋体" w:eastAsia="宋体" w:cs="宋体"/>
          <w:color w:val="auto"/>
          <w:sz w:val="24"/>
          <w:szCs w:val="24"/>
          <w:highlight w:val="none"/>
          <w:lang w:val="zh-CN"/>
        </w:rPr>
        <w:t>响应情况表</w:t>
      </w:r>
      <w:bookmarkEnd w:id="121"/>
      <w:bookmarkEnd w:id="122"/>
      <w:bookmarkEnd w:id="123"/>
      <w:bookmarkEnd w:id="124"/>
    </w:p>
    <w:p w14:paraId="0365BBDD">
      <w:pPr>
        <w:jc w:val="center"/>
        <w:rPr>
          <w:bCs/>
          <w:color w:val="auto"/>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A16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2862CF0">
            <w:pPr>
              <w:jc w:val="center"/>
              <w:rPr>
                <w:rFonts w:ascii="宋体" w:cs="宋体"/>
                <w:b/>
                <w:color w:val="auto"/>
                <w:sz w:val="24"/>
                <w:szCs w:val="21"/>
                <w:highlight w:val="none"/>
              </w:rPr>
            </w:pPr>
            <w:r>
              <w:rPr>
                <w:rFonts w:hint="eastAsia" w:ascii="宋体" w:hAnsi="宋体" w:cs="宋体"/>
                <w:b/>
                <w:color w:val="auto"/>
                <w:sz w:val="24"/>
                <w:szCs w:val="21"/>
                <w:highlight w:val="none"/>
              </w:rPr>
              <w:t>按谈判文件规定填写</w:t>
            </w:r>
          </w:p>
        </w:tc>
        <w:tc>
          <w:tcPr>
            <w:tcW w:w="4200" w:type="dxa"/>
            <w:gridSpan w:val="2"/>
            <w:vAlign w:val="center"/>
          </w:tcPr>
          <w:p w14:paraId="5204DE7B">
            <w:pPr>
              <w:jc w:val="center"/>
              <w:rPr>
                <w:rFonts w:asci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1AC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666C9C45">
            <w:pPr>
              <w:jc w:val="center"/>
              <w:rPr>
                <w:rFonts w:asci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41C331AD">
            <w:pPr>
              <w:jc w:val="center"/>
              <w:rPr>
                <w:rFonts w:asci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259F6247">
            <w:pPr>
              <w:jc w:val="center"/>
              <w:rPr>
                <w:rFonts w:ascii="宋体" w:cs="宋体"/>
                <w:b/>
                <w:color w:val="auto"/>
                <w:sz w:val="24"/>
                <w:szCs w:val="21"/>
                <w:highlight w:val="none"/>
              </w:rPr>
            </w:pPr>
            <w:r>
              <w:rPr>
                <w:rFonts w:hint="eastAsia" w:ascii="宋体" w:hAnsi="宋体" w:cs="宋体"/>
                <w:b/>
                <w:color w:val="auto"/>
                <w:sz w:val="24"/>
                <w:szCs w:val="21"/>
                <w:highlight w:val="none"/>
              </w:rPr>
              <w:t>谈判文件要求</w:t>
            </w:r>
          </w:p>
        </w:tc>
        <w:tc>
          <w:tcPr>
            <w:tcW w:w="2222" w:type="dxa"/>
            <w:vAlign w:val="center"/>
          </w:tcPr>
          <w:p w14:paraId="266E2F2D">
            <w:pPr>
              <w:jc w:val="center"/>
              <w:rPr>
                <w:rFonts w:asci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383F5458">
            <w:pPr>
              <w:jc w:val="center"/>
              <w:rPr>
                <w:rFonts w:ascii="宋体" w:cs="宋体"/>
                <w:b/>
                <w:color w:val="auto"/>
                <w:sz w:val="24"/>
                <w:szCs w:val="21"/>
                <w:highlight w:val="none"/>
              </w:rPr>
            </w:pPr>
            <w:r>
              <w:rPr>
                <w:rFonts w:hint="eastAsia" w:ascii="宋体" w:hAnsi="宋体" w:cs="宋体"/>
                <w:b/>
                <w:color w:val="auto"/>
                <w:sz w:val="24"/>
                <w:szCs w:val="21"/>
                <w:highlight w:val="none"/>
              </w:rPr>
              <w:t>偏离说明</w:t>
            </w:r>
          </w:p>
        </w:tc>
      </w:tr>
      <w:tr w14:paraId="327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8C28DB6">
            <w:pPr>
              <w:jc w:val="center"/>
              <w:rPr>
                <w:rFonts w:ascii="宋体" w:cs="宋体"/>
                <w:color w:val="auto"/>
                <w:sz w:val="24"/>
                <w:szCs w:val="24"/>
                <w:highlight w:val="none"/>
              </w:rPr>
            </w:pPr>
            <w:r>
              <w:rPr>
                <w:rFonts w:ascii="宋体" w:hAnsi="宋体" w:cs="宋体"/>
                <w:color w:val="auto"/>
                <w:sz w:val="24"/>
                <w:szCs w:val="24"/>
                <w:highlight w:val="none"/>
              </w:rPr>
              <w:t>1</w:t>
            </w:r>
          </w:p>
        </w:tc>
        <w:tc>
          <w:tcPr>
            <w:tcW w:w="1794" w:type="dxa"/>
            <w:vAlign w:val="center"/>
          </w:tcPr>
          <w:p w14:paraId="64A4E9DF">
            <w:pPr>
              <w:jc w:val="center"/>
              <w:rPr>
                <w:rFonts w:hint="eastAsia" w:ascii="宋体" w:eastAsia="宋体" w:cs="宋体"/>
                <w:color w:val="auto"/>
                <w:sz w:val="24"/>
                <w:szCs w:val="24"/>
                <w:highlight w:val="none"/>
                <w:lang w:eastAsia="zh-CN"/>
              </w:rPr>
            </w:pPr>
            <w:r>
              <w:rPr>
                <w:rFonts w:hint="eastAsia" w:ascii="宋体" w:hAnsi="宋体"/>
                <w:color w:val="auto"/>
                <w:sz w:val="24"/>
                <w:szCs w:val="28"/>
                <w:highlight w:val="none"/>
              </w:rPr>
              <w:t>技术响应</w:t>
            </w:r>
          </w:p>
        </w:tc>
        <w:tc>
          <w:tcPr>
            <w:tcW w:w="2196" w:type="dxa"/>
            <w:vAlign w:val="center"/>
          </w:tcPr>
          <w:p w14:paraId="7EC381FB">
            <w:pPr>
              <w:rPr>
                <w:rFonts w:ascii="宋体" w:cs="宋体"/>
                <w:color w:val="auto"/>
                <w:sz w:val="24"/>
                <w:szCs w:val="24"/>
                <w:highlight w:val="none"/>
              </w:rPr>
            </w:pPr>
          </w:p>
        </w:tc>
        <w:tc>
          <w:tcPr>
            <w:tcW w:w="2222" w:type="dxa"/>
            <w:vAlign w:val="center"/>
          </w:tcPr>
          <w:p w14:paraId="41F616B4">
            <w:pPr>
              <w:rPr>
                <w:rFonts w:ascii="宋体" w:cs="宋体"/>
                <w:color w:val="auto"/>
                <w:sz w:val="24"/>
                <w:szCs w:val="24"/>
                <w:highlight w:val="none"/>
              </w:rPr>
            </w:pPr>
          </w:p>
        </w:tc>
        <w:tc>
          <w:tcPr>
            <w:tcW w:w="1978" w:type="dxa"/>
            <w:vAlign w:val="center"/>
          </w:tcPr>
          <w:p w14:paraId="79208A1E">
            <w:pPr>
              <w:rPr>
                <w:rFonts w:ascii="宋体" w:cs="宋体"/>
                <w:color w:val="auto"/>
                <w:sz w:val="24"/>
                <w:szCs w:val="24"/>
                <w:highlight w:val="none"/>
              </w:rPr>
            </w:pPr>
          </w:p>
        </w:tc>
      </w:tr>
      <w:tr w14:paraId="6CA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AF4A8CB">
            <w:pPr>
              <w:jc w:val="center"/>
              <w:rPr>
                <w:rFonts w:ascii="宋体" w:cs="宋体"/>
                <w:color w:val="auto"/>
                <w:sz w:val="24"/>
                <w:szCs w:val="24"/>
                <w:highlight w:val="none"/>
              </w:rPr>
            </w:pPr>
            <w:r>
              <w:rPr>
                <w:rFonts w:ascii="宋体" w:hAnsi="宋体" w:cs="宋体"/>
                <w:color w:val="auto"/>
                <w:sz w:val="24"/>
                <w:szCs w:val="24"/>
                <w:highlight w:val="none"/>
              </w:rPr>
              <w:t>2</w:t>
            </w:r>
          </w:p>
        </w:tc>
        <w:tc>
          <w:tcPr>
            <w:tcW w:w="1794" w:type="dxa"/>
            <w:vAlign w:val="center"/>
          </w:tcPr>
          <w:p w14:paraId="04861772">
            <w:pPr>
              <w:jc w:val="center"/>
              <w:rPr>
                <w:rFonts w:ascii="宋体" w:cs="宋体"/>
                <w:color w:val="auto"/>
                <w:sz w:val="24"/>
                <w:szCs w:val="24"/>
                <w:highlight w:val="none"/>
              </w:rPr>
            </w:pPr>
            <w:r>
              <w:rPr>
                <w:rFonts w:hint="eastAsia" w:ascii="宋体" w:hAnsi="宋体"/>
                <w:color w:val="auto"/>
                <w:sz w:val="24"/>
                <w:szCs w:val="28"/>
                <w:highlight w:val="none"/>
              </w:rPr>
              <w:t>付款响应</w:t>
            </w:r>
          </w:p>
        </w:tc>
        <w:tc>
          <w:tcPr>
            <w:tcW w:w="2196" w:type="dxa"/>
            <w:vAlign w:val="center"/>
          </w:tcPr>
          <w:p w14:paraId="66927944">
            <w:pPr>
              <w:rPr>
                <w:rFonts w:ascii="宋体" w:cs="宋体"/>
                <w:color w:val="auto"/>
                <w:sz w:val="24"/>
                <w:szCs w:val="24"/>
                <w:highlight w:val="none"/>
              </w:rPr>
            </w:pPr>
          </w:p>
        </w:tc>
        <w:tc>
          <w:tcPr>
            <w:tcW w:w="2222" w:type="dxa"/>
            <w:vAlign w:val="center"/>
          </w:tcPr>
          <w:p w14:paraId="0088169D">
            <w:pPr>
              <w:rPr>
                <w:rFonts w:ascii="宋体" w:cs="宋体"/>
                <w:color w:val="auto"/>
                <w:sz w:val="24"/>
                <w:szCs w:val="24"/>
                <w:highlight w:val="none"/>
              </w:rPr>
            </w:pPr>
          </w:p>
        </w:tc>
        <w:tc>
          <w:tcPr>
            <w:tcW w:w="1978" w:type="dxa"/>
            <w:vAlign w:val="center"/>
          </w:tcPr>
          <w:p w14:paraId="294C44FE">
            <w:pPr>
              <w:rPr>
                <w:rFonts w:ascii="宋体" w:cs="宋体"/>
                <w:color w:val="auto"/>
                <w:sz w:val="24"/>
                <w:szCs w:val="24"/>
                <w:highlight w:val="none"/>
              </w:rPr>
            </w:pPr>
          </w:p>
        </w:tc>
      </w:tr>
      <w:tr w14:paraId="7AD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92E4146">
            <w:pPr>
              <w:jc w:val="center"/>
              <w:rPr>
                <w:rFonts w:ascii="宋体" w:cs="宋体"/>
                <w:color w:val="auto"/>
                <w:sz w:val="24"/>
                <w:szCs w:val="24"/>
                <w:highlight w:val="none"/>
              </w:rPr>
            </w:pPr>
            <w:r>
              <w:rPr>
                <w:rFonts w:ascii="宋体" w:hAnsi="宋体" w:cs="宋体"/>
                <w:color w:val="auto"/>
                <w:sz w:val="24"/>
                <w:szCs w:val="24"/>
                <w:highlight w:val="none"/>
              </w:rPr>
              <w:t>3</w:t>
            </w:r>
          </w:p>
        </w:tc>
        <w:tc>
          <w:tcPr>
            <w:tcW w:w="1794" w:type="dxa"/>
            <w:vAlign w:val="center"/>
          </w:tcPr>
          <w:p w14:paraId="68743CA9">
            <w:pPr>
              <w:jc w:val="center"/>
              <w:rPr>
                <w:rFonts w:ascii="宋体" w:cs="宋体"/>
                <w:color w:val="auto"/>
                <w:sz w:val="24"/>
                <w:szCs w:val="24"/>
                <w:highlight w:val="none"/>
              </w:rPr>
            </w:pPr>
            <w:r>
              <w:rPr>
                <w:rFonts w:hint="eastAsia" w:ascii="宋体" w:hAnsi="宋体"/>
                <w:color w:val="auto"/>
                <w:sz w:val="24"/>
                <w:szCs w:val="28"/>
                <w:highlight w:val="none"/>
              </w:rPr>
              <w:t>服务</w:t>
            </w:r>
            <w:r>
              <w:rPr>
                <w:rFonts w:hint="eastAsia" w:ascii="宋体" w:hAnsi="宋体"/>
                <w:color w:val="auto"/>
                <w:sz w:val="24"/>
                <w:szCs w:val="28"/>
                <w:highlight w:val="none"/>
                <w:lang w:val="en-US" w:eastAsia="zh-CN"/>
              </w:rPr>
              <w:t>期限</w:t>
            </w:r>
            <w:r>
              <w:rPr>
                <w:rFonts w:hint="eastAsia" w:ascii="宋体" w:hAnsi="宋体"/>
                <w:color w:val="auto"/>
                <w:sz w:val="24"/>
                <w:szCs w:val="28"/>
                <w:highlight w:val="none"/>
              </w:rPr>
              <w:t>响应</w:t>
            </w:r>
          </w:p>
        </w:tc>
        <w:tc>
          <w:tcPr>
            <w:tcW w:w="2196" w:type="dxa"/>
            <w:vAlign w:val="center"/>
          </w:tcPr>
          <w:p w14:paraId="383F0F92">
            <w:pPr>
              <w:rPr>
                <w:rFonts w:ascii="宋体" w:cs="宋体"/>
                <w:color w:val="auto"/>
                <w:sz w:val="24"/>
                <w:szCs w:val="24"/>
                <w:highlight w:val="none"/>
              </w:rPr>
            </w:pPr>
          </w:p>
        </w:tc>
        <w:tc>
          <w:tcPr>
            <w:tcW w:w="2222" w:type="dxa"/>
            <w:vAlign w:val="center"/>
          </w:tcPr>
          <w:p w14:paraId="2F3DCC97">
            <w:pPr>
              <w:rPr>
                <w:rFonts w:ascii="宋体" w:cs="宋体"/>
                <w:color w:val="auto"/>
                <w:sz w:val="24"/>
                <w:szCs w:val="24"/>
                <w:highlight w:val="none"/>
              </w:rPr>
            </w:pPr>
          </w:p>
        </w:tc>
        <w:tc>
          <w:tcPr>
            <w:tcW w:w="1978" w:type="dxa"/>
            <w:vAlign w:val="center"/>
          </w:tcPr>
          <w:p w14:paraId="073E1F7A">
            <w:pPr>
              <w:rPr>
                <w:rFonts w:ascii="宋体" w:cs="宋体"/>
                <w:color w:val="auto"/>
                <w:sz w:val="24"/>
                <w:szCs w:val="24"/>
                <w:highlight w:val="none"/>
              </w:rPr>
            </w:pPr>
          </w:p>
        </w:tc>
      </w:tr>
      <w:tr w14:paraId="335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0A5D99">
            <w:pPr>
              <w:jc w:val="center"/>
              <w:rPr>
                <w:rFonts w:ascii="宋体" w:cs="宋体"/>
                <w:color w:val="auto"/>
                <w:sz w:val="24"/>
                <w:szCs w:val="24"/>
                <w:highlight w:val="none"/>
              </w:rPr>
            </w:pPr>
            <w:r>
              <w:rPr>
                <w:rFonts w:hint="eastAsia" w:ascii="宋体" w:cs="宋体"/>
                <w:color w:val="auto"/>
                <w:sz w:val="24"/>
                <w:szCs w:val="24"/>
                <w:highlight w:val="none"/>
              </w:rPr>
              <w:t>4</w:t>
            </w:r>
          </w:p>
        </w:tc>
        <w:tc>
          <w:tcPr>
            <w:tcW w:w="1794" w:type="dxa"/>
            <w:vAlign w:val="center"/>
          </w:tcPr>
          <w:p w14:paraId="5BFD1469">
            <w:pPr>
              <w:jc w:val="center"/>
              <w:rPr>
                <w:rFonts w:asci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2672ED8B">
            <w:pPr>
              <w:rPr>
                <w:rFonts w:ascii="宋体" w:cs="宋体"/>
                <w:color w:val="auto"/>
                <w:sz w:val="24"/>
                <w:szCs w:val="24"/>
                <w:highlight w:val="none"/>
              </w:rPr>
            </w:pPr>
          </w:p>
        </w:tc>
        <w:tc>
          <w:tcPr>
            <w:tcW w:w="2222" w:type="dxa"/>
            <w:vAlign w:val="center"/>
          </w:tcPr>
          <w:p w14:paraId="28CE1F66">
            <w:pPr>
              <w:rPr>
                <w:rFonts w:ascii="宋体" w:cs="宋体"/>
                <w:color w:val="auto"/>
                <w:sz w:val="24"/>
                <w:szCs w:val="24"/>
                <w:highlight w:val="none"/>
              </w:rPr>
            </w:pPr>
          </w:p>
        </w:tc>
        <w:tc>
          <w:tcPr>
            <w:tcW w:w="1978" w:type="dxa"/>
            <w:vAlign w:val="center"/>
          </w:tcPr>
          <w:p w14:paraId="2F962ACA">
            <w:pPr>
              <w:rPr>
                <w:rFonts w:ascii="宋体" w:cs="宋体"/>
                <w:color w:val="auto"/>
                <w:sz w:val="24"/>
                <w:szCs w:val="24"/>
                <w:highlight w:val="none"/>
              </w:rPr>
            </w:pPr>
          </w:p>
        </w:tc>
      </w:tr>
    </w:tbl>
    <w:p w14:paraId="4771812D">
      <w:pPr>
        <w:spacing w:after="312" w:afterLines="100" w:line="520" w:lineRule="exact"/>
        <w:ind w:firstLine="482" w:firstLineChars="200"/>
        <w:rPr>
          <w:rFonts w:ascii="宋体" w:hAnsi="宋体"/>
          <w:color w:val="auto"/>
          <w:sz w:val="24"/>
          <w:szCs w:val="28"/>
          <w:highlight w:val="none"/>
        </w:rPr>
      </w:pPr>
      <w:r>
        <w:rPr>
          <w:rFonts w:hint="eastAsia" w:ascii="宋体" w:hAnsi="宋体" w:cs="宋体"/>
          <w:b/>
          <w:color w:val="auto"/>
          <w:sz w:val="24"/>
          <w:szCs w:val="24"/>
          <w:highlight w:val="none"/>
        </w:rPr>
        <w:t>注：</w:t>
      </w:r>
      <w:r>
        <w:rPr>
          <w:rFonts w:hint="eastAsia" w:ascii="宋体" w:hAnsi="宋体"/>
          <w:color w:val="auto"/>
          <w:sz w:val="24"/>
          <w:szCs w:val="28"/>
          <w:highlight w:val="none"/>
        </w:rPr>
        <w:t>提供的服务满足采购需求；付款及服务期等均应响应谈判文件要求。</w:t>
      </w:r>
    </w:p>
    <w:p w14:paraId="14D120DA">
      <w:pPr>
        <w:spacing w:after="312" w:afterLines="100" w:line="520" w:lineRule="exact"/>
        <w:rPr>
          <w:rFonts w:ascii="宋体" w:hAnsi="宋体"/>
          <w:color w:val="auto"/>
          <w:sz w:val="24"/>
          <w:szCs w:val="28"/>
          <w:highlight w:val="none"/>
        </w:rPr>
      </w:pPr>
    </w:p>
    <w:p w14:paraId="12C4B960">
      <w:pPr>
        <w:rPr>
          <w:rFonts w:ascii="宋体" w:hAnsi="宋体"/>
          <w:color w:val="auto"/>
          <w:sz w:val="24"/>
          <w:szCs w:val="24"/>
          <w:highlight w:val="none"/>
        </w:rPr>
      </w:pPr>
    </w:p>
    <w:p w14:paraId="556E15EA">
      <w:pPr>
        <w:rPr>
          <w:rFonts w:ascii="宋体" w:hAnsi="宋体"/>
          <w:color w:val="auto"/>
          <w:sz w:val="24"/>
          <w:szCs w:val="24"/>
          <w:highlight w:val="none"/>
        </w:rPr>
      </w:pPr>
    </w:p>
    <w:p w14:paraId="39ED4C18">
      <w:pPr>
        <w:spacing w:line="360" w:lineRule="auto"/>
        <w:ind w:right="480"/>
        <w:jc w:val="center"/>
        <w:rPr>
          <w:rFonts w:ascii="宋体" w:hAnsi="宋体"/>
          <w:b w:val="0"/>
          <w:bCs w:val="0"/>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 w:val="0"/>
          <w:bCs w:val="0"/>
          <w:color w:val="auto"/>
          <w:sz w:val="24"/>
          <w:szCs w:val="24"/>
          <w:highlight w:val="none"/>
        </w:rPr>
        <w:t>供应商</w:t>
      </w:r>
      <w:r>
        <w:rPr>
          <w:rFonts w:hint="eastAsia" w:ascii="宋体" w:hAnsi="宋体"/>
          <w:bCs/>
          <w:color w:val="auto"/>
          <w:sz w:val="24"/>
          <w:szCs w:val="24"/>
          <w:highlight w:val="none"/>
          <w:lang w:val="en-US" w:eastAsia="zh-CN"/>
        </w:rPr>
        <w:t>盖公章</w:t>
      </w:r>
      <w:r>
        <w:rPr>
          <w:rFonts w:hint="eastAsia" w:ascii="宋体" w:hAnsi="宋体"/>
          <w:b w:val="0"/>
          <w:bCs w:val="0"/>
          <w:color w:val="auto"/>
          <w:sz w:val="24"/>
          <w:szCs w:val="24"/>
          <w:highlight w:val="none"/>
        </w:rPr>
        <w:t>：</w:t>
      </w:r>
    </w:p>
    <w:p w14:paraId="5F2CB572">
      <w:pPr>
        <w:ind w:firstLine="4320" w:firstLineChars="180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日    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43F4CA87">
      <w:pPr>
        <w:pStyle w:val="4"/>
        <w:spacing w:before="0" w:after="0"/>
        <w:rPr>
          <w:color w:val="auto"/>
          <w:sz w:val="24"/>
          <w:szCs w:val="24"/>
          <w:highlight w:val="none"/>
        </w:rPr>
      </w:pPr>
      <w:r>
        <w:rPr>
          <w:rFonts w:hint="eastAsia"/>
          <w:color w:val="auto"/>
          <w:sz w:val="24"/>
          <w:szCs w:val="24"/>
          <w:highlight w:val="none"/>
        </w:rPr>
        <w:br w:type="page"/>
      </w:r>
    </w:p>
    <w:p w14:paraId="6F4DFAF0">
      <w:pPr>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附件</w:t>
      </w:r>
      <w:bookmarkEnd w:id="125"/>
      <w:r>
        <w:rPr>
          <w:rFonts w:hint="eastAsia" w:ascii="宋体" w:hAnsi="宋体" w:cs="宋体"/>
          <w:b/>
          <w:bCs/>
          <w:color w:val="auto"/>
          <w:sz w:val="24"/>
          <w:szCs w:val="24"/>
          <w:highlight w:val="none"/>
          <w:lang w:val="en-US" w:eastAsia="zh-CN"/>
        </w:rPr>
        <w:t>七</w:t>
      </w:r>
    </w:p>
    <w:p w14:paraId="49FBA896">
      <w:pPr>
        <w:rPr>
          <w:color w:val="auto"/>
          <w:highlight w:val="none"/>
        </w:rPr>
      </w:pPr>
    </w:p>
    <w:p w14:paraId="755D6DAB">
      <w:pPr>
        <w:pStyle w:val="3"/>
        <w:spacing w:before="0" w:after="0" w:line="560" w:lineRule="exact"/>
        <w:jc w:val="center"/>
        <w:rPr>
          <w:rFonts w:ascii="宋体" w:hAnsi="宋体" w:eastAsia="宋体" w:cs="宋体"/>
          <w:b w:val="0"/>
          <w:bCs/>
          <w:color w:val="auto"/>
          <w:sz w:val="24"/>
          <w:szCs w:val="24"/>
          <w:highlight w:val="none"/>
        </w:rPr>
      </w:pPr>
      <w:bookmarkStart w:id="126" w:name="_Toc8261"/>
      <w:bookmarkStart w:id="127" w:name="_Toc19723"/>
      <w:bookmarkStart w:id="128" w:name="_Toc28850"/>
      <w:r>
        <w:rPr>
          <w:rFonts w:hint="eastAsia" w:ascii="宋体" w:hAnsi="宋体" w:eastAsia="宋体" w:cs="宋体"/>
          <w:b w:val="0"/>
          <w:bCs/>
          <w:color w:val="auto"/>
          <w:sz w:val="24"/>
          <w:szCs w:val="24"/>
          <w:highlight w:val="none"/>
          <w:lang w:eastAsia="zh-CN"/>
        </w:rPr>
        <w:t>竞争性谈判文件</w:t>
      </w:r>
      <w:r>
        <w:rPr>
          <w:rFonts w:hint="eastAsia" w:ascii="宋体" w:hAnsi="宋体" w:eastAsia="宋体" w:cs="宋体"/>
          <w:b w:val="0"/>
          <w:bCs/>
          <w:color w:val="auto"/>
          <w:sz w:val="24"/>
          <w:szCs w:val="24"/>
          <w:highlight w:val="none"/>
        </w:rPr>
        <w:t>要求和供应商认为需要提供的其它说明和资料</w:t>
      </w:r>
      <w:bookmarkEnd w:id="126"/>
      <w:bookmarkEnd w:id="127"/>
      <w:bookmarkEnd w:id="128"/>
    </w:p>
    <w:p w14:paraId="1FB89727">
      <w:pPr>
        <w:rPr>
          <w:color w:val="auto"/>
          <w:highlight w:val="none"/>
        </w:rPr>
      </w:pPr>
    </w:p>
    <w:p w14:paraId="6C0E4679">
      <w:pPr>
        <w:rPr>
          <w:color w:val="auto"/>
          <w:highlight w:val="none"/>
        </w:rPr>
      </w:pPr>
    </w:p>
    <w:p w14:paraId="69B175E9">
      <w:pPr>
        <w:rPr>
          <w:color w:val="auto"/>
          <w:highlight w:val="none"/>
        </w:rPr>
      </w:pPr>
    </w:p>
    <w:p w14:paraId="3D3B9E21">
      <w:pPr>
        <w:rPr>
          <w:color w:val="auto"/>
          <w:highlight w:val="none"/>
        </w:rPr>
      </w:pPr>
    </w:p>
    <w:p w14:paraId="15F1F5D3">
      <w:pPr>
        <w:rPr>
          <w:color w:val="auto"/>
          <w:highlight w:val="none"/>
        </w:rPr>
      </w:pPr>
    </w:p>
    <w:p w14:paraId="21F34528">
      <w:pPr>
        <w:rPr>
          <w:color w:val="auto"/>
          <w:highlight w:val="none"/>
        </w:rPr>
      </w:pPr>
    </w:p>
    <w:p w14:paraId="2DCF5710">
      <w:pPr>
        <w:rPr>
          <w:color w:val="auto"/>
          <w:highlight w:val="none"/>
        </w:rPr>
      </w:pPr>
    </w:p>
    <w:p w14:paraId="07AD520F">
      <w:pPr>
        <w:rPr>
          <w:color w:val="auto"/>
          <w:highlight w:val="none"/>
        </w:rPr>
      </w:pPr>
    </w:p>
    <w:p w14:paraId="5B2FCC22">
      <w:pPr>
        <w:rPr>
          <w:color w:val="auto"/>
          <w:highlight w:val="none"/>
        </w:rPr>
      </w:pPr>
    </w:p>
    <w:p w14:paraId="1DD1E69B">
      <w:pPr>
        <w:rPr>
          <w:color w:val="auto"/>
          <w:highlight w:val="none"/>
        </w:rPr>
      </w:pPr>
    </w:p>
    <w:p w14:paraId="21B67259">
      <w:pPr>
        <w:rPr>
          <w:color w:val="auto"/>
          <w:highlight w:val="none"/>
        </w:rPr>
      </w:pPr>
    </w:p>
    <w:p w14:paraId="64F3158A">
      <w:pPr>
        <w:rPr>
          <w:color w:val="auto"/>
          <w:highlight w:val="none"/>
        </w:rPr>
      </w:pPr>
    </w:p>
    <w:p w14:paraId="3AB401DC">
      <w:pPr>
        <w:rPr>
          <w:color w:val="auto"/>
          <w:highlight w:val="none"/>
        </w:rPr>
      </w:pPr>
    </w:p>
    <w:p w14:paraId="49A17E15">
      <w:pPr>
        <w:rPr>
          <w:color w:val="auto"/>
          <w:highlight w:val="none"/>
        </w:rPr>
      </w:pPr>
    </w:p>
    <w:p w14:paraId="41A37243">
      <w:pPr>
        <w:rPr>
          <w:color w:val="auto"/>
          <w:highlight w:val="none"/>
        </w:rPr>
      </w:pPr>
    </w:p>
    <w:p w14:paraId="0CDE4A50">
      <w:pPr>
        <w:rPr>
          <w:color w:val="auto"/>
          <w:highlight w:val="none"/>
        </w:rPr>
      </w:pPr>
    </w:p>
    <w:p w14:paraId="20479CA3">
      <w:pPr>
        <w:rPr>
          <w:color w:val="auto"/>
          <w:highlight w:val="none"/>
        </w:rPr>
      </w:pPr>
    </w:p>
    <w:p w14:paraId="340A414C">
      <w:pPr>
        <w:rPr>
          <w:color w:val="auto"/>
          <w:highlight w:val="none"/>
        </w:rPr>
      </w:pPr>
    </w:p>
    <w:p w14:paraId="0C4472DB">
      <w:pPr>
        <w:rPr>
          <w:color w:val="auto"/>
          <w:highlight w:val="none"/>
        </w:rPr>
      </w:pPr>
    </w:p>
    <w:p w14:paraId="5FF31DA9">
      <w:pPr>
        <w:rPr>
          <w:color w:val="auto"/>
          <w:highlight w:val="none"/>
        </w:rPr>
      </w:pPr>
    </w:p>
    <w:p w14:paraId="137C7E2C">
      <w:pPr>
        <w:rPr>
          <w:color w:val="auto"/>
          <w:highlight w:val="none"/>
        </w:rPr>
      </w:pPr>
    </w:p>
    <w:p w14:paraId="70CCA338">
      <w:pPr>
        <w:rPr>
          <w:color w:val="auto"/>
          <w:highlight w:val="none"/>
        </w:rPr>
      </w:pPr>
    </w:p>
    <w:p w14:paraId="40D14268">
      <w:pPr>
        <w:rPr>
          <w:color w:val="auto"/>
          <w:highlight w:val="none"/>
        </w:rPr>
      </w:pPr>
    </w:p>
    <w:p w14:paraId="184AEF47">
      <w:pPr>
        <w:rPr>
          <w:color w:val="auto"/>
          <w:highlight w:val="none"/>
        </w:rPr>
      </w:pPr>
    </w:p>
    <w:p w14:paraId="355EB114">
      <w:pPr>
        <w:rPr>
          <w:color w:val="auto"/>
          <w:highlight w:val="none"/>
        </w:rPr>
      </w:pPr>
    </w:p>
    <w:p w14:paraId="3B62840B">
      <w:pPr>
        <w:rPr>
          <w:color w:val="auto"/>
          <w:highlight w:val="none"/>
        </w:rPr>
      </w:pPr>
    </w:p>
    <w:p w14:paraId="0D07F267">
      <w:pPr>
        <w:rPr>
          <w:color w:val="auto"/>
          <w:highlight w:val="none"/>
        </w:rPr>
      </w:pPr>
    </w:p>
    <w:p w14:paraId="24F1FFF9">
      <w:pPr>
        <w:rPr>
          <w:color w:val="auto"/>
          <w:highlight w:val="none"/>
        </w:rPr>
      </w:pPr>
    </w:p>
    <w:p w14:paraId="49563A8C">
      <w:pPr>
        <w:rPr>
          <w:color w:val="auto"/>
          <w:highlight w:val="none"/>
        </w:rPr>
      </w:pPr>
    </w:p>
    <w:p w14:paraId="5753B883">
      <w:pPr>
        <w:rPr>
          <w:color w:val="auto"/>
          <w:highlight w:val="none"/>
        </w:rPr>
      </w:pPr>
    </w:p>
    <w:p w14:paraId="2C4DDA28">
      <w:pPr>
        <w:rPr>
          <w:color w:val="auto"/>
          <w:highlight w:val="none"/>
        </w:rPr>
      </w:pPr>
    </w:p>
    <w:p w14:paraId="3834318D">
      <w:pPr>
        <w:rPr>
          <w:color w:val="auto"/>
          <w:highlight w:val="none"/>
        </w:rPr>
      </w:pPr>
    </w:p>
    <w:p w14:paraId="30C62A52">
      <w:pPr>
        <w:rPr>
          <w:color w:val="auto"/>
          <w:highlight w:val="none"/>
        </w:rPr>
      </w:pPr>
    </w:p>
    <w:p w14:paraId="4EB326BF">
      <w:pPr>
        <w:rPr>
          <w:color w:val="auto"/>
          <w:highlight w:val="none"/>
        </w:rPr>
      </w:pPr>
    </w:p>
    <w:p w14:paraId="2EA40DC8">
      <w:pPr>
        <w:rPr>
          <w:color w:val="auto"/>
          <w:highlight w:val="none"/>
        </w:rPr>
      </w:pPr>
    </w:p>
    <w:p w14:paraId="2A22924E">
      <w:pPr>
        <w:rPr>
          <w:color w:val="auto"/>
          <w:highlight w:val="none"/>
        </w:rPr>
      </w:pPr>
    </w:p>
    <w:p w14:paraId="265F27B7">
      <w:pPr>
        <w:rPr>
          <w:color w:val="auto"/>
          <w:highlight w:val="none"/>
        </w:rPr>
      </w:pPr>
    </w:p>
    <w:p w14:paraId="0147D024">
      <w:pPr>
        <w:rPr>
          <w:color w:val="auto"/>
          <w:highlight w:val="none"/>
        </w:rPr>
      </w:pPr>
    </w:p>
    <w:p w14:paraId="2A025A8C">
      <w:pPr>
        <w:rPr>
          <w:color w:val="auto"/>
          <w:highlight w:val="none"/>
        </w:rPr>
      </w:pPr>
    </w:p>
    <w:p w14:paraId="711A29AD">
      <w:pPr>
        <w:rPr>
          <w:color w:val="auto"/>
          <w:highlight w:val="none"/>
        </w:rPr>
      </w:pPr>
    </w:p>
    <w:p w14:paraId="2802CCEE">
      <w:pPr>
        <w:rPr>
          <w:color w:val="auto"/>
          <w:highlight w:val="none"/>
        </w:rPr>
      </w:pPr>
    </w:p>
    <w:p w14:paraId="01131733">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八</w:t>
      </w:r>
    </w:p>
    <w:p w14:paraId="292B0C66">
      <w:pPr>
        <w:autoSpaceDE w:val="0"/>
        <w:autoSpaceDN w:val="0"/>
        <w:adjustRightInd w:val="0"/>
        <w:snapToGrid w:val="0"/>
        <w:spacing w:line="360" w:lineRule="auto"/>
        <w:jc w:val="center"/>
        <w:rPr>
          <w:rFonts w:ascii="黑体" w:hAnsi="宋体" w:eastAsia="黑体"/>
          <w:color w:val="auto"/>
          <w:sz w:val="36"/>
          <w:szCs w:val="36"/>
          <w:highlight w:val="none"/>
        </w:rPr>
      </w:pPr>
      <w:r>
        <w:rPr>
          <w:rFonts w:hint="eastAsia" w:ascii="黑体" w:hAnsi="黑体" w:eastAsia="黑体"/>
          <w:color w:val="auto"/>
          <w:sz w:val="36"/>
          <w:szCs w:val="36"/>
          <w:highlight w:val="none"/>
          <w:lang w:eastAsia="zh-CN"/>
        </w:rPr>
        <w:t>叶集区人民医院(市六院)征兵体检硬件设备采购项目竞争性谈判</w:t>
      </w:r>
      <w:r>
        <w:rPr>
          <w:rFonts w:hint="eastAsia" w:ascii="黑体" w:hAnsi="黑体" w:eastAsia="黑体"/>
          <w:color w:val="auto"/>
          <w:sz w:val="36"/>
          <w:szCs w:val="36"/>
          <w:highlight w:val="none"/>
          <w:u w:val="single"/>
          <w:lang w:val="en-US" w:eastAsia="zh-CN"/>
        </w:rPr>
        <w:t xml:space="preserve">    </w:t>
      </w:r>
      <w:r>
        <w:rPr>
          <w:rFonts w:hint="eastAsia" w:ascii="黑体" w:hAnsi="黑体" w:eastAsia="黑体"/>
          <w:color w:val="auto"/>
          <w:sz w:val="36"/>
          <w:szCs w:val="36"/>
          <w:highlight w:val="none"/>
        </w:rPr>
        <w:t>轮报价表</w:t>
      </w:r>
    </w:p>
    <w:p w14:paraId="050CFD22">
      <w:pPr>
        <w:spacing w:line="640" w:lineRule="exact"/>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  六安市叶集区人民医院（六安市第六人民医院）</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w:t>
      </w:r>
      <w:r>
        <w:rPr>
          <w:rFonts w:hint="eastAsia" w:ascii="宋体" w:hAnsi="宋体"/>
          <w:color w:val="auto"/>
          <w:sz w:val="28"/>
          <w:szCs w:val="28"/>
          <w:highlight w:val="none"/>
        </w:rPr>
        <w:t>采购人)</w:t>
      </w:r>
    </w:p>
    <w:p w14:paraId="4404A76D">
      <w:pPr>
        <w:numPr>
          <w:ilvl w:val="0"/>
          <w:numId w:val="7"/>
        </w:numPr>
        <w:spacing w:line="6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我方愿在前一轮次谈判（响应性文件内报价为首次报价）报价的基础上</w:t>
      </w:r>
      <w:r>
        <w:rPr>
          <w:rFonts w:hint="eastAsia" w:ascii="宋体" w:hAnsi="宋体"/>
          <w:color w:val="auto"/>
          <w:sz w:val="28"/>
          <w:szCs w:val="28"/>
          <w:highlight w:val="none"/>
          <w:lang w:val="en-US" w:eastAsia="zh-CN"/>
        </w:rPr>
        <w:t>对叶集区人民医院(市六院)征兵体检硬件设备采购项目</w:t>
      </w:r>
      <w:r>
        <w:rPr>
          <w:rFonts w:hint="eastAsia" w:ascii="宋体" w:hAnsi="宋体"/>
          <w:color w:val="auto"/>
          <w:sz w:val="28"/>
          <w:szCs w:val="28"/>
          <w:highlight w:val="none"/>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lang w:val="en-US" w:eastAsia="zh-CN"/>
        </w:rPr>
        <w:t>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14:paraId="6BCACE9B">
      <w:pPr>
        <w:spacing w:line="64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14:paraId="2780EC5E">
      <w:pPr>
        <w:ind w:left="5324" w:leftChars="1402" w:hanging="2380" w:hangingChars="850"/>
        <w:rPr>
          <w:rFonts w:ascii="宋体" w:hAnsi="宋体"/>
          <w:color w:val="auto"/>
          <w:sz w:val="28"/>
          <w:szCs w:val="28"/>
          <w:highlight w:val="none"/>
        </w:rPr>
      </w:pPr>
      <w:r>
        <w:rPr>
          <w:rFonts w:hint="eastAsia" w:ascii="宋体" w:hAnsi="宋体"/>
          <w:color w:val="auto"/>
          <w:sz w:val="28"/>
          <w:szCs w:val="28"/>
          <w:highlight w:val="none"/>
        </w:rPr>
        <w:t xml:space="preserve">供应商： </w:t>
      </w:r>
      <w:r>
        <w:rPr>
          <w:rFonts w:hint="eastAsia" w:ascii="宋体" w:hAnsi="宋体"/>
          <w:color w:val="auto"/>
          <w:sz w:val="28"/>
          <w:szCs w:val="28"/>
          <w:highlight w:val="none"/>
          <w:u w:val="single"/>
        </w:rPr>
        <w:t xml:space="preserve">                        （盖章）</w:t>
      </w:r>
    </w:p>
    <w:p w14:paraId="391912CF">
      <w:pPr>
        <w:ind w:firstLine="2940" w:firstLineChars="105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（签字或盖章）</w:t>
      </w:r>
    </w:p>
    <w:p w14:paraId="4A42EADA">
      <w:pPr>
        <w:wordWrap w:val="0"/>
        <w:ind w:right="280"/>
        <w:jc w:val="right"/>
        <w:rPr>
          <w:color w:val="auto"/>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月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p w14:paraId="2CAFEB79">
      <w:pPr>
        <w:jc w:val="left"/>
        <w:rPr>
          <w:rFonts w:hint="eastAsia" w:ascii="宋体" w:hAnsi="宋体"/>
          <w:b/>
          <w:color w:val="auto"/>
          <w:highlight w:val="none"/>
        </w:rPr>
      </w:pPr>
    </w:p>
    <w:p w14:paraId="23AA8BD5">
      <w:pPr>
        <w:jc w:val="left"/>
        <w:rPr>
          <w:rFonts w:ascii="宋体" w:hAnsi="宋体"/>
          <w:b/>
          <w:color w:val="auto"/>
          <w:sz w:val="24"/>
          <w:szCs w:val="28"/>
          <w:highlight w:val="none"/>
        </w:rPr>
      </w:pPr>
      <w:r>
        <w:rPr>
          <w:rFonts w:hint="eastAsia" w:ascii="宋体" w:hAnsi="宋体"/>
          <w:b/>
          <w:color w:val="auto"/>
          <w:highlight w:val="none"/>
        </w:rPr>
        <w:t>（注：各供应商单独备足空白“报价表”并加盖单位公章，用于报价时填写，请供应商自行准备多份，用于后续报价）。</w:t>
      </w:r>
    </w:p>
    <w:p w14:paraId="3A93ABC2">
      <w:pPr>
        <w:rPr>
          <w:color w:val="auto"/>
          <w:highlight w:val="none"/>
        </w:rPr>
      </w:pP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4461BF-E3CE-4EB0-9E43-A95F638000A2}"/>
  </w:font>
  <w:font w:name="黑体">
    <w:panose1 w:val="02010609060101010101"/>
    <w:charset w:val="86"/>
    <w:family w:val="auto"/>
    <w:pitch w:val="default"/>
    <w:sig w:usb0="800002BF" w:usb1="38CF7CFA" w:usb2="00000016" w:usb3="00000000" w:csb0="00040001" w:csb1="00000000"/>
    <w:embedRegular r:id="rId2" w:fontKey="{FCC7DFF6-96DB-4E7A-B8A3-95F0B36AAB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1D1FCCE-39F0-4934-99BD-5ABC4C60C2D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4" w:fontKey="{727CE6B8-921A-4BA2-B1D1-30795B7ADE39}"/>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5" w:fontKey="{A80EA37D-82A7-401A-8DCB-D1FC6BDA34D7}"/>
  </w:font>
  <w:font w:name="华文中宋">
    <w:panose1 w:val="02010600040101010101"/>
    <w:charset w:val="86"/>
    <w:family w:val="auto"/>
    <w:pitch w:val="default"/>
    <w:sig w:usb0="00000287" w:usb1="080F0000" w:usb2="00000000" w:usb3="00000000" w:csb0="0004009F" w:csb1="DFD70000"/>
    <w:embedRegular r:id="rId6" w:fontKey="{8DFBC4BF-E4D2-4FA1-8D01-107C431EB8D1}"/>
  </w:font>
  <w:font w:name="仿宋">
    <w:panose1 w:val="02010609060101010101"/>
    <w:charset w:val="86"/>
    <w:family w:val="auto"/>
    <w:pitch w:val="default"/>
    <w:sig w:usb0="800002BF" w:usb1="38CF7CFA" w:usb2="00000016" w:usb3="00000000" w:csb0="00040001" w:csb1="00000000"/>
    <w:embedRegular r:id="rId7" w:fontKey="{41BB6862-3C5C-4D12-A296-3B17E436E77C}"/>
  </w:font>
  <w:font w:name="WPSEMBED7">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9423">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14:paraId="154D61EA">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681C">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0B28C92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FFF6">
    <w:pPr>
      <w:pStyle w:val="25"/>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5F95">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47254763">
    <w:pPr>
      <w:pStyle w:val="2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D97BD4C9"/>
    <w:multiLevelType w:val="singleLevel"/>
    <w:tmpl w:val="D97BD4C9"/>
    <w:lvl w:ilvl="0" w:tentative="0">
      <w:start w:val="2"/>
      <w:numFmt w:val="decimal"/>
      <w:suff w:val="nothing"/>
      <w:lvlText w:val="%1、"/>
      <w:lvlJc w:val="left"/>
    </w:lvl>
  </w:abstractNum>
  <w:abstractNum w:abstractNumId="2">
    <w:nsid w:val="E3B7AFA7"/>
    <w:multiLevelType w:val="singleLevel"/>
    <w:tmpl w:val="E3B7AFA7"/>
    <w:lvl w:ilvl="0" w:tentative="0">
      <w:start w:val="1"/>
      <w:numFmt w:val="decimal"/>
      <w:suff w:val="nothing"/>
      <w:lvlText w:val="%1、"/>
      <w:lvlJc w:val="left"/>
    </w:lvl>
  </w:abstractNum>
  <w:abstractNum w:abstractNumId="3">
    <w:nsid w:val="E7C998D7"/>
    <w:multiLevelType w:val="singleLevel"/>
    <w:tmpl w:val="E7C998D7"/>
    <w:lvl w:ilvl="0" w:tentative="0">
      <w:start w:val="5"/>
      <w:numFmt w:val="decimal"/>
      <w:lvlText w:val="%1."/>
      <w:lvlJc w:val="left"/>
      <w:pPr>
        <w:tabs>
          <w:tab w:val="left" w:pos="312"/>
        </w:tabs>
      </w:pPr>
    </w:lvl>
  </w:abstractNum>
  <w:abstractNum w:abstractNumId="4">
    <w:nsid w:val="FD4B4146"/>
    <w:multiLevelType w:val="singleLevel"/>
    <w:tmpl w:val="FD4B4146"/>
    <w:lvl w:ilvl="0" w:tentative="0">
      <w:start w:val="1"/>
      <w:numFmt w:val="decimal"/>
      <w:suff w:val="nothing"/>
      <w:lvlText w:val="%1、"/>
      <w:lvlJc w:val="left"/>
    </w:lvl>
  </w:abstractNum>
  <w:abstractNum w:abstractNumId="5">
    <w:nsid w:val="FD874C1A"/>
    <w:multiLevelType w:val="singleLevel"/>
    <w:tmpl w:val="FD874C1A"/>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77B14"/>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528D4"/>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270340"/>
    <w:rsid w:val="017E1B19"/>
    <w:rsid w:val="01E67C6E"/>
    <w:rsid w:val="01ED3B47"/>
    <w:rsid w:val="029E162E"/>
    <w:rsid w:val="02A0246F"/>
    <w:rsid w:val="02BF77F6"/>
    <w:rsid w:val="02CE17E8"/>
    <w:rsid w:val="03062E20"/>
    <w:rsid w:val="0311396F"/>
    <w:rsid w:val="03B22505"/>
    <w:rsid w:val="03F7136D"/>
    <w:rsid w:val="04067181"/>
    <w:rsid w:val="046D72F7"/>
    <w:rsid w:val="04EE7346"/>
    <w:rsid w:val="05045387"/>
    <w:rsid w:val="05104E6D"/>
    <w:rsid w:val="053346E9"/>
    <w:rsid w:val="05371F98"/>
    <w:rsid w:val="05CD4D4D"/>
    <w:rsid w:val="05CF34DD"/>
    <w:rsid w:val="05E17615"/>
    <w:rsid w:val="05ED76CD"/>
    <w:rsid w:val="06135E8F"/>
    <w:rsid w:val="06262FF6"/>
    <w:rsid w:val="065F13E0"/>
    <w:rsid w:val="06AD1B15"/>
    <w:rsid w:val="07025814"/>
    <w:rsid w:val="07267565"/>
    <w:rsid w:val="078C18B4"/>
    <w:rsid w:val="07990616"/>
    <w:rsid w:val="07A20F5E"/>
    <w:rsid w:val="0825549A"/>
    <w:rsid w:val="082F4AD6"/>
    <w:rsid w:val="0834567D"/>
    <w:rsid w:val="085B58CB"/>
    <w:rsid w:val="085E5B1B"/>
    <w:rsid w:val="08DF64FD"/>
    <w:rsid w:val="09267C87"/>
    <w:rsid w:val="094620D8"/>
    <w:rsid w:val="095F7F4C"/>
    <w:rsid w:val="09A60123"/>
    <w:rsid w:val="09AE75F4"/>
    <w:rsid w:val="09B13C0D"/>
    <w:rsid w:val="09B95F2A"/>
    <w:rsid w:val="0A0C7574"/>
    <w:rsid w:val="0A424E4D"/>
    <w:rsid w:val="0A6A79B1"/>
    <w:rsid w:val="0AC41A19"/>
    <w:rsid w:val="0ADC14FC"/>
    <w:rsid w:val="0AF82AC1"/>
    <w:rsid w:val="0B2527F9"/>
    <w:rsid w:val="0B66533A"/>
    <w:rsid w:val="0B84414D"/>
    <w:rsid w:val="0B9F02FA"/>
    <w:rsid w:val="0BCB0F36"/>
    <w:rsid w:val="0BD46BAD"/>
    <w:rsid w:val="0BE120B2"/>
    <w:rsid w:val="0C4F5747"/>
    <w:rsid w:val="0CB4627B"/>
    <w:rsid w:val="0CD45A1D"/>
    <w:rsid w:val="0CEC43CA"/>
    <w:rsid w:val="0D50431A"/>
    <w:rsid w:val="0D6921B0"/>
    <w:rsid w:val="0D6E60A1"/>
    <w:rsid w:val="0D8B6C53"/>
    <w:rsid w:val="0DF624E0"/>
    <w:rsid w:val="0E346850"/>
    <w:rsid w:val="0E404088"/>
    <w:rsid w:val="0E912047"/>
    <w:rsid w:val="0EA113FA"/>
    <w:rsid w:val="0ECA11CC"/>
    <w:rsid w:val="0F390E8E"/>
    <w:rsid w:val="0F8F57EF"/>
    <w:rsid w:val="0FF97625"/>
    <w:rsid w:val="10044E18"/>
    <w:rsid w:val="1018304A"/>
    <w:rsid w:val="103F4F35"/>
    <w:rsid w:val="10722611"/>
    <w:rsid w:val="110475FD"/>
    <w:rsid w:val="11200448"/>
    <w:rsid w:val="119066D9"/>
    <w:rsid w:val="11A335B5"/>
    <w:rsid w:val="1219428E"/>
    <w:rsid w:val="123C3820"/>
    <w:rsid w:val="1303465D"/>
    <w:rsid w:val="13490C7D"/>
    <w:rsid w:val="135C3D02"/>
    <w:rsid w:val="13AC7923"/>
    <w:rsid w:val="13FD3CDB"/>
    <w:rsid w:val="1441159D"/>
    <w:rsid w:val="145C06AD"/>
    <w:rsid w:val="145F4464"/>
    <w:rsid w:val="14B92BDF"/>
    <w:rsid w:val="14E27C21"/>
    <w:rsid w:val="153B2049"/>
    <w:rsid w:val="15614DA8"/>
    <w:rsid w:val="15AD79BC"/>
    <w:rsid w:val="15AF70C3"/>
    <w:rsid w:val="16066864"/>
    <w:rsid w:val="16096967"/>
    <w:rsid w:val="163559AE"/>
    <w:rsid w:val="163B017B"/>
    <w:rsid w:val="16731EA6"/>
    <w:rsid w:val="16991EF7"/>
    <w:rsid w:val="16B0772A"/>
    <w:rsid w:val="16B370E5"/>
    <w:rsid w:val="16B70AB9"/>
    <w:rsid w:val="17012CAE"/>
    <w:rsid w:val="170F0CFF"/>
    <w:rsid w:val="173850A7"/>
    <w:rsid w:val="174C0AC9"/>
    <w:rsid w:val="177B4CDC"/>
    <w:rsid w:val="17BA7FA6"/>
    <w:rsid w:val="182C1032"/>
    <w:rsid w:val="18550589"/>
    <w:rsid w:val="18D556BC"/>
    <w:rsid w:val="191E097B"/>
    <w:rsid w:val="192B2CC7"/>
    <w:rsid w:val="198B1495"/>
    <w:rsid w:val="19AA4BD6"/>
    <w:rsid w:val="19B66E06"/>
    <w:rsid w:val="1A0725B2"/>
    <w:rsid w:val="1A630ED2"/>
    <w:rsid w:val="1A6C248D"/>
    <w:rsid w:val="1AD23FC4"/>
    <w:rsid w:val="1AF45622"/>
    <w:rsid w:val="1AFF658A"/>
    <w:rsid w:val="1B5A7D5C"/>
    <w:rsid w:val="1B776A68"/>
    <w:rsid w:val="1B7B26E1"/>
    <w:rsid w:val="1C1A0C17"/>
    <w:rsid w:val="1C32741A"/>
    <w:rsid w:val="1C405AE5"/>
    <w:rsid w:val="1CB66679"/>
    <w:rsid w:val="1D0C75F3"/>
    <w:rsid w:val="1D960483"/>
    <w:rsid w:val="1DF15284"/>
    <w:rsid w:val="1E0A2DCB"/>
    <w:rsid w:val="1E5F77E6"/>
    <w:rsid w:val="1F171CFB"/>
    <w:rsid w:val="1F3C13B6"/>
    <w:rsid w:val="1F4B49D6"/>
    <w:rsid w:val="1F630CC0"/>
    <w:rsid w:val="1FCB070D"/>
    <w:rsid w:val="1FF85069"/>
    <w:rsid w:val="201C3E17"/>
    <w:rsid w:val="20F41885"/>
    <w:rsid w:val="20FB77F4"/>
    <w:rsid w:val="2163607F"/>
    <w:rsid w:val="21967A54"/>
    <w:rsid w:val="21993B18"/>
    <w:rsid w:val="219F4CB9"/>
    <w:rsid w:val="21DE0DD2"/>
    <w:rsid w:val="21DE514B"/>
    <w:rsid w:val="21E36C06"/>
    <w:rsid w:val="2241392C"/>
    <w:rsid w:val="22464B8D"/>
    <w:rsid w:val="2262011A"/>
    <w:rsid w:val="229A201B"/>
    <w:rsid w:val="229D6DB5"/>
    <w:rsid w:val="22FD5AA5"/>
    <w:rsid w:val="23105471"/>
    <w:rsid w:val="239974D6"/>
    <w:rsid w:val="23E266D0"/>
    <w:rsid w:val="23E4618A"/>
    <w:rsid w:val="244E3D8C"/>
    <w:rsid w:val="245F149B"/>
    <w:rsid w:val="249C1DC3"/>
    <w:rsid w:val="24B335CE"/>
    <w:rsid w:val="25EF0E4B"/>
    <w:rsid w:val="26216D47"/>
    <w:rsid w:val="269C26E3"/>
    <w:rsid w:val="26AD6432"/>
    <w:rsid w:val="26D7660D"/>
    <w:rsid w:val="26F97002"/>
    <w:rsid w:val="272E2D63"/>
    <w:rsid w:val="27410CB9"/>
    <w:rsid w:val="276D441A"/>
    <w:rsid w:val="27773E68"/>
    <w:rsid w:val="27D23B57"/>
    <w:rsid w:val="27DA0163"/>
    <w:rsid w:val="27EE09F3"/>
    <w:rsid w:val="27EE7D0B"/>
    <w:rsid w:val="27FE6547"/>
    <w:rsid w:val="281E299D"/>
    <w:rsid w:val="2861396F"/>
    <w:rsid w:val="288051AE"/>
    <w:rsid w:val="28B44010"/>
    <w:rsid w:val="291C35D3"/>
    <w:rsid w:val="29384EA8"/>
    <w:rsid w:val="29E26463"/>
    <w:rsid w:val="2A07065D"/>
    <w:rsid w:val="2A0A08C3"/>
    <w:rsid w:val="2A1738F0"/>
    <w:rsid w:val="2A534564"/>
    <w:rsid w:val="2A573A70"/>
    <w:rsid w:val="2A992557"/>
    <w:rsid w:val="2B1440BC"/>
    <w:rsid w:val="2B275DB5"/>
    <w:rsid w:val="2B404B09"/>
    <w:rsid w:val="2C101F53"/>
    <w:rsid w:val="2CBD48CE"/>
    <w:rsid w:val="2CC25EDD"/>
    <w:rsid w:val="2CE211B2"/>
    <w:rsid w:val="2D1A7254"/>
    <w:rsid w:val="2E015B36"/>
    <w:rsid w:val="2E275F81"/>
    <w:rsid w:val="2E4E51C2"/>
    <w:rsid w:val="2E520EAC"/>
    <w:rsid w:val="2E77681E"/>
    <w:rsid w:val="2F4B2B19"/>
    <w:rsid w:val="2F6246CC"/>
    <w:rsid w:val="2FAF1ED5"/>
    <w:rsid w:val="2FC53683"/>
    <w:rsid w:val="2FE222AB"/>
    <w:rsid w:val="2FE97A5F"/>
    <w:rsid w:val="2FFE4B1D"/>
    <w:rsid w:val="30564A47"/>
    <w:rsid w:val="30586A11"/>
    <w:rsid w:val="305A47DE"/>
    <w:rsid w:val="30727E2B"/>
    <w:rsid w:val="309E348C"/>
    <w:rsid w:val="30AB642B"/>
    <w:rsid w:val="30C41C15"/>
    <w:rsid w:val="30E402A4"/>
    <w:rsid w:val="31394322"/>
    <w:rsid w:val="3184082E"/>
    <w:rsid w:val="32617B06"/>
    <w:rsid w:val="328304A8"/>
    <w:rsid w:val="32BC5F4D"/>
    <w:rsid w:val="33154A22"/>
    <w:rsid w:val="33641091"/>
    <w:rsid w:val="33B34C7A"/>
    <w:rsid w:val="33F42EB5"/>
    <w:rsid w:val="33FE364D"/>
    <w:rsid w:val="3429115A"/>
    <w:rsid w:val="34F2580B"/>
    <w:rsid w:val="354A5F40"/>
    <w:rsid w:val="35B51E9E"/>
    <w:rsid w:val="35E054DE"/>
    <w:rsid w:val="35F42A51"/>
    <w:rsid w:val="35FD75B5"/>
    <w:rsid w:val="35FFEC5E"/>
    <w:rsid w:val="36024564"/>
    <w:rsid w:val="36276335"/>
    <w:rsid w:val="36897924"/>
    <w:rsid w:val="36981B5D"/>
    <w:rsid w:val="36A9634B"/>
    <w:rsid w:val="36D079C8"/>
    <w:rsid w:val="36D3294D"/>
    <w:rsid w:val="36EB7CE0"/>
    <w:rsid w:val="377D1279"/>
    <w:rsid w:val="37D716E7"/>
    <w:rsid w:val="386D5472"/>
    <w:rsid w:val="3964380F"/>
    <w:rsid w:val="39EB4452"/>
    <w:rsid w:val="3A290002"/>
    <w:rsid w:val="3A83468A"/>
    <w:rsid w:val="3A84407A"/>
    <w:rsid w:val="3A8F3EBA"/>
    <w:rsid w:val="3AA80595"/>
    <w:rsid w:val="3AB10259"/>
    <w:rsid w:val="3ABA6222"/>
    <w:rsid w:val="3B093DB6"/>
    <w:rsid w:val="3B301F44"/>
    <w:rsid w:val="3B3716DA"/>
    <w:rsid w:val="3B457B92"/>
    <w:rsid w:val="3B4756B8"/>
    <w:rsid w:val="3B4F27BE"/>
    <w:rsid w:val="3B892174"/>
    <w:rsid w:val="3BAE4829"/>
    <w:rsid w:val="3BDF73C5"/>
    <w:rsid w:val="3C4C39CC"/>
    <w:rsid w:val="3C97266F"/>
    <w:rsid w:val="3CA72347"/>
    <w:rsid w:val="3CCF39B2"/>
    <w:rsid w:val="3CFF4D97"/>
    <w:rsid w:val="3D1837B0"/>
    <w:rsid w:val="3D580050"/>
    <w:rsid w:val="3D902D22"/>
    <w:rsid w:val="3DF4021A"/>
    <w:rsid w:val="3E047963"/>
    <w:rsid w:val="3E8E5BBA"/>
    <w:rsid w:val="3EDC10FF"/>
    <w:rsid w:val="3F0A5E23"/>
    <w:rsid w:val="3F9803DD"/>
    <w:rsid w:val="3FE263CC"/>
    <w:rsid w:val="402E1B38"/>
    <w:rsid w:val="405A4873"/>
    <w:rsid w:val="406022E2"/>
    <w:rsid w:val="407B3EBF"/>
    <w:rsid w:val="40DF693D"/>
    <w:rsid w:val="40F16A8E"/>
    <w:rsid w:val="412545BE"/>
    <w:rsid w:val="4184340D"/>
    <w:rsid w:val="41854C58"/>
    <w:rsid w:val="41B6751F"/>
    <w:rsid w:val="41E21275"/>
    <w:rsid w:val="41E77BF5"/>
    <w:rsid w:val="42294102"/>
    <w:rsid w:val="4262727B"/>
    <w:rsid w:val="42C43A92"/>
    <w:rsid w:val="42F6152E"/>
    <w:rsid w:val="42FF6CFF"/>
    <w:rsid w:val="43075E6E"/>
    <w:rsid w:val="431E0128"/>
    <w:rsid w:val="43771108"/>
    <w:rsid w:val="437B05F4"/>
    <w:rsid w:val="438B51D4"/>
    <w:rsid w:val="438C4E1A"/>
    <w:rsid w:val="446523D2"/>
    <w:rsid w:val="44DA0696"/>
    <w:rsid w:val="44E45943"/>
    <w:rsid w:val="455E7AEC"/>
    <w:rsid w:val="456C063B"/>
    <w:rsid w:val="456E5572"/>
    <w:rsid w:val="4583380E"/>
    <w:rsid w:val="45993146"/>
    <w:rsid w:val="45EB3538"/>
    <w:rsid w:val="46054AED"/>
    <w:rsid w:val="46440499"/>
    <w:rsid w:val="46771AC0"/>
    <w:rsid w:val="4735283D"/>
    <w:rsid w:val="473E02B7"/>
    <w:rsid w:val="47573126"/>
    <w:rsid w:val="47867C8A"/>
    <w:rsid w:val="47981C26"/>
    <w:rsid w:val="479B001B"/>
    <w:rsid w:val="47AF4671"/>
    <w:rsid w:val="47D21CE6"/>
    <w:rsid w:val="48876507"/>
    <w:rsid w:val="48A14890"/>
    <w:rsid w:val="48AA6503"/>
    <w:rsid w:val="48BD0CBA"/>
    <w:rsid w:val="48CE1482"/>
    <w:rsid w:val="48E924A4"/>
    <w:rsid w:val="49555444"/>
    <w:rsid w:val="49CE6D87"/>
    <w:rsid w:val="49FA5FEB"/>
    <w:rsid w:val="4A162E25"/>
    <w:rsid w:val="4A49144C"/>
    <w:rsid w:val="4A4C0CEF"/>
    <w:rsid w:val="4A67403B"/>
    <w:rsid w:val="4A734E79"/>
    <w:rsid w:val="4A804742"/>
    <w:rsid w:val="4AD06B4E"/>
    <w:rsid w:val="4AD27698"/>
    <w:rsid w:val="4AF34949"/>
    <w:rsid w:val="4B1B114F"/>
    <w:rsid w:val="4B223A4B"/>
    <w:rsid w:val="4B250368"/>
    <w:rsid w:val="4B38501D"/>
    <w:rsid w:val="4B754B1C"/>
    <w:rsid w:val="4B7F6C9B"/>
    <w:rsid w:val="4BB01238"/>
    <w:rsid w:val="4C1415E6"/>
    <w:rsid w:val="4C2F1AF1"/>
    <w:rsid w:val="4C3F1A69"/>
    <w:rsid w:val="4C4C7D4D"/>
    <w:rsid w:val="4C692E82"/>
    <w:rsid w:val="4C9B795E"/>
    <w:rsid w:val="4CA216B0"/>
    <w:rsid w:val="4CA7336B"/>
    <w:rsid w:val="4D001539"/>
    <w:rsid w:val="4D060FF1"/>
    <w:rsid w:val="4D5048A0"/>
    <w:rsid w:val="4D714797"/>
    <w:rsid w:val="4D9F0EEA"/>
    <w:rsid w:val="4DC62DB4"/>
    <w:rsid w:val="4E3C703C"/>
    <w:rsid w:val="4EA10F83"/>
    <w:rsid w:val="4EC51962"/>
    <w:rsid w:val="4EE875B3"/>
    <w:rsid w:val="4F095D32"/>
    <w:rsid w:val="4F1A4882"/>
    <w:rsid w:val="4F242357"/>
    <w:rsid w:val="4F3C4DEC"/>
    <w:rsid w:val="4F512B51"/>
    <w:rsid w:val="4F7C5051"/>
    <w:rsid w:val="4FDB2778"/>
    <w:rsid w:val="504900D3"/>
    <w:rsid w:val="516620A8"/>
    <w:rsid w:val="5175589A"/>
    <w:rsid w:val="51850890"/>
    <w:rsid w:val="51EB2DE9"/>
    <w:rsid w:val="52195BA8"/>
    <w:rsid w:val="52892F5B"/>
    <w:rsid w:val="52A36A33"/>
    <w:rsid w:val="52AA01EC"/>
    <w:rsid w:val="52F61709"/>
    <w:rsid w:val="5316794F"/>
    <w:rsid w:val="53DF3D3D"/>
    <w:rsid w:val="54073585"/>
    <w:rsid w:val="54181E8F"/>
    <w:rsid w:val="54D275F5"/>
    <w:rsid w:val="54DB7C79"/>
    <w:rsid w:val="54E74E26"/>
    <w:rsid w:val="54F74C5F"/>
    <w:rsid w:val="553C2FE9"/>
    <w:rsid w:val="55580A4D"/>
    <w:rsid w:val="55B45B96"/>
    <w:rsid w:val="55DC1770"/>
    <w:rsid w:val="55EB22AC"/>
    <w:rsid w:val="561133F2"/>
    <w:rsid w:val="56401CD5"/>
    <w:rsid w:val="56571FFA"/>
    <w:rsid w:val="566C201F"/>
    <w:rsid w:val="56A143BE"/>
    <w:rsid w:val="56A92CC7"/>
    <w:rsid w:val="56D204E6"/>
    <w:rsid w:val="56E36785"/>
    <w:rsid w:val="57016C0B"/>
    <w:rsid w:val="57877110"/>
    <w:rsid w:val="578A30A4"/>
    <w:rsid w:val="57BD0D84"/>
    <w:rsid w:val="581D5AED"/>
    <w:rsid w:val="58363C5B"/>
    <w:rsid w:val="589C6BEB"/>
    <w:rsid w:val="58B51D22"/>
    <w:rsid w:val="58BD10F2"/>
    <w:rsid w:val="58CD33C2"/>
    <w:rsid w:val="59194221"/>
    <w:rsid w:val="596469D4"/>
    <w:rsid w:val="59AA17DC"/>
    <w:rsid w:val="59BD375F"/>
    <w:rsid w:val="59FA55EB"/>
    <w:rsid w:val="5A435D8A"/>
    <w:rsid w:val="5ADC3952"/>
    <w:rsid w:val="5AE96334"/>
    <w:rsid w:val="5B5C6B06"/>
    <w:rsid w:val="5B6B0AF7"/>
    <w:rsid w:val="5BBC1D09"/>
    <w:rsid w:val="5BD91B0E"/>
    <w:rsid w:val="5C1D0043"/>
    <w:rsid w:val="5C34380B"/>
    <w:rsid w:val="5C441E45"/>
    <w:rsid w:val="5CBA4C19"/>
    <w:rsid w:val="5CFD7E74"/>
    <w:rsid w:val="5D2E01F2"/>
    <w:rsid w:val="5D564872"/>
    <w:rsid w:val="5E402B64"/>
    <w:rsid w:val="5E94654C"/>
    <w:rsid w:val="5EBD5B0D"/>
    <w:rsid w:val="5ED15115"/>
    <w:rsid w:val="5ED968E5"/>
    <w:rsid w:val="5F31524D"/>
    <w:rsid w:val="5F3C7F69"/>
    <w:rsid w:val="5F8536F5"/>
    <w:rsid w:val="5F912AC4"/>
    <w:rsid w:val="5FD14724"/>
    <w:rsid w:val="600C4824"/>
    <w:rsid w:val="60153D3C"/>
    <w:rsid w:val="604A517F"/>
    <w:rsid w:val="60700F30"/>
    <w:rsid w:val="607B7DDA"/>
    <w:rsid w:val="608F075D"/>
    <w:rsid w:val="60E87B88"/>
    <w:rsid w:val="60F36AC5"/>
    <w:rsid w:val="619A05C2"/>
    <w:rsid w:val="61A76748"/>
    <w:rsid w:val="62B731FE"/>
    <w:rsid w:val="62EB73FF"/>
    <w:rsid w:val="63023C80"/>
    <w:rsid w:val="63364C2C"/>
    <w:rsid w:val="635527B8"/>
    <w:rsid w:val="63570A5E"/>
    <w:rsid w:val="636D3AA1"/>
    <w:rsid w:val="64F22548"/>
    <w:rsid w:val="653528A1"/>
    <w:rsid w:val="659106E2"/>
    <w:rsid w:val="65AB236D"/>
    <w:rsid w:val="65B8080F"/>
    <w:rsid w:val="65E72E4B"/>
    <w:rsid w:val="662276B1"/>
    <w:rsid w:val="66483EC5"/>
    <w:rsid w:val="66704DB4"/>
    <w:rsid w:val="667F30D4"/>
    <w:rsid w:val="66A04F95"/>
    <w:rsid w:val="67102453"/>
    <w:rsid w:val="67362901"/>
    <w:rsid w:val="68A67F29"/>
    <w:rsid w:val="68BF2482"/>
    <w:rsid w:val="68C15CCA"/>
    <w:rsid w:val="68EA0173"/>
    <w:rsid w:val="68F62689"/>
    <w:rsid w:val="69110DA4"/>
    <w:rsid w:val="69545323"/>
    <w:rsid w:val="697D619C"/>
    <w:rsid w:val="697E5CFD"/>
    <w:rsid w:val="69EE3D79"/>
    <w:rsid w:val="69FF4582"/>
    <w:rsid w:val="6A0E091D"/>
    <w:rsid w:val="6A473754"/>
    <w:rsid w:val="6A5674FB"/>
    <w:rsid w:val="6ABA50AD"/>
    <w:rsid w:val="6B2B3DFF"/>
    <w:rsid w:val="6B58725B"/>
    <w:rsid w:val="6BA94127"/>
    <w:rsid w:val="6BC54253"/>
    <w:rsid w:val="6BFE46EA"/>
    <w:rsid w:val="6C1624C4"/>
    <w:rsid w:val="6C6C34BA"/>
    <w:rsid w:val="6C7F53F2"/>
    <w:rsid w:val="6C8B20CC"/>
    <w:rsid w:val="6CBB394F"/>
    <w:rsid w:val="6D9A1A0A"/>
    <w:rsid w:val="6E301E58"/>
    <w:rsid w:val="6EB71B5D"/>
    <w:rsid w:val="6EFA1517"/>
    <w:rsid w:val="6F444811"/>
    <w:rsid w:val="6F447A17"/>
    <w:rsid w:val="6F5E47A3"/>
    <w:rsid w:val="6F600560"/>
    <w:rsid w:val="6F600666"/>
    <w:rsid w:val="6F773253"/>
    <w:rsid w:val="6FB6638D"/>
    <w:rsid w:val="7023779A"/>
    <w:rsid w:val="704217E5"/>
    <w:rsid w:val="7076354C"/>
    <w:rsid w:val="707E56F3"/>
    <w:rsid w:val="70F6444B"/>
    <w:rsid w:val="71152000"/>
    <w:rsid w:val="721756F7"/>
    <w:rsid w:val="7231680E"/>
    <w:rsid w:val="72BD5AD1"/>
    <w:rsid w:val="72C43C59"/>
    <w:rsid w:val="73A40AD9"/>
    <w:rsid w:val="73BC3875"/>
    <w:rsid w:val="740718AD"/>
    <w:rsid w:val="74793E2D"/>
    <w:rsid w:val="752F342A"/>
    <w:rsid w:val="75D7719D"/>
    <w:rsid w:val="76C27D0D"/>
    <w:rsid w:val="76C417C0"/>
    <w:rsid w:val="76CB6D18"/>
    <w:rsid w:val="76ED37EF"/>
    <w:rsid w:val="770F21D1"/>
    <w:rsid w:val="7744499A"/>
    <w:rsid w:val="77BF7315"/>
    <w:rsid w:val="78532959"/>
    <w:rsid w:val="78A7019A"/>
    <w:rsid w:val="78DF6F7C"/>
    <w:rsid w:val="790117AF"/>
    <w:rsid w:val="790A6E9A"/>
    <w:rsid w:val="796D5B63"/>
    <w:rsid w:val="79BA3B0E"/>
    <w:rsid w:val="7ABB6962"/>
    <w:rsid w:val="7AC51B7A"/>
    <w:rsid w:val="7AD7365B"/>
    <w:rsid w:val="7AF4539C"/>
    <w:rsid w:val="7BBFE36C"/>
    <w:rsid w:val="7BE91898"/>
    <w:rsid w:val="7C013D85"/>
    <w:rsid w:val="7C5E7B2A"/>
    <w:rsid w:val="7C662C4B"/>
    <w:rsid w:val="7C896B64"/>
    <w:rsid w:val="7D0A7D18"/>
    <w:rsid w:val="7D241628"/>
    <w:rsid w:val="7D871368"/>
    <w:rsid w:val="7DB40A20"/>
    <w:rsid w:val="7DCC321F"/>
    <w:rsid w:val="7E136A50"/>
    <w:rsid w:val="7E49765A"/>
    <w:rsid w:val="7E4C0FEB"/>
    <w:rsid w:val="7EBE0C5A"/>
    <w:rsid w:val="7EF944E8"/>
    <w:rsid w:val="7EFB3C47"/>
    <w:rsid w:val="7F461F96"/>
    <w:rsid w:val="7F6271D2"/>
    <w:rsid w:val="7F850ECB"/>
    <w:rsid w:val="7FA206DC"/>
    <w:rsid w:val="7FBA3C77"/>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8"/>
    <w:qFormat/>
    <w:uiPriority w:val="0"/>
    <w:pPr>
      <w:ind w:firstLine="420" w:firstLineChars="200"/>
    </w:pPr>
  </w:style>
  <w:style w:type="paragraph" w:styleId="8">
    <w:name w:val="toc 4"/>
    <w:basedOn w:val="1"/>
    <w:next w:val="1"/>
    <w:qFormat/>
    <w:uiPriority w:val="0"/>
    <w:pPr>
      <w:ind w:left="1260" w:leftChars="600"/>
    </w:pPr>
  </w:style>
  <w:style w:type="paragraph" w:styleId="9">
    <w:name w:val="Document Map"/>
    <w:basedOn w:val="1"/>
    <w:link w:val="75"/>
    <w:qFormat/>
    <w:uiPriority w:val="0"/>
    <w:pPr>
      <w:shd w:val="clear" w:color="auto" w:fill="000080"/>
    </w:pPr>
  </w:style>
  <w:style w:type="paragraph" w:styleId="10">
    <w:name w:val="annotation text"/>
    <w:basedOn w:val="1"/>
    <w:link w:val="69"/>
    <w:semiHidden/>
    <w:qFormat/>
    <w:uiPriority w:val="99"/>
    <w:pPr>
      <w:jc w:val="left"/>
    </w:pPr>
  </w:style>
  <w:style w:type="paragraph" w:styleId="11">
    <w:name w:val="Body Text 3"/>
    <w:basedOn w:val="1"/>
    <w:link w:val="90"/>
    <w:unhideWhenUsed/>
    <w:qFormat/>
    <w:uiPriority w:val="99"/>
    <w:pPr>
      <w:spacing w:after="120"/>
    </w:pPr>
    <w:rPr>
      <w:rFonts w:ascii="Calibri" w:hAnsi="Calibri"/>
      <w:sz w:val="16"/>
      <w:szCs w:val="16"/>
      <w:lang w:val="zh-CN"/>
    </w:rPr>
  </w:style>
  <w:style w:type="paragraph" w:styleId="12">
    <w:name w:val="Body Text"/>
    <w:basedOn w:val="1"/>
    <w:next w:val="13"/>
    <w:link w:val="64"/>
    <w:qFormat/>
    <w:uiPriority w:val="0"/>
    <w:pPr>
      <w:spacing w:after="120"/>
    </w:pPr>
    <w:rPr>
      <w:szCs w:val="24"/>
    </w:rPr>
  </w:style>
  <w:style w:type="paragraph" w:customStyle="1" w:styleId="13">
    <w:name w:val="style4"/>
    <w:basedOn w:val="1"/>
    <w:next w:val="14"/>
    <w:qFormat/>
    <w:uiPriority w:val="0"/>
    <w:pPr>
      <w:widowControl/>
      <w:spacing w:before="280" w:after="280"/>
    </w:pPr>
    <w:rPr>
      <w:rFonts w:ascii="宋体" w:hAnsi="Times New Roman" w:eastAsia="宋体" w:cs="Times New Roman"/>
      <w:sz w:val="18"/>
    </w:rPr>
  </w:style>
  <w:style w:type="paragraph" w:customStyle="1" w:styleId="14">
    <w:name w:val="2"/>
    <w:next w:val="1"/>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next w:val="16"/>
    <w:link w:val="53"/>
    <w:qFormat/>
    <w:uiPriority w:val="0"/>
    <w:pPr>
      <w:ind w:firstLine="540"/>
    </w:pPr>
    <w:rPr>
      <w:rFonts w:eastAsia="仿宋_GB2312"/>
      <w:sz w:val="28"/>
    </w:rPr>
  </w:style>
  <w:style w:type="paragraph" w:styleId="16">
    <w:name w:val="Body Text First Indent 2"/>
    <w:basedOn w:val="15"/>
    <w:next w:val="7"/>
    <w:unhideWhenUsed/>
    <w:qFormat/>
    <w:uiPriority w:val="99"/>
    <w:pPr>
      <w:ind w:firstLine="420" w:firstLineChars="200"/>
    </w:pPr>
    <w:rPr>
      <w:sz w:val="21"/>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72"/>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52"/>
    <w:qFormat/>
    <w:uiPriority w:val="0"/>
    <w:rPr>
      <w:rFonts w:ascii="Arial" w:hAnsi="Arial" w:eastAsia="楷体_GB2312"/>
      <w:sz w:val="28"/>
    </w:rPr>
  </w:style>
  <w:style w:type="paragraph" w:styleId="22">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3">
    <w:name w:val="Balloon Text"/>
    <w:basedOn w:val="1"/>
    <w:link w:val="66"/>
    <w:qFormat/>
    <w:uiPriority w:val="0"/>
    <w:rPr>
      <w:sz w:val="18"/>
      <w:szCs w:val="18"/>
    </w:rPr>
  </w:style>
  <w:style w:type="paragraph" w:styleId="24">
    <w:name w:val="footer"/>
    <w:basedOn w:val="1"/>
    <w:link w:val="47"/>
    <w:unhideWhenUsed/>
    <w:qFormat/>
    <w:uiPriority w:val="99"/>
    <w:pPr>
      <w:tabs>
        <w:tab w:val="center" w:pos="4153"/>
        <w:tab w:val="right" w:pos="8306"/>
      </w:tabs>
      <w:snapToGrid w:val="0"/>
      <w:jc w:val="left"/>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6"/>
    <w:basedOn w:val="1"/>
    <w:next w:val="1"/>
    <w:qFormat/>
    <w:uiPriority w:val="0"/>
    <w:pPr>
      <w:ind w:left="2100" w:leftChars="1000"/>
    </w:pPr>
  </w:style>
  <w:style w:type="paragraph" w:styleId="28">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0"/>
    <w:next w:val="10"/>
    <w:link w:val="70"/>
    <w:semiHidden/>
    <w:qFormat/>
    <w:uiPriority w:val="99"/>
    <w:rPr>
      <w:b/>
      <w:bCs/>
    </w:rPr>
  </w:style>
  <w:style w:type="paragraph" w:styleId="35">
    <w:name w:val="Body Text First Indent"/>
    <w:basedOn w:val="12"/>
    <w:unhideWhenUsed/>
    <w:qFormat/>
    <w:uiPriority w:val="99"/>
    <w:pPr>
      <w:spacing w:line="400" w:lineRule="atLeast"/>
      <w:ind w:firstLine="426"/>
    </w:pPr>
    <w:rPr>
      <w:sz w:val="24"/>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next w:val="1"/>
    <w:qFormat/>
    <w:uiPriority w:val="0"/>
    <w:pPr>
      <w:ind w:left="2520"/>
    </w:pPr>
    <w:rPr>
      <w:rFonts w:ascii="Calibri"/>
    </w:rPr>
  </w:style>
  <w:style w:type="paragraph" w:customStyle="1" w:styleId="4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8"/>
    <w:link w:val="25"/>
    <w:qFormat/>
    <w:uiPriority w:val="0"/>
    <w:rPr>
      <w:sz w:val="18"/>
      <w:szCs w:val="18"/>
    </w:rPr>
  </w:style>
  <w:style w:type="character" w:customStyle="1" w:styleId="47">
    <w:name w:val="页脚 Char"/>
    <w:basedOn w:val="38"/>
    <w:link w:val="24"/>
    <w:qFormat/>
    <w:uiPriority w:val="0"/>
    <w:rPr>
      <w:sz w:val="18"/>
      <w:szCs w:val="18"/>
    </w:rPr>
  </w:style>
  <w:style w:type="character" w:customStyle="1" w:styleId="48">
    <w:name w:val="标题 1 Char"/>
    <w:basedOn w:val="38"/>
    <w:link w:val="2"/>
    <w:qFormat/>
    <w:uiPriority w:val="0"/>
    <w:rPr>
      <w:rFonts w:ascii="Times New Roman" w:hAnsi="Times New Roman" w:eastAsia="宋体" w:cs="Times New Roman"/>
      <w:sz w:val="28"/>
      <w:szCs w:val="24"/>
    </w:rPr>
  </w:style>
  <w:style w:type="character" w:customStyle="1" w:styleId="49">
    <w:name w:val="标题 2 Char"/>
    <w:basedOn w:val="38"/>
    <w:link w:val="3"/>
    <w:qFormat/>
    <w:uiPriority w:val="0"/>
    <w:rPr>
      <w:rFonts w:ascii="Arial" w:hAnsi="Arial" w:eastAsia="黑体" w:cs="Times New Roman"/>
      <w:b/>
      <w:kern w:val="0"/>
      <w:sz w:val="32"/>
      <w:szCs w:val="20"/>
    </w:rPr>
  </w:style>
  <w:style w:type="character" w:customStyle="1" w:styleId="50">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qFormat/>
    <w:uiPriority w:val="0"/>
    <w:rPr>
      <w:rFonts w:ascii="Arial" w:hAnsi="Arial" w:eastAsia="黑体" w:cs="Times New Roman"/>
      <w:b/>
      <w:kern w:val="0"/>
      <w:sz w:val="28"/>
      <w:szCs w:val="20"/>
    </w:rPr>
  </w:style>
  <w:style w:type="character" w:customStyle="1" w:styleId="52">
    <w:name w:val="日期 Char"/>
    <w:basedOn w:val="38"/>
    <w:link w:val="21"/>
    <w:qFormat/>
    <w:uiPriority w:val="0"/>
    <w:rPr>
      <w:rFonts w:ascii="Arial" w:hAnsi="Arial" w:eastAsia="楷体_GB2312" w:cs="Times New Roman"/>
      <w:sz w:val="28"/>
      <w:szCs w:val="20"/>
    </w:rPr>
  </w:style>
  <w:style w:type="character" w:customStyle="1" w:styleId="53">
    <w:name w:val="正文文本缩进 Char"/>
    <w:basedOn w:val="38"/>
    <w:link w:val="15"/>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22"/>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8"/>
    <w:link w:val="28"/>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8"/>
    <w:link w:val="12"/>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8"/>
    <w:link w:val="23"/>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8"/>
    <w:link w:val="10"/>
    <w:semiHidden/>
    <w:qFormat/>
    <w:uiPriority w:val="99"/>
    <w:rPr>
      <w:rFonts w:ascii="Times New Roman" w:hAnsi="Times New Roman" w:eastAsia="宋体" w:cs="Times New Roman"/>
      <w:szCs w:val="20"/>
    </w:rPr>
  </w:style>
  <w:style w:type="character" w:customStyle="1" w:styleId="70">
    <w:name w:val="批注主题 Char"/>
    <w:basedOn w:val="69"/>
    <w:link w:val="34"/>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9"/>
    <w:qFormat/>
    <w:uiPriority w:val="0"/>
    <w:rPr>
      <w:rFonts w:ascii="宋体" w:hAnsi="Courier New" w:eastAsia="宋体"/>
    </w:rPr>
  </w:style>
  <w:style w:type="character" w:customStyle="1" w:styleId="73">
    <w:name w:val="纯文本 Char1"/>
    <w:basedOn w:val="38"/>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8"/>
    <w:link w:val="9"/>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99">
    <w:name w:val="列出段落2"/>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6824</Words>
  <Characters>7337</Characters>
  <Lines>183</Lines>
  <Paragraphs>51</Paragraphs>
  <TotalTime>8</TotalTime>
  <ScaleCrop>false</ScaleCrop>
  <LinksUpToDate>false</LinksUpToDate>
  <CharactersWithSpaces>7420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Star</cp:lastModifiedBy>
  <cp:lastPrinted>2025-03-24T00:34:00Z</cp:lastPrinted>
  <dcterms:modified xsi:type="dcterms:W3CDTF">2026-05-28T11:08:43Z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8C5974CD7BE6489D8640D49D7CB3D525_13</vt:lpwstr>
  </property>
  <property fmtid="{D5CDD505-2E9C-101B-9397-08002B2CF9AE}" pid="4" name="KSOTemplateDocerSaveRecord">
    <vt:lpwstr>eyJoZGlkIjoiYTJhYjRhNDQ0YmE0YmY2YjRlNWVlMjA5MGM1MDg3YjMiLCJ1c2VySWQiOiI0NzE1ODkwMDUifQ==</vt:lpwstr>
  </property>
</Properties>
</file>