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E9781">
      <w:pPr>
        <w:spacing w:before="120" w:beforeLines="50" w:after="120" w:afterLines="50" w:line="520" w:lineRule="exact"/>
        <w:jc w:val="center"/>
        <w:rPr>
          <w:rFonts w:hint="eastAsia" w:ascii="宋体" w:hAnsi="宋体" w:cs="宋体"/>
          <w:b/>
          <w:bCs/>
          <w:color w:val="auto"/>
          <w:kern w:val="36"/>
          <w:sz w:val="40"/>
          <w:szCs w:val="40"/>
          <w:highlight w:val="none"/>
          <w:lang w:eastAsia="zh-CN"/>
        </w:rPr>
      </w:pPr>
      <w:r>
        <w:rPr>
          <w:rFonts w:hint="eastAsia" w:ascii="宋体" w:hAnsi="宋体" w:cs="宋体"/>
          <w:b/>
          <w:bCs/>
          <w:color w:val="auto"/>
          <w:kern w:val="36"/>
          <w:sz w:val="40"/>
          <w:szCs w:val="40"/>
          <w:highlight w:val="none"/>
          <w:lang w:eastAsia="zh-CN"/>
        </w:rPr>
        <w:t>六安市叶集区人民医院（市六院）心电信息管理系统采购项目</w:t>
      </w:r>
    </w:p>
    <w:p w14:paraId="4970AFA0">
      <w:pPr>
        <w:pStyle w:val="5"/>
        <w:rPr>
          <w:color w:val="auto"/>
          <w:highlight w:val="none"/>
        </w:rPr>
      </w:pPr>
    </w:p>
    <w:p w14:paraId="107B945A">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服</w:t>
      </w:r>
    </w:p>
    <w:p w14:paraId="43D38B8A">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务</w:t>
      </w:r>
    </w:p>
    <w:p w14:paraId="016DDBD3">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类</w:t>
      </w:r>
    </w:p>
    <w:p w14:paraId="7533074E">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单</w:t>
      </w:r>
    </w:p>
    <w:p w14:paraId="06ED707A">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一</w:t>
      </w:r>
    </w:p>
    <w:p w14:paraId="76352D62">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来</w:t>
      </w:r>
    </w:p>
    <w:p w14:paraId="427C0CDB">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源</w:t>
      </w:r>
    </w:p>
    <w:p w14:paraId="69538D6D">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采</w:t>
      </w:r>
    </w:p>
    <w:p w14:paraId="2AE77EFC">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购</w:t>
      </w:r>
    </w:p>
    <w:p w14:paraId="6A2A32CB">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文</w:t>
      </w:r>
    </w:p>
    <w:p w14:paraId="4E86508B">
      <w:pPr>
        <w:spacing w:line="760" w:lineRule="exact"/>
        <w:jc w:val="center"/>
        <w:rPr>
          <w:rFonts w:ascii="宋体" w:hAnsi="宋体"/>
          <w:b/>
          <w:color w:val="auto"/>
          <w:sz w:val="56"/>
          <w:szCs w:val="56"/>
          <w:highlight w:val="none"/>
        </w:rPr>
      </w:pPr>
      <w:r>
        <w:rPr>
          <w:rFonts w:hint="eastAsia" w:ascii="宋体" w:hAnsi="宋体"/>
          <w:b/>
          <w:color w:val="auto"/>
          <w:sz w:val="44"/>
          <w:szCs w:val="44"/>
          <w:highlight w:val="none"/>
        </w:rPr>
        <w:t>件</w:t>
      </w:r>
    </w:p>
    <w:p w14:paraId="60642187">
      <w:pPr>
        <w:rPr>
          <w:rFonts w:ascii="宋体" w:hAnsi="宋体"/>
          <w:b/>
          <w:color w:val="auto"/>
          <w:sz w:val="32"/>
          <w:szCs w:val="32"/>
          <w:highlight w:val="none"/>
        </w:rPr>
      </w:pPr>
    </w:p>
    <w:p w14:paraId="5607E3AD">
      <w:pPr>
        <w:ind w:firstLine="1680" w:firstLineChars="600"/>
        <w:jc w:val="center"/>
        <w:rPr>
          <w:rFonts w:ascii="黑体" w:hAnsi="宋体" w:eastAsia="黑体"/>
          <w:color w:val="auto"/>
          <w:sz w:val="28"/>
          <w:szCs w:val="28"/>
          <w:highlight w:val="none"/>
        </w:rPr>
      </w:pPr>
    </w:p>
    <w:p w14:paraId="1C38B1DB">
      <w:pPr>
        <w:spacing w:line="360" w:lineRule="auto"/>
        <w:ind w:firstLine="840" w:firstLineChars="300"/>
        <w:rPr>
          <w:rFonts w:hint="eastAsia" w:ascii="黑体" w:hAnsi="宋体" w:eastAsia="黑体"/>
          <w:color w:val="auto"/>
          <w:sz w:val="28"/>
          <w:szCs w:val="28"/>
          <w:highlight w:val="none"/>
        </w:rPr>
      </w:pPr>
    </w:p>
    <w:p w14:paraId="64C365D3">
      <w:pPr>
        <w:spacing w:line="360" w:lineRule="auto"/>
        <w:ind w:firstLine="840" w:firstLineChars="300"/>
        <w:rPr>
          <w:rFonts w:ascii="黑体" w:hAnsi="宋体" w:eastAsia="黑体"/>
          <w:color w:val="auto"/>
          <w:sz w:val="28"/>
          <w:szCs w:val="28"/>
          <w:highlight w:val="none"/>
        </w:rPr>
      </w:pPr>
      <w:r>
        <w:rPr>
          <w:rFonts w:hint="eastAsia" w:ascii="黑体" w:hAnsi="宋体" w:eastAsia="黑体"/>
          <w:color w:val="auto"/>
          <w:sz w:val="28"/>
          <w:szCs w:val="28"/>
          <w:highlight w:val="none"/>
        </w:rPr>
        <w:t>项目单位：</w:t>
      </w:r>
      <w:r>
        <w:rPr>
          <w:rFonts w:hint="eastAsia" w:ascii="黑体" w:hAnsi="宋体" w:eastAsia="黑体"/>
          <w:color w:val="auto"/>
          <w:sz w:val="28"/>
          <w:szCs w:val="28"/>
          <w:highlight w:val="none"/>
          <w:lang w:val="en-US" w:eastAsia="zh-CN"/>
        </w:rPr>
        <w:t>六安市叶集区人民医院（六安市第六人民医院）</w:t>
      </w:r>
      <w:r>
        <w:rPr>
          <w:rFonts w:hint="eastAsia" w:ascii="黑体" w:hAnsi="宋体" w:eastAsia="黑体"/>
          <w:color w:val="auto"/>
          <w:sz w:val="28"/>
          <w:szCs w:val="28"/>
          <w:highlight w:val="none"/>
        </w:rPr>
        <w:t xml:space="preserve">                 </w:t>
      </w:r>
    </w:p>
    <w:p w14:paraId="45061B9E">
      <w:pPr>
        <w:spacing w:line="360" w:lineRule="auto"/>
        <w:ind w:firstLine="2240" w:firstLineChars="800"/>
        <w:rPr>
          <w:rFonts w:ascii="黑体" w:hAnsi="宋体" w:eastAsia="黑体"/>
          <w:color w:val="auto"/>
          <w:sz w:val="28"/>
          <w:szCs w:val="28"/>
          <w:highlight w:val="none"/>
        </w:rPr>
      </w:pPr>
      <w:r>
        <w:rPr>
          <w:rFonts w:hint="eastAsia" w:ascii="黑体" w:hAnsi="宋体" w:eastAsia="黑体"/>
          <w:color w:val="auto"/>
          <w:sz w:val="28"/>
          <w:szCs w:val="28"/>
          <w:highlight w:val="none"/>
        </w:rPr>
        <w:t>代理机构：安徽同方工程咨询有限公司</w:t>
      </w:r>
      <w:r>
        <w:rPr>
          <w:rFonts w:ascii="黑体" w:hAnsi="宋体" w:eastAsia="黑体"/>
          <w:color w:val="auto"/>
          <w:sz w:val="28"/>
          <w:szCs w:val="28"/>
          <w:highlight w:val="none"/>
        </w:rPr>
        <w:t xml:space="preserve"> </w:t>
      </w:r>
    </w:p>
    <w:p w14:paraId="5969594A">
      <w:pPr>
        <w:jc w:val="center"/>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2026</w:t>
      </w:r>
      <w:r>
        <w:rPr>
          <w:rFonts w:hint="eastAsia" w:ascii="黑体" w:hAnsi="宋体" w:eastAsia="黑体"/>
          <w:color w:val="auto"/>
          <w:sz w:val="28"/>
          <w:szCs w:val="28"/>
          <w:highlight w:val="none"/>
        </w:rPr>
        <w:t>年</w:t>
      </w:r>
      <w:r>
        <w:rPr>
          <w:rFonts w:hint="eastAsia" w:ascii="黑体" w:hAnsi="宋体" w:eastAsia="黑体"/>
          <w:color w:val="auto"/>
          <w:sz w:val="28"/>
          <w:szCs w:val="28"/>
          <w:highlight w:val="none"/>
          <w:lang w:val="en-US" w:eastAsia="zh-CN"/>
        </w:rPr>
        <w:t>3</w:t>
      </w:r>
      <w:r>
        <w:rPr>
          <w:rFonts w:hint="eastAsia" w:ascii="黑体" w:hAnsi="宋体" w:eastAsia="黑体"/>
          <w:color w:val="auto"/>
          <w:sz w:val="28"/>
          <w:szCs w:val="28"/>
          <w:highlight w:val="none"/>
        </w:rPr>
        <w:t>月</w:t>
      </w:r>
      <w:bookmarkStart w:id="0" w:name="_Toc18671549"/>
    </w:p>
    <w:p w14:paraId="692D7676">
      <w:pPr>
        <w:jc w:val="left"/>
        <w:rPr>
          <w:color w:val="auto"/>
          <w:highlight w:val="none"/>
        </w:rPr>
      </w:pPr>
      <w:r>
        <w:rPr>
          <w:rFonts w:hint="eastAsia" w:ascii="黑体" w:hAnsi="宋体" w:eastAsia="黑体"/>
          <w:color w:val="auto"/>
          <w:sz w:val="28"/>
          <w:szCs w:val="28"/>
          <w:highlight w:val="none"/>
        </w:rPr>
        <w:br w:type="page"/>
      </w:r>
    </w:p>
    <w:sdt>
      <w:sdtPr>
        <w:rPr>
          <w:rFonts w:hint="eastAsia" w:ascii="黑体" w:hAnsi="黑体" w:eastAsia="黑体" w:cs="黑体"/>
          <w:b/>
          <w:bCs/>
          <w:color w:val="auto"/>
          <w:sz w:val="40"/>
          <w:szCs w:val="48"/>
          <w:highlight w:val="none"/>
        </w:rPr>
        <w:id w:val="147458712"/>
      </w:sdtPr>
      <w:sdtEndPr>
        <w:rPr>
          <w:rFonts w:hint="eastAsia" w:ascii="宋体" w:hAnsi="宋体" w:eastAsia="宋体" w:cs="宋体"/>
          <w:b/>
          <w:bCs/>
          <w:color w:val="auto"/>
          <w:sz w:val="21"/>
          <w:szCs w:val="32"/>
          <w:highlight w:val="none"/>
        </w:rPr>
      </w:sdtEndPr>
      <w:sdtContent>
        <w:p w14:paraId="00ACAD80">
          <w:pPr>
            <w:jc w:val="center"/>
            <w:rPr>
              <w:rFonts w:ascii="黑体" w:hAnsi="黑体" w:eastAsia="黑体" w:cs="黑体"/>
              <w:b/>
              <w:bCs/>
              <w:color w:val="auto"/>
              <w:sz w:val="40"/>
              <w:szCs w:val="48"/>
              <w:highlight w:val="none"/>
            </w:rPr>
          </w:pPr>
        </w:p>
        <w:p w14:paraId="01F18E67">
          <w:pPr>
            <w:jc w:val="center"/>
            <w:rPr>
              <w:rFonts w:ascii="黑体" w:hAnsi="黑体" w:eastAsia="黑体" w:cs="黑体"/>
              <w:b/>
              <w:bCs/>
              <w:color w:val="auto"/>
              <w:sz w:val="40"/>
              <w:szCs w:val="48"/>
              <w:highlight w:val="none"/>
            </w:rPr>
          </w:pPr>
          <w:r>
            <w:rPr>
              <w:rFonts w:hint="eastAsia" w:ascii="黑体" w:hAnsi="黑体" w:eastAsia="黑体" w:cs="黑体"/>
              <w:b/>
              <w:bCs/>
              <w:color w:val="auto"/>
              <w:sz w:val="40"/>
              <w:szCs w:val="48"/>
              <w:highlight w:val="none"/>
            </w:rPr>
            <w:t>目   录</w:t>
          </w:r>
        </w:p>
        <w:p w14:paraId="3B797ACC">
          <w:pPr>
            <w:jc w:val="center"/>
            <w:rPr>
              <w:rFonts w:ascii="黑体" w:hAnsi="黑体" w:eastAsia="黑体" w:cs="黑体"/>
              <w:b/>
              <w:bCs/>
              <w:color w:val="auto"/>
              <w:sz w:val="36"/>
              <w:szCs w:val="44"/>
              <w:highlight w:val="none"/>
            </w:rPr>
          </w:pPr>
        </w:p>
        <w:p w14:paraId="5BA8057E">
          <w:pPr>
            <w:pStyle w:val="10"/>
            <w:tabs>
              <w:tab w:val="right" w:leader="dot" w:pos="8367"/>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TOC \o "1-1" \h \u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_Toc31473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eastAsia="zh-CN"/>
            </w:rPr>
            <w:t>六安市叶集区人民医院（市六院）心电信息管理系统采购项目</w:t>
          </w:r>
          <w:r>
            <w:rPr>
              <w:rFonts w:hint="eastAsia" w:ascii="宋体" w:hAnsi="宋体" w:eastAsia="宋体" w:cs="宋体"/>
              <w:b w:val="0"/>
              <w:bCs/>
              <w:sz w:val="24"/>
              <w:szCs w:val="24"/>
            </w:rPr>
            <w:t>单一来源方式采购的公示</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_Toc31473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3705FF0C">
          <w:pPr>
            <w:pStyle w:val="10"/>
            <w:tabs>
              <w:tab w:val="right" w:leader="dot" w:pos="8367"/>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_Toc384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第一章 单一来源采购邀请书</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_Toc384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4948D7D3">
          <w:pPr>
            <w:pStyle w:val="10"/>
            <w:tabs>
              <w:tab w:val="right" w:leader="dot" w:pos="8367"/>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_Toc24930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第二章  供应商须知前附表</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_Toc24930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AB7591F">
          <w:pPr>
            <w:pStyle w:val="10"/>
            <w:tabs>
              <w:tab w:val="right" w:leader="dot" w:pos="8367"/>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_Toc6652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第三章  供应商须知</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_Toc6652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8</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B819C0A">
          <w:pPr>
            <w:pStyle w:val="10"/>
            <w:tabs>
              <w:tab w:val="right" w:leader="dot" w:pos="8367"/>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_Toc3742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第四章  采购合同</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_Toc3742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15</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5B6B884F">
          <w:pPr>
            <w:pStyle w:val="10"/>
            <w:tabs>
              <w:tab w:val="right" w:leader="dot" w:pos="8367"/>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_Toc8151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第五章  采购需求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_Toc8151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4C4606CC">
          <w:pPr>
            <w:pStyle w:val="10"/>
            <w:tabs>
              <w:tab w:val="right" w:leader="dot" w:pos="8367"/>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_Toc32636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第六章  单一来源响应文件</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_Toc32636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18</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09C6070A">
          <w:pPr>
            <w:pStyle w:val="10"/>
            <w:tabs>
              <w:tab w:val="right" w:leader="dot" w:pos="8367"/>
            </w:tabs>
            <w:spacing w:line="360" w:lineRule="auto"/>
            <w:rPr>
              <w:rFonts w:hint="eastAsia" w:ascii="宋体" w:hAnsi="宋体" w:eastAsia="宋体" w:cs="宋体"/>
              <w:b w:val="0"/>
              <w:bCs/>
              <w:sz w:val="24"/>
              <w:szCs w:val="24"/>
            </w:rPr>
          </w:pPr>
        </w:p>
        <w:p w14:paraId="138CE3FD">
          <w:pPr>
            <w:spacing w:line="360" w:lineRule="auto"/>
          </w:pPr>
          <w:r>
            <w:rPr>
              <w:rFonts w:hint="eastAsia" w:ascii="宋体" w:hAnsi="宋体" w:eastAsia="宋体" w:cs="宋体"/>
              <w:b w:val="0"/>
              <w:bCs/>
              <w:sz w:val="24"/>
              <w:szCs w:val="24"/>
            </w:rPr>
            <w:fldChar w:fldCharType="end"/>
          </w:r>
        </w:p>
        <w:p w14:paraId="32F474A9">
          <w:pPr>
            <w:spacing w:line="440" w:lineRule="exact"/>
            <w:rPr>
              <w:color w:val="auto"/>
              <w:highlight w:val="none"/>
            </w:rPr>
          </w:pPr>
        </w:p>
      </w:sdtContent>
    </w:sdt>
    <w:p w14:paraId="45F16A50">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cs="宋体"/>
          <w:b/>
          <w:bCs/>
          <w:color w:val="auto"/>
          <w:sz w:val="40"/>
          <w:szCs w:val="40"/>
          <w:highlight w:val="none"/>
          <w:lang w:eastAsia="zh-CN"/>
        </w:rPr>
        <w:sectPr>
          <w:footerReference r:id="rId3" w:type="default"/>
          <w:pgSz w:w="11907" w:h="16839"/>
          <w:pgMar w:top="1118" w:right="1769" w:bottom="1233" w:left="1771" w:header="877" w:footer="982" w:gutter="0"/>
          <w:pgNumType w:fmt="decimal"/>
          <w:cols w:space="720" w:num="1"/>
        </w:sectPr>
      </w:pPr>
      <w:bookmarkStart w:id="1" w:name="_Toc30348"/>
      <w:bookmarkStart w:id="72" w:name="_GoBack"/>
      <w:bookmarkEnd w:id="72"/>
    </w:p>
    <w:p w14:paraId="6DDDAB96">
      <w:pPr>
        <w:pStyle w:val="2"/>
        <w:bidi w:val="0"/>
        <w:ind w:left="0" w:leftChars="0" w:firstLine="0" w:firstLineChars="0"/>
        <w:jc w:val="center"/>
        <w:rPr>
          <w:rFonts w:hint="eastAsia" w:ascii="宋体" w:hAnsi="宋体" w:eastAsia="宋体" w:cs="宋体"/>
          <w:b/>
          <w:bCs/>
          <w:color w:val="auto"/>
          <w:szCs w:val="40"/>
          <w:highlight w:val="none"/>
        </w:rPr>
      </w:pPr>
      <w:bookmarkStart w:id="2" w:name="_Toc31473"/>
      <w:r>
        <w:rPr>
          <w:rFonts w:hint="eastAsia"/>
          <w:lang w:eastAsia="zh-CN"/>
        </w:rPr>
        <w:t>六安市叶集区人民医院（市六院）心电信息管理系统采购项目</w:t>
      </w:r>
      <w:r>
        <w:rPr>
          <w:rFonts w:hint="eastAsia"/>
        </w:rPr>
        <w:t>单一来源方式采购的公示</w:t>
      </w:r>
      <w:bookmarkEnd w:id="2"/>
    </w:p>
    <w:p w14:paraId="2A400B0C">
      <w:pPr>
        <w:pStyle w:val="5"/>
        <w:keepNext w:val="0"/>
        <w:keepLines w:val="0"/>
        <w:pageBreakBefore w:val="0"/>
        <w:widowControl w:val="0"/>
        <w:kinsoku/>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p>
    <w:p w14:paraId="197A7C82">
      <w:pPr>
        <w:pStyle w:val="5"/>
        <w:keepNext w:val="0"/>
        <w:keepLines w:val="0"/>
        <w:pageBreakBefore w:val="0"/>
        <w:widowControl w:val="0"/>
        <w:kinsoku/>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根据《中华人民共和国政府采购法》、《政府采购非招标方式管理办法》（财政部令第74号）等相关法律规定，现就本项目拟采取单一来源方式采购予以公示。</w:t>
      </w:r>
    </w:p>
    <w:p w14:paraId="36EDBABF">
      <w:pPr>
        <w:pStyle w:val="5"/>
        <w:keepNext w:val="0"/>
        <w:keepLines w:val="0"/>
        <w:pageBreakBefore w:val="0"/>
        <w:widowControl w:val="0"/>
        <w:kinsoku/>
        <w:overflowPunct/>
        <w:topLinePunct w:val="0"/>
        <w:autoSpaceDE/>
        <w:autoSpaceDN/>
        <w:bidi w:val="0"/>
        <w:adjustRightInd/>
        <w:snapToGrid/>
        <w:spacing w:after="0" w:line="360" w:lineRule="auto"/>
        <w:ind w:left="559" w:leftChars="266"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一、采购人名称：</w:t>
      </w:r>
      <w:r>
        <w:rPr>
          <w:rFonts w:hint="eastAsia" w:ascii="仿宋" w:hAnsi="仿宋" w:eastAsia="仿宋" w:cs="仿宋"/>
          <w:color w:val="auto"/>
          <w:sz w:val="28"/>
          <w:szCs w:val="28"/>
          <w:highlight w:val="none"/>
          <w:lang w:val="en-US" w:eastAsia="zh-CN"/>
        </w:rPr>
        <w:t>六安市叶集区人民医院（六安市第六人民医院）</w:t>
      </w:r>
      <w:r>
        <w:rPr>
          <w:rFonts w:hint="eastAsia" w:ascii="仿宋" w:hAnsi="仿宋" w:eastAsia="仿宋" w:cs="仿宋"/>
          <w:b/>
          <w:bCs/>
          <w:color w:val="auto"/>
          <w:sz w:val="28"/>
          <w:szCs w:val="28"/>
          <w:highlight w:val="none"/>
          <w:lang w:val="en-US" w:eastAsia="zh-CN"/>
        </w:rPr>
        <w:t>二、采购人地址：</w:t>
      </w:r>
      <w:r>
        <w:rPr>
          <w:rFonts w:hint="eastAsia" w:ascii="仿宋" w:hAnsi="仿宋" w:eastAsia="仿宋" w:cs="仿宋"/>
          <w:color w:val="auto"/>
          <w:sz w:val="28"/>
          <w:szCs w:val="28"/>
          <w:highlight w:val="none"/>
          <w:lang w:val="en-US" w:eastAsia="zh-CN"/>
        </w:rPr>
        <w:t>六安市叶集区民强北路与兴叶大道交叉口</w:t>
      </w:r>
    </w:p>
    <w:p w14:paraId="5DE5D80B">
      <w:pPr>
        <w:pStyle w:val="5"/>
        <w:keepNext w:val="0"/>
        <w:keepLines w:val="0"/>
        <w:pageBreakBefore w:val="0"/>
        <w:widowControl w:val="0"/>
        <w:kinsoku/>
        <w:overflowPunct/>
        <w:topLinePunct w:val="0"/>
        <w:autoSpaceDE/>
        <w:autoSpaceDN/>
        <w:bidi w:val="0"/>
        <w:adjustRightInd/>
        <w:snapToGrid/>
        <w:spacing w:after="0" w:line="360" w:lineRule="auto"/>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三、采购</w:t>
      </w:r>
      <w:r>
        <w:rPr>
          <w:rFonts w:hint="eastAsia" w:ascii="仿宋" w:hAnsi="仿宋" w:eastAsia="仿宋" w:cs="仿宋"/>
          <w:b/>
          <w:bCs/>
          <w:color w:val="auto"/>
          <w:sz w:val="28"/>
          <w:szCs w:val="28"/>
          <w:highlight w:val="none"/>
        </w:rPr>
        <w:t>项目名称：</w:t>
      </w:r>
      <w:r>
        <w:rPr>
          <w:rFonts w:hint="eastAsia" w:ascii="仿宋" w:hAnsi="仿宋" w:eastAsia="仿宋" w:cs="仿宋"/>
          <w:b w:val="0"/>
          <w:bCs w:val="0"/>
          <w:color w:val="auto"/>
          <w:sz w:val="28"/>
          <w:szCs w:val="28"/>
          <w:highlight w:val="none"/>
        </w:rPr>
        <w:t>六安市叶集区人民医院（市六院）心电信息管理系统采购项目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LASYJQRMYY-XXK2026-09</w:t>
      </w:r>
      <w:r>
        <w:rPr>
          <w:rFonts w:hint="eastAsia" w:ascii="仿宋" w:hAnsi="仿宋" w:eastAsia="仿宋" w:cs="仿宋"/>
          <w:color w:val="auto"/>
          <w:sz w:val="28"/>
          <w:szCs w:val="28"/>
          <w:highlight w:val="none"/>
        </w:rPr>
        <w:t>）</w:t>
      </w:r>
    </w:p>
    <w:p w14:paraId="1BDBC687">
      <w:pPr>
        <w:pStyle w:val="5"/>
        <w:keepNext w:val="0"/>
        <w:keepLines w:val="0"/>
        <w:pageBreakBefore w:val="0"/>
        <w:widowControl w:val="0"/>
        <w:kinsoku/>
        <w:overflowPunct/>
        <w:topLinePunct w:val="0"/>
        <w:autoSpaceDE/>
        <w:autoSpaceDN/>
        <w:bidi w:val="0"/>
        <w:adjustRightInd/>
        <w:snapToGrid/>
        <w:spacing w:after="0" w:line="360" w:lineRule="auto"/>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项目类型：</w:t>
      </w:r>
      <w:r>
        <w:rPr>
          <w:rFonts w:hint="eastAsia" w:ascii="仿宋" w:hAnsi="仿宋" w:eastAsia="仿宋" w:cs="仿宋"/>
          <w:color w:val="auto"/>
          <w:sz w:val="28"/>
          <w:szCs w:val="28"/>
          <w:highlight w:val="none"/>
        </w:rPr>
        <w:t>服务类</w:t>
      </w:r>
    </w:p>
    <w:p w14:paraId="79B71AEB">
      <w:pPr>
        <w:pStyle w:val="5"/>
        <w:keepNext w:val="0"/>
        <w:keepLines w:val="0"/>
        <w:pageBreakBefore w:val="0"/>
        <w:widowControl w:val="0"/>
        <w:kinsoku/>
        <w:overflowPunct/>
        <w:topLinePunct w:val="0"/>
        <w:autoSpaceDE/>
        <w:autoSpaceDN/>
        <w:bidi w:val="0"/>
        <w:adjustRightInd/>
        <w:snapToGrid/>
        <w:spacing w:after="0" w:line="360" w:lineRule="auto"/>
        <w:ind w:firstLine="562"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拟采购服务的说明：</w:t>
      </w:r>
      <w:r>
        <w:rPr>
          <w:rFonts w:hint="eastAsia" w:ascii="仿宋" w:hAnsi="仿宋" w:eastAsia="仿宋" w:cs="仿宋"/>
          <w:b w:val="0"/>
          <w:bCs w:val="0"/>
          <w:color w:val="auto"/>
          <w:sz w:val="28"/>
          <w:szCs w:val="28"/>
          <w:highlight w:val="none"/>
        </w:rPr>
        <w:t>为适应医院发展需要，现计划对心电信息管理系统进行升级建设。</w:t>
      </w:r>
    </w:p>
    <w:p w14:paraId="6429FD7C">
      <w:pPr>
        <w:pStyle w:val="5"/>
        <w:keepNext w:val="0"/>
        <w:keepLines w:val="0"/>
        <w:pageBreakBefore w:val="0"/>
        <w:widowControl w:val="0"/>
        <w:kinsoku/>
        <w:overflowPunct/>
        <w:topLinePunct w:val="0"/>
        <w:autoSpaceDE/>
        <w:autoSpaceDN/>
        <w:bidi w:val="0"/>
        <w:adjustRightInd/>
        <w:snapToGrid/>
        <w:spacing w:after="0" w:line="360" w:lineRule="auto"/>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拟采购服务的预算金额：</w:t>
      </w:r>
      <w:r>
        <w:rPr>
          <w:rFonts w:hint="eastAsia" w:ascii="仿宋" w:hAnsi="仿宋" w:eastAsia="仿宋" w:cs="仿宋"/>
          <w:b w:val="0"/>
          <w:bCs w:val="0"/>
          <w:color w:val="auto"/>
          <w:sz w:val="28"/>
          <w:szCs w:val="28"/>
          <w:highlight w:val="none"/>
          <w:lang w:val="en-US" w:eastAsia="zh-CN"/>
        </w:rPr>
        <w:t>3.00</w:t>
      </w:r>
      <w:r>
        <w:rPr>
          <w:rFonts w:hint="eastAsia" w:ascii="仿宋" w:hAnsi="仿宋" w:eastAsia="仿宋" w:cs="仿宋"/>
          <w:b w:val="0"/>
          <w:bCs w:val="0"/>
          <w:color w:val="auto"/>
          <w:sz w:val="28"/>
          <w:szCs w:val="28"/>
          <w:highlight w:val="none"/>
        </w:rPr>
        <w:t>万元</w:t>
      </w:r>
    </w:p>
    <w:p w14:paraId="700514C6">
      <w:pPr>
        <w:keepNext w:val="0"/>
        <w:keepLines w:val="0"/>
        <w:pageBreakBefore w:val="0"/>
        <w:widowControl w:val="0"/>
        <w:kinsoku/>
        <w:wordWrap w:val="0"/>
        <w:overflowPunct/>
        <w:topLinePunct w:val="0"/>
        <w:autoSpaceDE/>
        <w:autoSpaceDN/>
        <w:bidi w:val="0"/>
        <w:adjustRightInd/>
        <w:snapToGrid/>
        <w:spacing w:line="360" w:lineRule="auto"/>
        <w:ind w:left="559" w:leftChars="266"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采用单一来源采购方式的原因及说明：</w:t>
      </w:r>
    </w:p>
    <w:p w14:paraId="0498869A">
      <w:pPr>
        <w:pStyle w:val="49"/>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随着医院业务发展，现有系统需进行升级建设。为确保升级后系统与现有心电设备完全兼容、业务无缝衔接，并保障历史数据完整与网络安全，本项目必须保证服务配套的延续性，具体原因如下：</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xml:space="preserve">   </w:t>
      </w:r>
      <w:r>
        <w:rPr>
          <w:rFonts w:hint="eastAsia" w:ascii="仿宋" w:hAnsi="仿宋" w:eastAsia="仿宋" w:cs="仿宋"/>
          <w:b/>
          <w:bCs/>
          <w:color w:val="auto"/>
          <w:kern w:val="2"/>
          <w:sz w:val="28"/>
          <w:szCs w:val="28"/>
          <w:highlight w:val="none"/>
          <w:lang w:val="en-US" w:eastAsia="zh-CN" w:bidi="ar-SA"/>
        </w:rPr>
        <w:t xml:space="preserve"> 1、服务具有技术延续性。</w:t>
      </w:r>
      <w:r>
        <w:rPr>
          <w:rFonts w:hint="eastAsia" w:ascii="仿宋" w:hAnsi="仿宋" w:eastAsia="仿宋" w:cs="仿宋"/>
          <w:color w:val="auto"/>
          <w:kern w:val="2"/>
          <w:sz w:val="28"/>
          <w:szCs w:val="28"/>
          <w:highlight w:val="none"/>
          <w:lang w:val="en-US" w:eastAsia="zh-CN" w:bidi="ar-SA"/>
        </w:rPr>
        <w:t>医院现有心电图机、动态心电监测仪等核心设备均深度依赖北京麦迪克斯科技有限公司医疗信息系统的专用接口进行数据交互，技术架构、通信协议、数据接口已形成完整闭环。第三方设备无法兼容现有接口协议，若采用其他品牌方案需重新开发适配接口，存在开发成本高、数据传输实时性及完整性难以保障等问题。采用原厂升级方案可直接复用现有接口，确保心电数据采集的实时性与系统稳定性。</w:t>
      </w:r>
    </w:p>
    <w:p w14:paraId="444AC131">
      <w:pPr>
        <w:pStyle w:val="49"/>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2、服务具有业务安全性与连续性。</w:t>
      </w:r>
      <w:r>
        <w:rPr>
          <w:rFonts w:hint="eastAsia" w:ascii="仿宋" w:hAnsi="仿宋" w:eastAsia="仿宋" w:cs="仿宋"/>
          <w:color w:val="auto"/>
          <w:kern w:val="2"/>
          <w:sz w:val="28"/>
          <w:szCs w:val="28"/>
          <w:highlight w:val="none"/>
          <w:lang w:val="en-US" w:eastAsia="zh-CN" w:bidi="ar-SA"/>
        </w:rPr>
        <w:t>心电检查直接关系急诊胸痛、术后监护等关键患者的诊疗时效。延续使用原厂升级方案，可保证设备操作界面与报告生成流程的一致性，医务人员无需重新学习，有效规避业务中断风险，保障各科室心电检查24小时不间断运行。同时，原厂提供的数据迁移工具可实现历史心电检查记录的平滑过渡，为临床科研与患者随访提供连贯数据支持。</w:t>
      </w:r>
    </w:p>
    <w:p w14:paraId="42DFEB89">
      <w:pPr>
        <w:pStyle w:val="49"/>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eastAsiaTheme="minorEastAsia"/>
          <w:color w:val="auto"/>
          <w:highlight w:val="none"/>
          <w:lang w:eastAsia="zh-CN"/>
        </w:rPr>
      </w:pPr>
      <w:r>
        <w:rPr>
          <w:rFonts w:hint="eastAsia" w:ascii="仿宋" w:hAnsi="仿宋" w:eastAsia="仿宋" w:cs="仿宋"/>
          <w:b/>
          <w:bCs/>
          <w:color w:val="auto"/>
          <w:kern w:val="2"/>
          <w:sz w:val="28"/>
          <w:szCs w:val="28"/>
          <w:highlight w:val="none"/>
          <w:lang w:val="en-US" w:eastAsia="zh-CN" w:bidi="ar-SA"/>
        </w:rPr>
        <w:t>3、服务具有安全合规与投资效益。</w:t>
      </w:r>
      <w:r>
        <w:rPr>
          <w:rFonts w:hint="eastAsia" w:ascii="仿宋" w:hAnsi="仿宋" w:eastAsia="仿宋" w:cs="仿宋"/>
          <w:color w:val="auto"/>
          <w:kern w:val="2"/>
          <w:sz w:val="28"/>
          <w:szCs w:val="28"/>
          <w:highlight w:val="none"/>
          <w:lang w:val="en-US" w:eastAsia="zh-CN" w:bidi="ar-SA"/>
        </w:rPr>
        <w:t>北京麦迪克斯科技有限公司长期服务于本院，熟悉医院网络拓扑、防火墙策略、数据加密机制等安全要素，由其实施升级可确保新系统与医院信息安全体系深度集成，避免第三方接入带来的潜在风险。原厂升级可实现新老系统模块化融合，避免重复建设，充分利用历史设备价值，实现资源利用效率最大化。</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sz w:val="28"/>
          <w:szCs w:val="28"/>
          <w:highlight w:val="none"/>
          <w:lang w:val="en-US" w:eastAsia="zh-CN"/>
        </w:rPr>
        <w:t xml:space="preserve">    依根据《中华人民共和国政府采购法》第三十一条第（一）项及《中华人民共和国政府采购法实施条例》第二十七条规定，论证专家一致认为：北京麦迪克斯科技有限公司符合本项目单一来源采购供应商。</w:t>
      </w:r>
    </w:p>
    <w:p w14:paraId="7E6A1263">
      <w:pPr>
        <w:keepNext w:val="0"/>
        <w:keepLines w:val="0"/>
        <w:pageBreakBefore w:val="0"/>
        <w:widowControl w:val="0"/>
        <w:kinsoku/>
        <w:wordWrap w:val="0"/>
        <w:overflowPunct/>
        <w:topLinePunct w:val="0"/>
        <w:autoSpaceDE/>
        <w:autoSpaceDN/>
        <w:bidi w:val="0"/>
        <w:adjustRightInd/>
        <w:snapToGrid/>
        <w:spacing w:line="360" w:lineRule="auto"/>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拟定供应商信息：</w:t>
      </w:r>
      <w:r>
        <w:rPr>
          <w:rFonts w:hint="eastAsia" w:ascii="仿宋" w:hAnsi="仿宋" w:eastAsia="仿宋" w:cs="仿宋"/>
          <w:color w:val="auto"/>
          <w:sz w:val="28"/>
          <w:szCs w:val="28"/>
          <w:highlight w:val="none"/>
        </w:rPr>
        <w:t>北京麦迪克斯科技有限公司</w:t>
      </w:r>
    </w:p>
    <w:p w14:paraId="4815594E">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九、拟定唯一供应商地址：</w:t>
      </w:r>
      <w:r>
        <w:rPr>
          <w:rFonts w:hint="eastAsia" w:ascii="仿宋" w:hAnsi="仿宋" w:eastAsia="仿宋" w:cs="仿宋"/>
          <w:color w:val="auto"/>
          <w:sz w:val="28"/>
          <w:szCs w:val="28"/>
          <w:highlight w:val="none"/>
        </w:rPr>
        <w:t>北京市海淀区高里掌路1号院11号楼1层3单元101,2层3单元201</w:t>
      </w:r>
    </w:p>
    <w:p w14:paraId="210436FC">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黑体" w:hAnsi="黑体" w:eastAsia="黑体" w:cs="黑体"/>
          <w:color w:val="auto"/>
          <w:sz w:val="28"/>
          <w:szCs w:val="28"/>
          <w:highlight w:val="none"/>
          <w:vertAlign w:val="baseline"/>
        </w:rPr>
      </w:pPr>
      <w:r>
        <w:rPr>
          <w:rFonts w:hint="eastAsia" w:ascii="仿宋" w:hAnsi="仿宋" w:eastAsia="仿宋" w:cs="仿宋"/>
          <w:b/>
          <w:bCs/>
          <w:color w:val="auto"/>
          <w:sz w:val="28"/>
          <w:szCs w:val="28"/>
          <w:highlight w:val="none"/>
          <w:lang w:val="en-US" w:eastAsia="zh-CN"/>
        </w:rPr>
        <w:t>十、</w:t>
      </w:r>
      <w:r>
        <w:rPr>
          <w:rFonts w:hint="eastAsia" w:ascii="仿宋" w:hAnsi="仿宋" w:eastAsia="仿宋" w:cs="仿宋"/>
          <w:color w:val="auto"/>
          <w:sz w:val="28"/>
          <w:szCs w:val="28"/>
          <w:highlight w:val="none"/>
          <w:lang w:val="en-US" w:eastAsia="zh-CN"/>
        </w:rPr>
        <w:t>专业人员对相关供应商因必须保证原有采购项目</w:t>
      </w:r>
      <w:r>
        <w:rPr>
          <w:rFonts w:hint="eastAsia" w:ascii="仿宋" w:hAnsi="仿宋" w:eastAsia="仿宋" w:cs="仿宋"/>
          <w:color w:val="auto"/>
          <w:kern w:val="2"/>
          <w:sz w:val="28"/>
          <w:szCs w:val="28"/>
          <w:highlight w:val="none"/>
          <w:lang w:val="en-US" w:eastAsia="zh-CN" w:bidi="ar-SA"/>
        </w:rPr>
        <w:t>兼容</w:t>
      </w:r>
      <w:r>
        <w:rPr>
          <w:rFonts w:hint="eastAsia" w:ascii="仿宋" w:hAnsi="仿宋" w:eastAsia="仿宋" w:cs="仿宋"/>
          <w:color w:val="auto"/>
          <w:sz w:val="28"/>
          <w:szCs w:val="28"/>
          <w:highlight w:val="none"/>
          <w:lang w:val="en-US" w:eastAsia="zh-CN"/>
        </w:rPr>
        <w:t>的要求，需要继续从原供应商处添购等原因的具体论证意见：本项目符合单一来源采购的相关要求，建议采用单一来源方式进行采购。</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486"/>
        <w:gridCol w:w="2115"/>
      </w:tblGrid>
      <w:tr w14:paraId="3AF0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2964AC18">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姓名</w:t>
            </w:r>
          </w:p>
        </w:tc>
        <w:tc>
          <w:tcPr>
            <w:tcW w:w="4486" w:type="dxa"/>
            <w:vAlign w:val="top"/>
          </w:tcPr>
          <w:p w14:paraId="172ECCEC">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工作单位</w:t>
            </w:r>
          </w:p>
        </w:tc>
        <w:tc>
          <w:tcPr>
            <w:tcW w:w="2115" w:type="dxa"/>
            <w:vAlign w:val="top"/>
          </w:tcPr>
          <w:p w14:paraId="52C68FAE">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vertAlign w:val="baseline"/>
              </w:rPr>
              <w:t>职称/职务</w:t>
            </w:r>
          </w:p>
        </w:tc>
      </w:tr>
      <w:tr w14:paraId="22E5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71F3B2DE">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檀祥云</w:t>
            </w:r>
          </w:p>
        </w:tc>
        <w:tc>
          <w:tcPr>
            <w:tcW w:w="4486" w:type="dxa"/>
            <w:vAlign w:val="top"/>
          </w:tcPr>
          <w:p w14:paraId="5675095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vertAlign w:val="baseline"/>
              </w:rPr>
              <w:t>安徽省淠史杭灌区管理总局</w:t>
            </w:r>
          </w:p>
        </w:tc>
        <w:tc>
          <w:tcPr>
            <w:tcW w:w="2115" w:type="dxa"/>
            <w:vAlign w:val="top"/>
          </w:tcPr>
          <w:p w14:paraId="7F2CDA1F">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高工</w:t>
            </w:r>
          </w:p>
        </w:tc>
      </w:tr>
      <w:tr w14:paraId="1B4C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1C810299">
            <w:pPr>
              <w:keepNext w:val="0"/>
              <w:keepLines w:val="0"/>
              <w:pageBreakBefore w:val="0"/>
              <w:widowControl w:val="0"/>
              <w:tabs>
                <w:tab w:val="left" w:pos="593"/>
              </w:tabs>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吴孝俊</w:t>
            </w:r>
          </w:p>
        </w:tc>
        <w:tc>
          <w:tcPr>
            <w:tcW w:w="4486" w:type="dxa"/>
            <w:vAlign w:val="top"/>
          </w:tcPr>
          <w:p w14:paraId="7E6FDEFA">
            <w:pPr>
              <w:keepNext w:val="0"/>
              <w:keepLines w:val="0"/>
              <w:pageBreakBefore w:val="0"/>
              <w:widowControl w:val="0"/>
              <w:tabs>
                <w:tab w:val="left" w:pos="375"/>
              </w:tabs>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安徽省六安第一中学</w:t>
            </w:r>
          </w:p>
        </w:tc>
        <w:tc>
          <w:tcPr>
            <w:tcW w:w="2115" w:type="dxa"/>
            <w:vAlign w:val="top"/>
          </w:tcPr>
          <w:p w14:paraId="3AAA9CA1">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高工</w:t>
            </w:r>
          </w:p>
        </w:tc>
      </w:tr>
      <w:tr w14:paraId="0E49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3930AB8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张鹏</w:t>
            </w:r>
          </w:p>
        </w:tc>
        <w:tc>
          <w:tcPr>
            <w:tcW w:w="4486" w:type="dxa"/>
            <w:vAlign w:val="top"/>
          </w:tcPr>
          <w:p w14:paraId="6EB9B2F6">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皖西卫生职业学院附属医院</w:t>
            </w:r>
          </w:p>
        </w:tc>
        <w:tc>
          <w:tcPr>
            <w:tcW w:w="2115" w:type="dxa"/>
            <w:vAlign w:val="top"/>
          </w:tcPr>
          <w:p w14:paraId="1E65F0B2">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高工</w:t>
            </w:r>
          </w:p>
        </w:tc>
      </w:tr>
    </w:tbl>
    <w:p w14:paraId="565C06BB">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十一、</w:t>
      </w:r>
      <w:r>
        <w:rPr>
          <w:rFonts w:hint="eastAsia" w:ascii="仿宋" w:hAnsi="仿宋" w:eastAsia="仿宋" w:cs="仿宋"/>
          <w:b/>
          <w:bCs/>
          <w:color w:val="auto"/>
          <w:sz w:val="28"/>
          <w:szCs w:val="28"/>
          <w:highlight w:val="none"/>
        </w:rPr>
        <w:t>公示期限：</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日。任何供应商、单位或个人对采用单一来源采购方式有异议的，可以在公示期内以书面形式向采购人反映。如无异议，公示结束后将采用单一来源采购方式采购。</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color w:val="auto"/>
          <w:sz w:val="28"/>
          <w:szCs w:val="28"/>
          <w:highlight w:val="none"/>
          <w:lang w:val="en-US" w:eastAsia="zh-CN"/>
        </w:rPr>
        <w:t>十二、协商时间及方式：</w:t>
      </w:r>
      <w:r>
        <w:rPr>
          <w:rFonts w:hint="eastAsia" w:ascii="仿宋" w:hAnsi="仿宋" w:eastAsia="仿宋" w:cs="仿宋"/>
          <w:b/>
          <w:bCs/>
          <w:color w:val="auto"/>
          <w:sz w:val="28"/>
          <w:szCs w:val="28"/>
          <w:highlight w:val="none"/>
          <w:lang w:val="en-US" w:eastAsia="zh-CN"/>
        </w:rPr>
        <w:br w:type="textWrapping"/>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1、协商时间：2026年4月1日下午16时整</w:t>
      </w:r>
    </w:p>
    <w:p w14:paraId="79A1E090">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2、协商方式：现场协商</w:t>
      </w:r>
    </w:p>
    <w:p w14:paraId="2341A319">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3、协商地点：六安市叶集区人民医院10楼会议室。</w:t>
      </w:r>
    </w:p>
    <w:p w14:paraId="60A3571B">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十三、</w:t>
      </w:r>
      <w:r>
        <w:rPr>
          <w:rFonts w:hint="eastAsia" w:ascii="仿宋" w:hAnsi="仿宋" w:eastAsia="仿宋" w:cs="仿宋"/>
          <w:b/>
          <w:bCs/>
          <w:color w:val="auto"/>
          <w:sz w:val="28"/>
          <w:szCs w:val="28"/>
          <w:highlight w:val="none"/>
        </w:rPr>
        <w:t>联系方式</w:t>
      </w:r>
    </w:p>
    <w:p w14:paraId="051997D3">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采购人：六安市叶集区人民医院（六安市第六人民医院）</w:t>
      </w:r>
    </w:p>
    <w:p w14:paraId="4B74F9E5">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联系地址：六安市叶集区兴叶大道与民强北路交叉口</w:t>
      </w:r>
    </w:p>
    <w:p w14:paraId="7B3F1D54">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联系电话：0564-6488599</w:t>
      </w:r>
    </w:p>
    <w:p w14:paraId="7C511467">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采购代理机构：安徽同方工程咨询有限公司 </w:t>
      </w:r>
    </w:p>
    <w:p w14:paraId="3BB2FE23">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 系 人：</w:t>
      </w:r>
      <w:r>
        <w:rPr>
          <w:rFonts w:hint="eastAsia" w:ascii="仿宋" w:hAnsi="仿宋" w:eastAsia="仿宋" w:cs="仿宋"/>
          <w:color w:val="auto"/>
          <w:sz w:val="28"/>
          <w:szCs w:val="28"/>
          <w:highlight w:val="none"/>
          <w:lang w:val="en-US" w:eastAsia="zh-CN"/>
        </w:rPr>
        <w:t>汪</w:t>
      </w:r>
      <w:r>
        <w:rPr>
          <w:rFonts w:hint="eastAsia" w:ascii="仿宋" w:hAnsi="仿宋" w:eastAsia="仿宋" w:cs="仿宋"/>
          <w:color w:val="auto"/>
          <w:sz w:val="28"/>
          <w:szCs w:val="28"/>
          <w:highlight w:val="none"/>
        </w:rPr>
        <w:t>工</w:t>
      </w:r>
    </w:p>
    <w:p w14:paraId="493EFC34">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联系地址：六安市东城路上东阳光城6号楼5楼</w:t>
      </w:r>
    </w:p>
    <w:p w14:paraId="5EED877A">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联系电话：0564-3284233</w:t>
      </w:r>
    </w:p>
    <w:p w14:paraId="333D8C02">
      <w:pPr>
        <w:keepNext w:val="0"/>
        <w:keepLines w:val="0"/>
        <w:pageBreakBefore w:val="0"/>
        <w:widowControl w:val="0"/>
        <w:kinsoku/>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color w:val="auto"/>
          <w:sz w:val="28"/>
          <w:szCs w:val="28"/>
          <w:highlight w:val="none"/>
          <w:lang w:val="en-US" w:eastAsia="zh-CN"/>
        </w:rPr>
      </w:pPr>
    </w:p>
    <w:p w14:paraId="6E8BCACF">
      <w:pPr>
        <w:keepNext w:val="0"/>
        <w:keepLines w:val="0"/>
        <w:pageBreakBefore w:val="0"/>
        <w:widowControl w:val="0"/>
        <w:kinsoku/>
        <w:overflowPunct/>
        <w:topLinePunct w:val="0"/>
        <w:autoSpaceDE/>
        <w:autoSpaceDN/>
        <w:bidi w:val="0"/>
        <w:adjustRightInd/>
        <w:snapToGrid/>
        <w:spacing w:line="360" w:lineRule="auto"/>
        <w:ind w:firstLine="560" w:firstLineChars="200"/>
        <w:jc w:val="righ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w:t>
      </w:r>
    </w:p>
    <w:p w14:paraId="4650C371">
      <w:pPr>
        <w:rPr>
          <w:color w:val="auto"/>
          <w:highlight w:val="none"/>
        </w:rPr>
      </w:pPr>
    </w:p>
    <w:p w14:paraId="6C8611EB">
      <w:pPr>
        <w:rPr>
          <w:rFonts w:ascii="宋体" w:hAnsi="宋体" w:cs="宋体"/>
          <w:color w:val="auto"/>
          <w:sz w:val="24"/>
          <w:highlight w:val="none"/>
        </w:rPr>
      </w:pPr>
      <w:r>
        <w:rPr>
          <w:rFonts w:hint="eastAsia" w:ascii="宋体" w:hAnsi="宋体" w:cs="宋体"/>
          <w:color w:val="auto"/>
          <w:sz w:val="24"/>
          <w:highlight w:val="none"/>
        </w:rPr>
        <w:br w:type="page"/>
      </w:r>
    </w:p>
    <w:p w14:paraId="03A4B978">
      <w:pPr>
        <w:pStyle w:val="2"/>
        <w:bidi w:val="0"/>
        <w:rPr>
          <w:rFonts w:asciiTheme="minorEastAsia" w:hAnsiTheme="minorEastAsia" w:eastAsiaTheme="minorEastAsia" w:cstheme="minorEastAsia"/>
          <w:b/>
          <w:bCs/>
          <w:color w:val="auto"/>
          <w:kern w:val="0"/>
          <w:highlight w:val="none"/>
          <w:u w:val="single"/>
        </w:rPr>
      </w:pPr>
      <w:bookmarkStart w:id="3" w:name="_Toc384"/>
      <w:r>
        <w:rPr>
          <w:rFonts w:hint="eastAsia"/>
        </w:rPr>
        <w:t>第一章 单一来源采购邀请书</w:t>
      </w:r>
      <w:bookmarkEnd w:id="0"/>
      <w:bookmarkEnd w:id="1"/>
      <w:bookmarkEnd w:id="3"/>
    </w:p>
    <w:p w14:paraId="163CD6C9">
      <w:pPr>
        <w:spacing w:line="800" w:lineRule="exact"/>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u w:val="single"/>
        </w:rPr>
        <w:t>北京麦迪克斯科技有限公司</w:t>
      </w:r>
      <w:r>
        <w:rPr>
          <w:rFonts w:hint="eastAsia" w:asciiTheme="minorEastAsia" w:hAnsiTheme="minorEastAsia" w:eastAsiaTheme="minorEastAsia" w:cstheme="minorEastAsia"/>
          <w:b/>
          <w:bCs/>
          <w:color w:val="auto"/>
          <w:kern w:val="0"/>
          <w:sz w:val="24"/>
          <w:highlight w:val="none"/>
        </w:rPr>
        <w:t>：</w:t>
      </w:r>
    </w:p>
    <w:p w14:paraId="69AC55B6">
      <w:pPr>
        <w:spacing w:line="8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u w:val="single"/>
          <w:lang w:val="en-US" w:eastAsia="zh-CN"/>
        </w:rPr>
        <w:t>六安市叶集区人民医院（市六院）心电信息管理系统采购项目</w:t>
      </w:r>
      <w:r>
        <w:rPr>
          <w:rFonts w:hint="eastAsia" w:asciiTheme="minorEastAsia" w:hAnsiTheme="minorEastAsia" w:eastAsiaTheme="minorEastAsia" w:cstheme="minorEastAsia"/>
          <w:color w:val="auto"/>
          <w:kern w:val="0"/>
          <w:sz w:val="24"/>
          <w:highlight w:val="none"/>
        </w:rPr>
        <w:t>采用单一来源方式进行采购，贵公司为本项目的唯一供应商。请贵公司按照本项目采购文件的要求，编制单一来源响应文件，在供应商须知前附表规定的递交截止时间前</w:t>
      </w:r>
      <w:r>
        <w:rPr>
          <w:rFonts w:hint="eastAsia" w:asciiTheme="minorEastAsia" w:hAnsiTheme="minorEastAsia" w:eastAsiaTheme="minorEastAsia" w:cstheme="minorEastAsia"/>
          <w:color w:val="auto"/>
          <w:kern w:val="0"/>
          <w:sz w:val="24"/>
          <w:highlight w:val="none"/>
          <w:lang w:val="en-US" w:eastAsia="zh-CN"/>
        </w:rPr>
        <w:t>现场</w:t>
      </w:r>
      <w:r>
        <w:rPr>
          <w:rFonts w:hint="eastAsia" w:asciiTheme="minorEastAsia" w:hAnsiTheme="minorEastAsia" w:eastAsiaTheme="minorEastAsia" w:cstheme="minorEastAsia"/>
          <w:color w:val="auto"/>
          <w:kern w:val="0"/>
          <w:sz w:val="24"/>
          <w:highlight w:val="none"/>
        </w:rPr>
        <w:t>递交，并就本项目的商务、技术和报价等有关问题，进行进一步的协商。</w:t>
      </w:r>
    </w:p>
    <w:p w14:paraId="5689EB78">
      <w:pPr>
        <w:spacing w:line="800" w:lineRule="exact"/>
        <w:rPr>
          <w:rFonts w:asciiTheme="minorEastAsia" w:hAnsiTheme="minorEastAsia" w:eastAsiaTheme="minorEastAsia" w:cstheme="minorEastAsia"/>
          <w:color w:val="auto"/>
          <w:kern w:val="0"/>
          <w:sz w:val="24"/>
          <w:highlight w:val="none"/>
        </w:rPr>
      </w:pPr>
    </w:p>
    <w:p w14:paraId="61EF2811">
      <w:pPr>
        <w:wordWrap w:val="0"/>
        <w:spacing w:line="800" w:lineRule="exact"/>
        <w:ind w:right="480" w:firstLine="3240" w:firstLineChars="1350"/>
        <w:jc w:val="righ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2026</w:t>
      </w: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lang w:val="en-US" w:eastAsia="zh-CN"/>
        </w:rPr>
        <w:t>27</w:t>
      </w:r>
      <w:r>
        <w:rPr>
          <w:rFonts w:hint="eastAsia" w:asciiTheme="minorEastAsia" w:hAnsiTheme="minorEastAsia" w:eastAsiaTheme="minorEastAsia" w:cstheme="minorEastAsia"/>
          <w:color w:val="auto"/>
          <w:kern w:val="0"/>
          <w:sz w:val="24"/>
          <w:highlight w:val="none"/>
        </w:rPr>
        <w:t>日</w:t>
      </w:r>
    </w:p>
    <w:p w14:paraId="59376D92">
      <w:pPr>
        <w:pStyle w:val="2"/>
        <w:bidi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bookmarkStart w:id="4" w:name="_Toc533314945"/>
      <w:bookmarkStart w:id="5" w:name="_Toc18671550"/>
      <w:bookmarkStart w:id="6" w:name="_Toc25424"/>
      <w:bookmarkStart w:id="7" w:name="_Toc24930"/>
      <w:r>
        <w:rPr>
          <w:rFonts w:hint="eastAsia" w:ascii="Arial" w:hAnsi="Arial" w:eastAsia="宋体"/>
        </w:rPr>
        <w:t xml:space="preserve">第二章  </w:t>
      </w:r>
      <w:bookmarkEnd w:id="4"/>
      <w:bookmarkStart w:id="8" w:name="_Toc533314946"/>
      <w:bookmarkStart w:id="9" w:name="_Toc272163828"/>
      <w:r>
        <w:rPr>
          <w:rFonts w:hint="eastAsia" w:ascii="Arial" w:hAnsi="Arial" w:eastAsia="宋体"/>
        </w:rPr>
        <w:t>供应商须知前附表</w:t>
      </w:r>
      <w:bookmarkEnd w:id="5"/>
      <w:bookmarkEnd w:id="6"/>
      <w:bookmarkEnd w:id="7"/>
    </w:p>
    <w:bookmarkEnd w:id="8"/>
    <w:bookmarkEnd w:id="9"/>
    <w:tbl>
      <w:tblPr>
        <w:tblStyle w:val="16"/>
        <w:tblW w:w="90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10"/>
        <w:gridCol w:w="1234"/>
        <w:gridCol w:w="7135"/>
      </w:tblGrid>
      <w:tr w14:paraId="20B046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486" w:hRule="atLeast"/>
          <w:jc w:val="center"/>
        </w:trPr>
        <w:tc>
          <w:tcPr>
            <w:tcW w:w="710" w:type="dxa"/>
            <w:vAlign w:val="center"/>
          </w:tcPr>
          <w:p w14:paraId="3C8757EB">
            <w:pPr>
              <w:spacing w:line="48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8369" w:type="dxa"/>
            <w:gridSpan w:val="2"/>
            <w:vAlign w:val="center"/>
          </w:tcPr>
          <w:p w14:paraId="23AD4989">
            <w:pPr>
              <w:spacing w:line="48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内      容</w:t>
            </w:r>
          </w:p>
        </w:tc>
      </w:tr>
      <w:tr w14:paraId="0DD647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73693044">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8369" w:type="dxa"/>
            <w:gridSpan w:val="2"/>
            <w:vAlign w:val="center"/>
          </w:tcPr>
          <w:p w14:paraId="309BCEAB">
            <w:pPr>
              <w:spacing w:line="480" w:lineRule="exac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六安市叶集区人民医院（市六院）心电信息管理系统采购项目</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val="en-US" w:eastAsia="zh-CN"/>
              </w:rPr>
              <w:t>LASYJQRMYY-XXK2026-09</w:t>
            </w:r>
          </w:p>
          <w:p w14:paraId="6F2F0E7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项目预算：</w:t>
            </w:r>
            <w:r>
              <w:rPr>
                <w:rFonts w:hint="eastAsia" w:asciiTheme="minorEastAsia" w:hAnsiTheme="minorEastAsia" w:eastAsiaTheme="minorEastAsia" w:cstheme="minorEastAsia"/>
                <w:color w:val="auto"/>
                <w:sz w:val="24"/>
                <w:highlight w:val="none"/>
                <w:lang w:val="en-US" w:eastAsia="zh-CN"/>
              </w:rPr>
              <w:t>3.00</w:t>
            </w:r>
            <w:r>
              <w:rPr>
                <w:rFonts w:hint="eastAsia" w:asciiTheme="minorEastAsia" w:hAnsiTheme="minorEastAsia" w:eastAsiaTheme="minorEastAsia" w:cstheme="minorEastAsia"/>
                <w:bCs/>
                <w:color w:val="auto"/>
                <w:sz w:val="24"/>
                <w:highlight w:val="none"/>
              </w:rPr>
              <w:t>万元</w:t>
            </w:r>
          </w:p>
        </w:tc>
      </w:tr>
      <w:tr w14:paraId="019714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0642689B">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8369" w:type="dxa"/>
            <w:gridSpan w:val="2"/>
            <w:vAlign w:val="center"/>
          </w:tcPr>
          <w:p w14:paraId="567BE743">
            <w:pPr>
              <w:spacing w:line="480" w:lineRule="exac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Cs/>
                <w:color w:val="auto"/>
                <w:sz w:val="24"/>
                <w:highlight w:val="none"/>
              </w:rPr>
              <w:t>采购人名称：</w:t>
            </w:r>
            <w:r>
              <w:rPr>
                <w:rFonts w:hint="eastAsia" w:asciiTheme="minorEastAsia" w:hAnsiTheme="minorEastAsia" w:eastAsiaTheme="minorEastAsia" w:cstheme="minorEastAsia"/>
                <w:bCs/>
                <w:color w:val="auto"/>
                <w:sz w:val="24"/>
                <w:highlight w:val="none"/>
                <w:lang w:val="en-US" w:eastAsia="zh-CN"/>
              </w:rPr>
              <w:t>六安市叶集区人民医院（六安市第六人民医院）</w:t>
            </w:r>
          </w:p>
          <w:p w14:paraId="4E4003B5">
            <w:pPr>
              <w:spacing w:line="48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地      址：六安市叶集区兴叶大道与民强北路交叉口</w:t>
            </w:r>
            <w:r>
              <w:rPr>
                <w:rFonts w:hint="eastAsia" w:ascii="宋体" w:hAnsi="宋体" w:cs="宋体"/>
                <w:color w:val="auto"/>
                <w:sz w:val="24"/>
                <w:highlight w:val="none"/>
              </w:rPr>
              <w:t xml:space="preserve">       </w:t>
            </w:r>
          </w:p>
          <w:p w14:paraId="1E3BF0C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联 系 方式：0564-6488599  </w:t>
            </w:r>
          </w:p>
        </w:tc>
      </w:tr>
      <w:tr w14:paraId="542177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406" w:hRule="atLeast"/>
          <w:jc w:val="center"/>
        </w:trPr>
        <w:tc>
          <w:tcPr>
            <w:tcW w:w="710" w:type="dxa"/>
            <w:vAlign w:val="center"/>
          </w:tcPr>
          <w:p w14:paraId="73F93F2B">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8369" w:type="dxa"/>
            <w:gridSpan w:val="2"/>
            <w:vAlign w:val="center"/>
          </w:tcPr>
          <w:p w14:paraId="42342B43">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代理机构名称：安徽同方工程咨询有限公司</w:t>
            </w:r>
            <w:r>
              <w:rPr>
                <w:rFonts w:asciiTheme="minorEastAsia" w:hAnsiTheme="minorEastAsia" w:eastAsiaTheme="minorEastAsia" w:cstheme="minorEastAsia"/>
                <w:bCs/>
                <w:color w:val="auto"/>
                <w:sz w:val="24"/>
                <w:highlight w:val="none"/>
              </w:rPr>
              <w:t xml:space="preserve"> </w:t>
            </w:r>
          </w:p>
          <w:p w14:paraId="1034226D">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址：六安市东城路上东阳光城6号楼5楼</w:t>
            </w:r>
            <w:r>
              <w:rPr>
                <w:rFonts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rPr>
              <w:t xml:space="preserve">          </w:t>
            </w:r>
          </w:p>
          <w:p w14:paraId="48843594">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 系 方 式：0564-3284233</w:t>
            </w:r>
          </w:p>
        </w:tc>
      </w:tr>
      <w:tr w14:paraId="01CC3D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3" w:hRule="atLeast"/>
          <w:jc w:val="center"/>
        </w:trPr>
        <w:tc>
          <w:tcPr>
            <w:tcW w:w="710" w:type="dxa"/>
            <w:vAlign w:val="center"/>
          </w:tcPr>
          <w:p w14:paraId="7ADEF06C">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4</w:t>
            </w:r>
          </w:p>
        </w:tc>
        <w:tc>
          <w:tcPr>
            <w:tcW w:w="8369" w:type="dxa"/>
            <w:gridSpan w:val="2"/>
            <w:vAlign w:val="center"/>
          </w:tcPr>
          <w:p w14:paraId="62EAFC1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项目类别：服务类</w:t>
            </w:r>
          </w:p>
        </w:tc>
      </w:tr>
      <w:tr w14:paraId="452E8F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603" w:hRule="atLeast"/>
          <w:jc w:val="center"/>
        </w:trPr>
        <w:tc>
          <w:tcPr>
            <w:tcW w:w="710" w:type="dxa"/>
            <w:vAlign w:val="center"/>
          </w:tcPr>
          <w:p w14:paraId="59BFFA14">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5</w:t>
            </w:r>
          </w:p>
        </w:tc>
        <w:tc>
          <w:tcPr>
            <w:tcW w:w="8369" w:type="dxa"/>
            <w:gridSpan w:val="2"/>
            <w:vAlign w:val="center"/>
          </w:tcPr>
          <w:p w14:paraId="1710A372">
            <w:pPr>
              <w:spacing w:line="48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服务时限：合同签订生效后30个日历天内，供应商须完成系统的开发、安装、调试，并达到可正式交付使用的状态。</w:t>
            </w:r>
          </w:p>
        </w:tc>
      </w:tr>
      <w:tr w14:paraId="2E8E3E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5" w:hRule="atLeast"/>
          <w:jc w:val="center"/>
        </w:trPr>
        <w:tc>
          <w:tcPr>
            <w:tcW w:w="710" w:type="dxa"/>
            <w:vAlign w:val="center"/>
          </w:tcPr>
          <w:p w14:paraId="44624BE5">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6</w:t>
            </w:r>
          </w:p>
        </w:tc>
        <w:tc>
          <w:tcPr>
            <w:tcW w:w="1234" w:type="dxa"/>
            <w:vAlign w:val="center"/>
          </w:tcPr>
          <w:p w14:paraId="79FFE8AD">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付款方式：</w:t>
            </w:r>
          </w:p>
        </w:tc>
        <w:tc>
          <w:tcPr>
            <w:tcW w:w="7135" w:type="dxa"/>
            <w:vAlign w:val="center"/>
          </w:tcPr>
          <w:p w14:paraId="0C8ED945">
            <w:pPr>
              <w:spacing w:line="48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en-US" w:eastAsia="zh-CN"/>
              </w:rPr>
              <w:t>验收合格后30日历天内，采购人支付合同价款的100%。</w:t>
            </w:r>
            <w:r>
              <w:rPr>
                <w:rFonts w:hint="eastAsia" w:asciiTheme="minorEastAsia" w:hAnsiTheme="minorEastAsia" w:eastAsiaTheme="minorEastAsia" w:cstheme="minorEastAsia"/>
                <w:color w:val="auto"/>
                <w:sz w:val="24"/>
                <w:highlight w:val="none"/>
                <w:lang w:val="en-US" w:eastAsia="zh-CN"/>
              </w:rPr>
              <w:br w:type="textWrapping"/>
            </w:r>
            <w:r>
              <w:rPr>
                <w:rFonts w:hint="eastAsia" w:asciiTheme="minorEastAsia" w:hAnsiTheme="minorEastAsia" w:eastAsiaTheme="minorEastAsia" w:cstheme="minorEastAsia"/>
                <w:b/>
                <w:bCs/>
                <w:color w:val="auto"/>
                <w:sz w:val="24"/>
                <w:highlight w:val="none"/>
              </w:rPr>
              <w:t>（供应商提交的响应文件中如有关于付款条件的表述与单一来源文</w:t>
            </w:r>
          </w:p>
          <w:p w14:paraId="308E6858">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件规定不符，将被视为实质性不响应，将导致响应无效）</w:t>
            </w:r>
          </w:p>
        </w:tc>
      </w:tr>
      <w:tr w14:paraId="0485E9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14:paraId="4A149175">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7</w:t>
            </w:r>
          </w:p>
        </w:tc>
        <w:tc>
          <w:tcPr>
            <w:tcW w:w="8369" w:type="dxa"/>
            <w:gridSpan w:val="2"/>
            <w:vAlign w:val="center"/>
          </w:tcPr>
          <w:p w14:paraId="16AC5827">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履约保证金：1、成交供应商在签订合同时应向采购人提交合同总价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%的履约保证金（最高缴纳比例不得超过合同金额的2.5%）。</w:t>
            </w:r>
          </w:p>
          <w:p w14:paraId="0EDBB988">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2、成交供应商可以通过转账、网银支付、汇票、支票、保证保险、担保保函、银行履约保函等方式提交履约保证金。</w:t>
            </w:r>
          </w:p>
          <w:p w14:paraId="359F3F50">
            <w:pPr>
              <w:pStyle w:val="15"/>
              <w:spacing w:after="0" w:line="480" w:lineRule="exact"/>
              <w:ind w:firstLine="0"/>
              <w:rPr>
                <w:color w:val="auto"/>
                <w:highlight w:val="none"/>
              </w:rPr>
            </w:pPr>
            <w:r>
              <w:rPr>
                <w:rFonts w:hint="eastAsia"/>
                <w:color w:val="auto"/>
                <w:highlight w:val="none"/>
              </w:rPr>
              <w:t>3、项目验收结束后应及时退还履约保证金。</w:t>
            </w:r>
          </w:p>
        </w:tc>
      </w:tr>
      <w:tr w14:paraId="1FB6D0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14:paraId="0CE14431">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p>
        </w:tc>
        <w:tc>
          <w:tcPr>
            <w:tcW w:w="8369" w:type="dxa"/>
            <w:gridSpan w:val="2"/>
            <w:vAlign w:val="center"/>
          </w:tcPr>
          <w:p w14:paraId="1B3DB8E0">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响应有效期：公示结束60日内。</w:t>
            </w:r>
          </w:p>
        </w:tc>
      </w:tr>
      <w:tr w14:paraId="24963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4D91CB39">
            <w:pPr>
              <w:spacing w:line="480" w:lineRule="exact"/>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8369" w:type="dxa"/>
            <w:gridSpan w:val="2"/>
            <w:vAlign w:val="center"/>
          </w:tcPr>
          <w:p w14:paraId="1F5CD20C">
            <w:pPr>
              <w:spacing w:line="480" w:lineRule="exact"/>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勘察现场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请各供应商联系采购单位自行勘踏。 </w:t>
            </w:r>
          </w:p>
        </w:tc>
      </w:tr>
      <w:tr w14:paraId="1114D2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7DF709AD">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8369" w:type="dxa"/>
            <w:gridSpan w:val="2"/>
            <w:vAlign w:val="center"/>
          </w:tcPr>
          <w:p w14:paraId="3B521C2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单一来源采购响应文件份数及要求：正本1份、副本</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份，胶装成册、密封提交。</w:t>
            </w:r>
          </w:p>
        </w:tc>
      </w:tr>
      <w:tr w14:paraId="657878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6B52BFD5">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8369" w:type="dxa"/>
            <w:gridSpan w:val="2"/>
            <w:vAlign w:val="center"/>
          </w:tcPr>
          <w:p w14:paraId="5922821E">
            <w:pPr>
              <w:pStyle w:val="29"/>
              <w:pBdr>
                <w:bottom w:val="none" w:color="auto" w:sz="0" w:space="0"/>
              </w:pBdr>
              <w:tabs>
                <w:tab w:val="left" w:pos="420"/>
              </w:tabs>
              <w:adjustRightInd/>
              <w:spacing w:line="4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质疑与答疑：1、供应商如果对采购文件内容有相关疑问，可以发邮件向采购代理机构提出（疑问文件以文档形式提供，如WORD文档等）。代理机构邮箱地址为1610920774@qq.com；</w:t>
            </w:r>
          </w:p>
          <w:p w14:paraId="3DDB9B7B">
            <w:pPr>
              <w:spacing w:line="480" w:lineRule="exact"/>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2、提交成功后疑问文件即传至采购人（采购代理机构），后续答疑以书面形式通知。</w:t>
            </w:r>
          </w:p>
        </w:tc>
      </w:tr>
      <w:tr w14:paraId="71D95C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364" w:hRule="atLeast"/>
          <w:jc w:val="center"/>
        </w:trPr>
        <w:tc>
          <w:tcPr>
            <w:tcW w:w="710" w:type="dxa"/>
            <w:vAlign w:val="center"/>
          </w:tcPr>
          <w:p w14:paraId="3DD31A94">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w:t>
            </w:r>
          </w:p>
        </w:tc>
        <w:tc>
          <w:tcPr>
            <w:tcW w:w="8369" w:type="dxa"/>
            <w:gridSpan w:val="2"/>
            <w:vAlign w:val="center"/>
          </w:tcPr>
          <w:p w14:paraId="6E4EC9EC">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协商时间及方式：</w:t>
            </w:r>
          </w:p>
          <w:p w14:paraId="5CB7A03B">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1、协商时间：</w:t>
            </w:r>
            <w:r>
              <w:rPr>
                <w:rFonts w:hint="eastAsia" w:asciiTheme="minorEastAsia" w:hAnsiTheme="minorEastAsia" w:eastAsiaTheme="minorEastAsia" w:cstheme="minorEastAsia"/>
                <w:bCs/>
                <w:color w:val="auto"/>
                <w:sz w:val="24"/>
                <w:highlight w:val="none"/>
                <w:u w:val="single"/>
                <w:lang w:val="en-US" w:eastAsia="zh-CN"/>
              </w:rPr>
              <w:t>2026</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lang w:val="en-US" w:eastAsia="zh-CN"/>
              </w:rPr>
              <w:t>1</w:t>
            </w:r>
            <w:r>
              <w:rPr>
                <w:rFonts w:hint="eastAsia" w:asciiTheme="minorEastAsia" w:hAnsiTheme="minorEastAsia" w:eastAsiaTheme="minorEastAsia" w:cstheme="minorEastAsia"/>
                <w:bCs/>
                <w:color w:val="auto"/>
                <w:sz w:val="24"/>
                <w:highlight w:val="none"/>
              </w:rPr>
              <w:t>日</w:t>
            </w:r>
            <w:r>
              <w:rPr>
                <w:rFonts w:hint="eastAsia" w:asciiTheme="minorEastAsia" w:hAnsiTheme="minorEastAsia" w:eastAsiaTheme="minorEastAsia" w:cstheme="minorEastAsia"/>
                <w:bCs/>
                <w:color w:val="auto"/>
                <w:sz w:val="24"/>
                <w:highlight w:val="none"/>
                <w:u w:val="single"/>
                <w:lang w:val="en-US" w:eastAsia="zh-CN"/>
              </w:rPr>
              <w:t>下</w:t>
            </w:r>
            <w:r>
              <w:rPr>
                <w:rFonts w:hint="eastAsia" w:asciiTheme="minorEastAsia" w:hAnsiTheme="minorEastAsia" w:eastAsiaTheme="minorEastAsia" w:cstheme="minorEastAsia"/>
                <w:bCs/>
                <w:color w:val="auto"/>
                <w:sz w:val="24"/>
                <w:highlight w:val="none"/>
              </w:rPr>
              <w:t>午</w:t>
            </w:r>
            <w:r>
              <w:rPr>
                <w:rFonts w:hint="eastAsia" w:asciiTheme="minorEastAsia" w:hAnsiTheme="minorEastAsia" w:eastAsiaTheme="minorEastAsia" w:cstheme="minorEastAsia"/>
                <w:bCs/>
                <w:color w:val="auto"/>
                <w:sz w:val="24"/>
                <w:highlight w:val="none"/>
                <w:u w:val="single"/>
                <w:lang w:val="en-US" w:eastAsia="zh-CN"/>
              </w:rPr>
              <w:t>14时</w:t>
            </w:r>
            <w:r>
              <w:rPr>
                <w:rFonts w:hint="eastAsia" w:asciiTheme="minorEastAsia" w:hAnsiTheme="minorEastAsia" w:eastAsiaTheme="minorEastAsia" w:cstheme="minorEastAsia"/>
                <w:bCs/>
                <w:color w:val="auto"/>
                <w:sz w:val="24"/>
                <w:highlight w:val="none"/>
              </w:rPr>
              <w:t>整</w:t>
            </w:r>
          </w:p>
          <w:p w14:paraId="7E51BF3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2、协商方式：</w:t>
            </w:r>
            <w:r>
              <w:rPr>
                <w:rFonts w:hint="eastAsia" w:asciiTheme="minorEastAsia" w:hAnsiTheme="minorEastAsia" w:eastAsiaTheme="minorEastAsia" w:cstheme="minorEastAsia"/>
                <w:bCs/>
                <w:color w:val="auto"/>
                <w:sz w:val="24"/>
                <w:highlight w:val="none"/>
                <w:lang w:val="en-US" w:eastAsia="zh-CN"/>
              </w:rPr>
              <w:t>现场</w:t>
            </w:r>
            <w:r>
              <w:rPr>
                <w:rFonts w:hint="eastAsia" w:asciiTheme="minorEastAsia" w:hAnsiTheme="minorEastAsia" w:eastAsiaTheme="minorEastAsia" w:cstheme="minorEastAsia"/>
                <w:bCs/>
                <w:color w:val="auto"/>
                <w:sz w:val="24"/>
                <w:highlight w:val="none"/>
              </w:rPr>
              <w:t>协商</w:t>
            </w:r>
          </w:p>
        </w:tc>
      </w:tr>
      <w:tr w14:paraId="4F2784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4C3BF72B">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w:t>
            </w:r>
          </w:p>
        </w:tc>
        <w:tc>
          <w:tcPr>
            <w:tcW w:w="8369" w:type="dxa"/>
            <w:gridSpan w:val="2"/>
            <w:vAlign w:val="center"/>
          </w:tcPr>
          <w:p w14:paraId="638B13DC">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响应文件递交截止时间：同本项目协商时间。</w:t>
            </w:r>
          </w:p>
        </w:tc>
      </w:tr>
      <w:tr w14:paraId="14F76F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2E419074">
            <w:pPr>
              <w:spacing w:line="480" w:lineRule="exact"/>
              <w:jc w:val="center"/>
              <w:rPr>
                <w:rFonts w:hint="eastAsia" w:asciiTheme="minorEastAsia" w:hAnsiTheme="minorEastAsia" w:eastAsiaTheme="minorEastAsia" w:cstheme="minorEastAsia"/>
                <w:color w:val="auto"/>
                <w:sz w:val="24"/>
                <w:highlight w:val="none"/>
                <w:lang w:eastAsia="zh-CN"/>
              </w:rPr>
            </w:pPr>
            <w:bookmarkStart w:id="10" w:name="_Hlk450145192"/>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p>
        </w:tc>
        <w:tc>
          <w:tcPr>
            <w:tcW w:w="8369" w:type="dxa"/>
            <w:gridSpan w:val="2"/>
            <w:vAlign w:val="center"/>
          </w:tcPr>
          <w:p w14:paraId="3BF9F30C">
            <w:pPr>
              <w:pStyle w:val="29"/>
              <w:numPr>
                <w:ilvl w:val="0"/>
                <w:numId w:val="1"/>
              </w:numPr>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存在以下不良信用记录情形之一的，不得推荐为成交候选供应商：</w:t>
            </w:r>
          </w:p>
          <w:p w14:paraId="733E6535">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（1）供应商被人民法院列入失信被执行人的；</w:t>
            </w:r>
          </w:p>
          <w:p w14:paraId="44DD1AA9">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（2）供应商被市场监督管理部门列入企业经营异常名录的；</w:t>
            </w:r>
          </w:p>
          <w:p w14:paraId="591F3D17">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（3）供应商被税务部门列入重大税收违法案件当事人名单的；</w:t>
            </w:r>
          </w:p>
          <w:p w14:paraId="3894F929">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（4）供应商被政府采购监管部门列入政府采购严重违法失信行为记录名单的。</w:t>
            </w:r>
          </w:p>
          <w:p w14:paraId="5CDBECE3">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2、联合体供应商，联合体任何一方存在上述不良信用记录的，视同联合体存在不良信用记录。</w:t>
            </w:r>
          </w:p>
          <w:p w14:paraId="19B99FB8">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3、不良信用记录查询渠道如下：</w:t>
            </w:r>
          </w:p>
          <w:p w14:paraId="6136CFD8">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（1）失信被执行人：信用中国官网（www.creditchina.gov.cn）</w:t>
            </w:r>
          </w:p>
          <w:p w14:paraId="5FE7829A">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（2）企业经营异常名录：信用中国官网（www.creditchina.gov.cn）</w:t>
            </w:r>
          </w:p>
          <w:p w14:paraId="0C4C6C78">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（3）重大税收违法案件当事人名单：信用中国官网（www.creditchina.gov.cn）</w:t>
            </w:r>
          </w:p>
          <w:p w14:paraId="482063F1">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（4）政府采购严重违法失信行为记录名单：中国政府采购官网（www.ccgp.gov.cn）</w:t>
            </w:r>
          </w:p>
          <w:p w14:paraId="426127BD">
            <w:pPr>
              <w:spacing w:line="480" w:lineRule="exact"/>
              <w:rPr>
                <w:rFonts w:asciiTheme="minorEastAsia" w:hAnsiTheme="minorEastAsia" w:eastAsiaTheme="minorEastAsia" w:cstheme="minorEastAsia"/>
                <w:color w:val="auto"/>
                <w:sz w:val="24"/>
                <w:highlight w:val="none"/>
              </w:rPr>
            </w:pPr>
            <w:r>
              <w:rPr>
                <w:rFonts w:hint="eastAsia" w:ascii="宋体" w:hAnsi="宋体"/>
                <w:bCs/>
                <w:color w:val="auto"/>
                <w:kern w:val="2"/>
                <w:szCs w:val="24"/>
                <w:highlight w:val="none"/>
              </w:rPr>
              <w:t>4</w:t>
            </w:r>
            <w:r>
              <w:rPr>
                <w:rFonts w:hint="eastAsia" w:ascii="宋体" w:hAnsi="宋体" w:eastAsia="宋体" w:cs="Times New Roman"/>
                <w:bCs/>
                <w:color w:val="auto"/>
                <w:kern w:val="2"/>
                <w:sz w:val="24"/>
                <w:szCs w:val="24"/>
                <w:highlight w:val="none"/>
                <w:lang w:val="en-US" w:eastAsia="zh-CN" w:bidi="ar-SA"/>
              </w:rPr>
              <w:t>、联合体投标的，所有联合体成员均须加盖公章后制成扫描件上传。如有虚假，采购人将取消其成交资格并上报相关监督管理部门按有关规定处理。</w:t>
            </w:r>
          </w:p>
        </w:tc>
      </w:tr>
      <w:tr w14:paraId="24FAE1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2D011F32">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8369" w:type="dxa"/>
            <w:gridSpan w:val="2"/>
            <w:vAlign w:val="center"/>
          </w:tcPr>
          <w:p w14:paraId="41AAA45A">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递交响应文件注意事项：响应文件必须在询价截止时间前递交。</w:t>
            </w:r>
          </w:p>
        </w:tc>
      </w:tr>
      <w:tr w14:paraId="578C3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84" w:hRule="atLeast"/>
          <w:jc w:val="center"/>
        </w:trPr>
        <w:tc>
          <w:tcPr>
            <w:tcW w:w="710" w:type="dxa"/>
            <w:vAlign w:val="center"/>
          </w:tcPr>
          <w:p w14:paraId="71FA7108">
            <w:pPr>
              <w:tabs>
                <w:tab w:val="left" w:pos="441"/>
              </w:tabs>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16</w:t>
            </w:r>
          </w:p>
        </w:tc>
        <w:tc>
          <w:tcPr>
            <w:tcW w:w="8369" w:type="dxa"/>
            <w:gridSpan w:val="2"/>
            <w:vAlign w:val="center"/>
          </w:tcPr>
          <w:p w14:paraId="079A1092">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1、支付方</w:t>
            </w:r>
            <w:r>
              <w:rPr>
                <w:rFonts w:hint="eastAsia" w:ascii="宋体" w:hAnsi="宋体" w:eastAsia="宋体" w:cs="宋体"/>
                <w:b w:val="0"/>
                <w:bCs w:val="0"/>
                <w:color w:val="auto"/>
                <w:sz w:val="24"/>
                <w:highlight w:val="none"/>
                <w:lang w:val="en-US" w:eastAsia="zh-CN"/>
              </w:rPr>
              <w:t>：</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 xml:space="preserve">采购人  </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成交供应商</w:t>
            </w:r>
          </w:p>
          <w:p w14:paraId="34912F95">
            <w:pPr>
              <w:spacing w:line="500" w:lineRule="exact"/>
              <w:jc w:val="left"/>
              <w:rPr>
                <w:rFonts w:hint="default"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2、收费标准：</w:t>
            </w:r>
            <w:r>
              <w:rPr>
                <w:rFonts w:hint="eastAsia" w:ascii="宋体" w:hAnsi="宋体" w:cs="宋体"/>
                <w:b w:val="0"/>
                <w:bCs w:val="0"/>
                <w:color w:val="auto"/>
                <w:sz w:val="24"/>
                <w:highlight w:val="none"/>
                <w:lang w:val="en-US" w:eastAsia="zh-CN"/>
              </w:rPr>
              <w:t>本项目为固定收费3500.00元。</w:t>
            </w:r>
          </w:p>
          <w:p w14:paraId="3E89107F">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3、收取方式：</w:t>
            </w:r>
            <w:r>
              <w:rPr>
                <w:rFonts w:hint="eastAsia" w:ascii="宋体" w:hAnsi="宋体" w:eastAsia="宋体" w:cs="宋体"/>
                <w:b w:val="0"/>
                <w:bCs w:val="0"/>
                <w:color w:val="auto"/>
                <w:sz w:val="24"/>
                <w:highlight w:val="none"/>
                <w:lang w:val="en-US" w:eastAsia="zh-CN"/>
              </w:rPr>
              <w:t>银行转账。</w:t>
            </w:r>
          </w:p>
          <w:p w14:paraId="6A26A041">
            <w:pPr>
              <w:spacing w:line="5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4、代理服务费缴纳账户：</w:t>
            </w:r>
          </w:p>
          <w:p w14:paraId="11622707">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户名：安徽同方工程咨询有限公司 </w:t>
            </w:r>
          </w:p>
          <w:p w14:paraId="4AD86D74">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开户行：徽商银行六安解放路恒源支行 </w:t>
            </w:r>
          </w:p>
          <w:p w14:paraId="2E6D789B">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账号：000000602003900000243</w:t>
            </w:r>
          </w:p>
          <w:p w14:paraId="2E377F3A">
            <w:pPr>
              <w:pStyle w:val="15"/>
              <w:ind w:left="0" w:leftChars="0" w:firstLine="0" w:firstLineChars="0"/>
              <w:rPr>
                <w:rFonts w:hint="eastAsia" w:ascii="Times New Roman" w:hAnsi="Times New Roman"/>
                <w:b w:val="0"/>
                <w:bCs w:val="0"/>
                <w:color w:val="auto"/>
                <w:highlight w:val="none"/>
                <w:lang w:val="en-US" w:eastAsia="zh-CN"/>
              </w:rPr>
            </w:pPr>
            <w:r>
              <w:rPr>
                <w:rFonts w:hint="eastAsia" w:ascii="宋体" w:hAnsi="宋体" w:eastAsia="宋体" w:cs="宋体"/>
                <w:b/>
                <w:bCs/>
                <w:color w:val="auto"/>
                <w:sz w:val="24"/>
                <w:highlight w:val="none"/>
                <w:lang w:val="en-US" w:eastAsia="zh-CN"/>
              </w:rPr>
              <w:t>5、代理服务费详见成交结果公告；代理服务费须从成交供应商账户转出，并备注项目名称。</w:t>
            </w:r>
          </w:p>
        </w:tc>
      </w:tr>
    </w:tbl>
    <w:p w14:paraId="145FB7C6">
      <w:pPr>
        <w:pStyle w:val="2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11" w:name="_Toc533314947"/>
      <w:bookmarkStart w:id="12" w:name="_Toc272163829"/>
    </w:p>
    <w:p w14:paraId="07126A19">
      <w:pPr>
        <w:pStyle w:val="2"/>
        <w:bidi w:val="0"/>
        <w:ind w:left="0" w:leftChars="0" w:firstLine="0" w:firstLineChars="0"/>
        <w:jc w:val="center"/>
        <w:rPr>
          <w:rFonts w:ascii="宋体" w:hAnsi="宋体" w:eastAsia="宋体" w:cs="宋体"/>
          <w:color w:val="auto"/>
          <w:sz w:val="24"/>
          <w:szCs w:val="24"/>
          <w:highlight w:val="none"/>
        </w:rPr>
      </w:pPr>
      <w:bookmarkStart w:id="13" w:name="_Toc11917"/>
      <w:bookmarkStart w:id="14" w:name="_Toc18671555"/>
      <w:bookmarkStart w:id="15" w:name="_Toc6652"/>
      <w:r>
        <w:rPr>
          <w:rFonts w:hint="eastAsia" w:ascii="Arial" w:hAnsi="Arial" w:eastAsia="宋体"/>
        </w:rPr>
        <w:t>第三章  供应商须知</w:t>
      </w:r>
      <w:bookmarkEnd w:id="10"/>
      <w:bookmarkEnd w:id="11"/>
      <w:bookmarkEnd w:id="12"/>
      <w:bookmarkEnd w:id="13"/>
      <w:bookmarkEnd w:id="14"/>
      <w:bookmarkEnd w:id="15"/>
    </w:p>
    <w:p w14:paraId="5A3F7123">
      <w:pPr>
        <w:pStyle w:val="3"/>
        <w:spacing w:before="120" w:beforeLines="50" w:after="120" w:afterLines="50" w:line="500" w:lineRule="exact"/>
        <w:jc w:val="center"/>
        <w:rPr>
          <w:rFonts w:ascii="宋体" w:hAnsi="宋体" w:eastAsia="宋体" w:cs="宋体"/>
          <w:color w:val="auto"/>
          <w:sz w:val="24"/>
          <w:szCs w:val="24"/>
          <w:highlight w:val="none"/>
        </w:rPr>
      </w:pPr>
      <w:bookmarkStart w:id="16" w:name="_Toc18671556"/>
      <w:bookmarkStart w:id="17" w:name="_Toc2350"/>
      <w:r>
        <w:rPr>
          <w:rFonts w:hint="eastAsia" w:ascii="宋体" w:hAnsi="宋体" w:eastAsia="宋体" w:cs="宋体"/>
          <w:color w:val="auto"/>
          <w:sz w:val="24"/>
          <w:szCs w:val="24"/>
          <w:highlight w:val="none"/>
        </w:rPr>
        <w:t>一、总则</w:t>
      </w:r>
      <w:bookmarkEnd w:id="16"/>
      <w:bookmarkEnd w:id="17"/>
    </w:p>
    <w:p w14:paraId="668C5496">
      <w:pPr>
        <w:spacing w:line="500" w:lineRule="exact"/>
        <w:rPr>
          <w:rFonts w:asciiTheme="minorEastAsia" w:hAnsiTheme="minorEastAsia" w:eastAsiaTheme="minorEastAsia" w:cstheme="minorEastAsia"/>
          <w:b/>
          <w:color w:val="auto"/>
          <w:sz w:val="24"/>
          <w:highlight w:val="none"/>
        </w:rPr>
      </w:pPr>
      <w:bookmarkStart w:id="18" w:name="_Toc533314952"/>
      <w:bookmarkStart w:id="19" w:name="_Toc272163834"/>
      <w:r>
        <w:rPr>
          <w:rFonts w:hint="eastAsia" w:asciiTheme="minorEastAsia" w:hAnsiTheme="minorEastAsia" w:eastAsiaTheme="minorEastAsia" w:cstheme="minorEastAsia"/>
          <w:b/>
          <w:color w:val="auto"/>
          <w:sz w:val="24"/>
          <w:highlight w:val="none"/>
        </w:rPr>
        <w:t>1、适用范围</w:t>
      </w:r>
    </w:p>
    <w:p w14:paraId="5DDE925F">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1.1本文件是根据《中华人民共和国政府采购法》等相关法律、法规制订。</w:t>
      </w:r>
    </w:p>
    <w:p w14:paraId="25A3EB10">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1.2凡在六安市从事服务类政府采购单一来源项目，均适用本范本。</w:t>
      </w:r>
    </w:p>
    <w:p w14:paraId="7B66E5B0">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1.3本采购文件的最终解释权归项目单位所有。</w:t>
      </w:r>
    </w:p>
    <w:p w14:paraId="63E156C6">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14:paraId="255EA261">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b/>
          <w:color w:val="auto"/>
          <w:sz w:val="24"/>
          <w:highlight w:val="none"/>
        </w:rPr>
        <w:t>服务：</w:t>
      </w:r>
      <w:r>
        <w:rPr>
          <w:rFonts w:hint="eastAsia" w:asciiTheme="minorEastAsia" w:hAnsiTheme="minorEastAsia" w:eastAsiaTheme="minorEastAsia" w:cstheme="minorEastAsia"/>
          <w:color w:val="auto"/>
          <w:sz w:val="24"/>
          <w:highlight w:val="none"/>
        </w:rPr>
        <w:t>既是指本范本适用于服务采购。</w:t>
      </w:r>
    </w:p>
    <w:p w14:paraId="0E5FBED7">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w:t>
      </w:r>
      <w:r>
        <w:rPr>
          <w:rFonts w:hint="eastAsia" w:asciiTheme="minorEastAsia" w:hAnsiTheme="minorEastAsia" w:eastAsiaTheme="minorEastAsia" w:cstheme="minorEastAsia"/>
          <w:b/>
          <w:color w:val="auto"/>
          <w:sz w:val="24"/>
          <w:highlight w:val="none"/>
        </w:rPr>
        <w:t>采购人：</w:t>
      </w:r>
      <w:r>
        <w:rPr>
          <w:rFonts w:hint="eastAsia" w:asciiTheme="minorEastAsia" w:hAnsiTheme="minorEastAsia" w:eastAsiaTheme="minorEastAsia" w:cstheme="minorEastAsia"/>
          <w:color w:val="auto"/>
          <w:sz w:val="24"/>
          <w:highlight w:val="none"/>
        </w:rPr>
        <w:t>是指具体负责和从事采购业务的集中采购机构、社会中介代理机构和项目单位（采购人）的总称。</w:t>
      </w:r>
    </w:p>
    <w:p w14:paraId="2BE092E5">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3、供应商资格要求：</w:t>
      </w:r>
      <w:r>
        <w:rPr>
          <w:rFonts w:hint="eastAsia" w:asciiTheme="minorEastAsia" w:hAnsiTheme="minorEastAsia" w:eastAsiaTheme="minorEastAsia" w:cstheme="minorEastAsia"/>
          <w:color w:val="auto"/>
          <w:sz w:val="24"/>
          <w:highlight w:val="none"/>
        </w:rPr>
        <w:t>符合政府采购法等法律法规的相关规定。</w:t>
      </w:r>
    </w:p>
    <w:p w14:paraId="4DB35D79">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4、供应商参与采购活动的费用</w:t>
      </w:r>
    </w:p>
    <w:p w14:paraId="13BF0E09">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4.1供应商必须自行承担所有与参加采购活动的有关费用。不论结果如何，采购人在任何情况下均无义务和责任承担这些费用。</w:t>
      </w:r>
    </w:p>
    <w:p w14:paraId="6CD461D9">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5、保密</w:t>
      </w:r>
    </w:p>
    <w:p w14:paraId="1BC1E8BD">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参与采购活动的各方主体应对服务类单一来源采购文件和单一来源响应文件中的商业和技术等秘密保密，违者应对由此造成的后果承担法律责任。</w:t>
      </w:r>
    </w:p>
    <w:p w14:paraId="071DFC55">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6、语言文字</w:t>
      </w:r>
    </w:p>
    <w:p w14:paraId="0CDA56DF">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单一来源及其响应文件使用的语言文字</w:t>
      </w:r>
      <w:r>
        <w:rPr>
          <w:rFonts w:hint="eastAsia" w:asciiTheme="minorEastAsia" w:hAnsiTheme="minorEastAsia" w:eastAsiaTheme="minorEastAsia" w:cstheme="minorEastAsia"/>
          <w:color w:val="auto"/>
          <w:sz w:val="24"/>
          <w:highlight w:val="none"/>
          <w:lang w:eastAsia="zh-CN"/>
        </w:rPr>
        <w:t>以及</w:t>
      </w:r>
      <w:r>
        <w:rPr>
          <w:rFonts w:hint="eastAsia" w:asciiTheme="minorEastAsia" w:hAnsiTheme="minorEastAsia" w:eastAsiaTheme="minorEastAsia" w:cstheme="minorEastAsia"/>
          <w:color w:val="auto"/>
          <w:sz w:val="24"/>
          <w:highlight w:val="none"/>
        </w:rPr>
        <w:t>供应商与采购人就单一来源采购相关事项的所有往来函电均须使用简体中文（部分专用术语需使用外文的除外）。</w:t>
      </w:r>
    </w:p>
    <w:p w14:paraId="5E5E6807">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7、计量单位</w:t>
      </w:r>
    </w:p>
    <w:p w14:paraId="607DA1D6">
      <w:pPr>
        <w:pStyle w:val="27"/>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所有计量均采用中华人民共和国法定计量单位。</w:t>
      </w:r>
    </w:p>
    <w:p w14:paraId="21C2578A">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8、勘察现场</w:t>
      </w:r>
    </w:p>
    <w:p w14:paraId="7AF041CE">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采购人根据项目的具体情况，可以组织单一来源供应商现场考察。</w:t>
      </w:r>
    </w:p>
    <w:p w14:paraId="292B10FD">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9、偏离</w:t>
      </w:r>
    </w:p>
    <w:p w14:paraId="035DEDD9">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若服务类单一来源采购文件允许响应文件偏离某些要求，偏离应当符合单一来源文件规定的偏离范围和幅度。</w:t>
      </w:r>
    </w:p>
    <w:p w14:paraId="203EAB97">
      <w:pPr>
        <w:pStyle w:val="3"/>
        <w:spacing w:before="120" w:beforeLines="50" w:after="120" w:afterLines="50" w:line="500" w:lineRule="exact"/>
        <w:jc w:val="center"/>
        <w:rPr>
          <w:rFonts w:ascii="宋体" w:hAnsi="宋体" w:eastAsia="宋体" w:cs="宋体"/>
          <w:color w:val="auto"/>
          <w:sz w:val="24"/>
          <w:szCs w:val="24"/>
          <w:highlight w:val="none"/>
        </w:rPr>
      </w:pPr>
      <w:bookmarkStart w:id="20" w:name="_Toc18671557"/>
      <w:bookmarkStart w:id="21" w:name="_Toc12653"/>
      <w:r>
        <w:rPr>
          <w:rFonts w:hint="eastAsia" w:ascii="宋体" w:hAnsi="宋体" w:eastAsia="宋体" w:cs="宋体"/>
          <w:color w:val="auto"/>
          <w:sz w:val="24"/>
          <w:szCs w:val="24"/>
          <w:highlight w:val="none"/>
        </w:rPr>
        <w:t>二、</w:t>
      </w:r>
      <w:bookmarkEnd w:id="20"/>
      <w:r>
        <w:rPr>
          <w:rFonts w:hint="eastAsia" w:ascii="宋体" w:hAnsi="宋体" w:eastAsia="宋体" w:cs="宋体"/>
          <w:color w:val="auto"/>
          <w:sz w:val="24"/>
          <w:szCs w:val="24"/>
          <w:highlight w:val="none"/>
        </w:rPr>
        <w:t>服务类单一来源采购文件</w:t>
      </w:r>
      <w:bookmarkEnd w:id="21"/>
    </w:p>
    <w:p w14:paraId="7B82F8DF">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10采购文件构成</w:t>
      </w:r>
    </w:p>
    <w:p w14:paraId="358D081A">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10.1采购文件包括：</w:t>
      </w:r>
    </w:p>
    <w:p w14:paraId="11093D6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  单一来源采购邀请书</w:t>
      </w:r>
    </w:p>
    <w:p w14:paraId="1ACC3C4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供应商须知前附表</w:t>
      </w:r>
    </w:p>
    <w:p w14:paraId="206BD6D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  供应商须知</w:t>
      </w:r>
    </w:p>
    <w:p w14:paraId="510939BB">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采购需求</w:t>
      </w:r>
    </w:p>
    <w:p w14:paraId="1EA654D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  单一来源响应文件</w:t>
      </w:r>
    </w:p>
    <w:p w14:paraId="5609B582">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10.2供应商应认真阅读和充分理解服务类单一来源采购文件中所有的内容。如果其单一来源响应文件没有满足服务类单一来源采购文件的有关要求，其风险由供应商自行承担。</w:t>
      </w:r>
    </w:p>
    <w:p w14:paraId="4FFA4F7C">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11、服务类单一来源采购文件的澄清和修改</w:t>
      </w:r>
    </w:p>
    <w:p w14:paraId="53913DCF">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11.1采购人认为服务类单一来源采购文件未表述清楚的，可以进行澄清并书面通知供应商。</w:t>
      </w:r>
    </w:p>
    <w:p w14:paraId="5D194550">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11.2 供应商认为服务类单一来源采购文件表述不清的，可以要求采购人作出解释。 </w:t>
      </w:r>
    </w:p>
    <w:p w14:paraId="0B5A7C38">
      <w:pPr>
        <w:pStyle w:val="3"/>
        <w:spacing w:before="120" w:beforeLines="50" w:after="120" w:afterLines="50" w:line="480" w:lineRule="exact"/>
        <w:jc w:val="center"/>
        <w:rPr>
          <w:rFonts w:ascii="宋体" w:hAnsi="宋体" w:eastAsia="宋体" w:cs="宋体"/>
          <w:color w:val="auto"/>
          <w:sz w:val="24"/>
          <w:szCs w:val="24"/>
          <w:highlight w:val="none"/>
        </w:rPr>
      </w:pPr>
      <w:bookmarkStart w:id="22" w:name="_Toc18671558"/>
      <w:bookmarkStart w:id="23" w:name="_Toc2231"/>
      <w:r>
        <w:rPr>
          <w:rFonts w:hint="eastAsia" w:ascii="宋体" w:hAnsi="宋体" w:eastAsia="宋体" w:cs="宋体"/>
          <w:color w:val="auto"/>
          <w:sz w:val="24"/>
          <w:szCs w:val="24"/>
          <w:highlight w:val="none"/>
        </w:rPr>
        <w:t>三、单一来源响应文件的编制</w:t>
      </w:r>
      <w:bookmarkEnd w:id="22"/>
      <w:bookmarkEnd w:id="23"/>
    </w:p>
    <w:p w14:paraId="0797F987">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12、单一来源响应文件构成</w:t>
      </w:r>
    </w:p>
    <w:p w14:paraId="7A090E8B">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12.1响应文件必须按照本文件规定的内容和顺序进行编写。</w:t>
      </w:r>
    </w:p>
    <w:p w14:paraId="6D047B8B">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12.2供应商必须对其响应文件的真实性与准确性负责。供应商一旦成为成交供应商，其响应文件将作为合同的重要组成部分。 </w:t>
      </w:r>
    </w:p>
    <w:p w14:paraId="2B8E77D0">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12.3供应商不得在未征得采购人许可的情况下，擅自对服务类单一来源采购文件条款和技术要求进行修改。</w:t>
      </w:r>
    </w:p>
    <w:p w14:paraId="47799184">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12.4证明供应商合格的资格文件</w:t>
      </w:r>
    </w:p>
    <w:p w14:paraId="1D61A58E">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12.4.1应包括服务类单一来源采购文件要求的证明其有资格参加采购活动</w:t>
      </w:r>
      <w:r>
        <w:rPr>
          <w:rFonts w:hint="eastAsia" w:asciiTheme="minorEastAsia" w:hAnsiTheme="minorEastAsia" w:eastAsiaTheme="minorEastAsia" w:cstheme="minorEastAsia"/>
          <w:color w:val="auto"/>
          <w:sz w:val="24"/>
          <w:highlight w:val="none"/>
          <w:lang w:eastAsia="zh-CN"/>
        </w:rPr>
        <w:t>以及</w:t>
      </w:r>
      <w:r>
        <w:rPr>
          <w:rFonts w:hint="eastAsia" w:asciiTheme="minorEastAsia" w:hAnsiTheme="minorEastAsia" w:eastAsiaTheme="minorEastAsia" w:cstheme="minorEastAsia"/>
          <w:color w:val="auto"/>
          <w:sz w:val="24"/>
          <w:highlight w:val="none"/>
        </w:rPr>
        <w:t>之后有能力履行合同的证明文件。</w:t>
      </w:r>
    </w:p>
    <w:p w14:paraId="3984F311">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13、单一来源报价</w:t>
      </w:r>
    </w:p>
    <w:p w14:paraId="2445EE70">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13.1本项目只允许一个方案、一个报价。多方案、多报价的响应文件将不被接受。</w:t>
      </w:r>
    </w:p>
    <w:p w14:paraId="24EE4D9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13.2服务类项目适用：响应总报价应包括完成本项目的费用、税费、等所有费用，即为履行合同的最终价格。</w:t>
      </w:r>
    </w:p>
    <w:p w14:paraId="17837371">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13.3供应商响应的货币为人民币。</w:t>
      </w:r>
    </w:p>
    <w:p w14:paraId="1D4E2DF6">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14、响应保证金</w:t>
      </w:r>
    </w:p>
    <w:p w14:paraId="376C50E9">
      <w:pPr>
        <w:tabs>
          <w:tab w:val="left" w:pos="720"/>
        </w:tabs>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本项目无须递交响应保证金</w:t>
      </w:r>
    </w:p>
    <w:p w14:paraId="53EAA29F">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15、响应有效期</w:t>
      </w:r>
    </w:p>
    <w:p w14:paraId="0B46824B">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15.1响应有效期在“供应商须知前附表”中有明确的规定。供应商如未就此提出异议，则视同接受；如承诺的响应有效期短于此规定时间的，将被视为非响应性投标而予以拒绝。</w:t>
      </w:r>
    </w:p>
    <w:p w14:paraId="4C9A53E3">
      <w:pPr>
        <w:pStyle w:val="27"/>
        <w:spacing w:line="48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15.2在特殊情况下，采购人可于原</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有效期满之前，向供应商提出延长</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有效期的要求。供应商同意延长的，不得要求或被允许修改或撤销其单一来源响应文件。供应商拒绝延长的，可以书面形式拒绝采购人的这种要求。如在规定的时间内未提出书面意见表示拒绝，将视为同意延长</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w:t>
      </w:r>
    </w:p>
    <w:p w14:paraId="32D8399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15.3在响应有效期内，供应商撤销或修改其单一来源响应文件的，应承担责任。</w:t>
      </w:r>
    </w:p>
    <w:p w14:paraId="23F0B562">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16、单一来源响应文件签署</w:t>
      </w:r>
    </w:p>
    <w:p w14:paraId="5C4AE49E">
      <w:pPr>
        <w:tabs>
          <w:tab w:val="left" w:pos="0"/>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除特别说明外，本文件要求供应商盖章或者法定代表人签字处，均需加盖供应商</w:t>
      </w:r>
      <w:r>
        <w:rPr>
          <w:rFonts w:hint="eastAsia" w:asciiTheme="minorEastAsia" w:hAnsiTheme="minorEastAsia" w:eastAsiaTheme="minorEastAsia" w:cstheme="minorEastAsia"/>
          <w:color w:val="auto"/>
          <w:sz w:val="24"/>
          <w:highlight w:val="none"/>
          <w:lang w:val="en-US" w:eastAsia="zh-CN"/>
        </w:rPr>
        <w:t>公章</w:t>
      </w:r>
      <w:r>
        <w:rPr>
          <w:rFonts w:hint="eastAsia" w:asciiTheme="minorEastAsia" w:hAnsiTheme="minorEastAsia" w:eastAsiaTheme="minorEastAsia" w:cstheme="minorEastAsia"/>
          <w:color w:val="auto"/>
          <w:sz w:val="24"/>
          <w:highlight w:val="none"/>
        </w:rPr>
        <w:t>或其法定代表人</w:t>
      </w:r>
      <w:r>
        <w:rPr>
          <w:rFonts w:hint="eastAsia" w:asciiTheme="minorEastAsia" w:hAnsiTheme="minorEastAsia" w:eastAsiaTheme="minorEastAsia" w:cstheme="minorEastAsia"/>
          <w:color w:val="auto"/>
          <w:sz w:val="24"/>
          <w:highlight w:val="none"/>
          <w:lang w:val="en-US" w:eastAsia="zh-CN"/>
        </w:rPr>
        <w:t>签字</w:t>
      </w:r>
      <w:r>
        <w:rPr>
          <w:rFonts w:hint="eastAsia" w:asciiTheme="minorEastAsia" w:hAnsiTheme="minorEastAsia" w:eastAsiaTheme="minorEastAsia" w:cstheme="minorEastAsia"/>
          <w:color w:val="auto"/>
          <w:sz w:val="24"/>
          <w:highlight w:val="none"/>
        </w:rPr>
        <w:t>。被授权人签字的，还需附法定代表人授权委托书。</w:t>
      </w:r>
    </w:p>
    <w:p w14:paraId="11C846B3">
      <w:pPr>
        <w:pStyle w:val="3"/>
        <w:spacing w:before="120" w:beforeLines="50" w:after="120" w:afterLines="50" w:line="480" w:lineRule="exact"/>
        <w:jc w:val="center"/>
        <w:rPr>
          <w:rFonts w:ascii="宋体" w:hAnsi="宋体" w:eastAsia="宋体" w:cs="宋体"/>
          <w:color w:val="auto"/>
          <w:sz w:val="24"/>
          <w:szCs w:val="24"/>
          <w:highlight w:val="none"/>
        </w:rPr>
      </w:pPr>
      <w:bookmarkStart w:id="24" w:name="_Toc18671559"/>
      <w:bookmarkStart w:id="25" w:name="_Toc26999"/>
      <w:r>
        <w:rPr>
          <w:rFonts w:hint="eastAsia" w:ascii="宋体" w:hAnsi="宋体" w:eastAsia="宋体" w:cs="宋体"/>
          <w:color w:val="auto"/>
          <w:sz w:val="24"/>
          <w:szCs w:val="24"/>
          <w:highlight w:val="none"/>
        </w:rPr>
        <w:t>四、单一来源响应文件的递交</w:t>
      </w:r>
      <w:bookmarkEnd w:id="24"/>
      <w:bookmarkEnd w:id="25"/>
    </w:p>
    <w:p w14:paraId="3D6E2A9C">
      <w:pPr>
        <w:spacing w:line="48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17、单一来源响应文件的提交</w:t>
      </w:r>
    </w:p>
    <w:p w14:paraId="42E953EF">
      <w:pPr>
        <w:pStyle w:val="27"/>
        <w:spacing w:line="48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本项目为纸质投标，在</w:t>
      </w:r>
      <w:r>
        <w:rPr>
          <w:rFonts w:hint="eastAsia" w:asciiTheme="minorEastAsia" w:hAnsiTheme="minorEastAsia" w:eastAsiaTheme="minorEastAsia" w:cstheme="minorEastAsia"/>
          <w:color w:val="auto"/>
          <w:sz w:val="24"/>
          <w:szCs w:val="24"/>
          <w:highlight w:val="none"/>
          <w:lang w:val="en-US" w:eastAsia="zh-CN"/>
        </w:rPr>
        <w:t>响应文件递交</w:t>
      </w:r>
      <w:r>
        <w:rPr>
          <w:rFonts w:hint="eastAsia" w:asciiTheme="minorEastAsia" w:hAnsiTheme="minorEastAsia" w:eastAsiaTheme="minorEastAsia" w:cstheme="minorEastAsia"/>
          <w:color w:val="auto"/>
          <w:sz w:val="24"/>
          <w:szCs w:val="24"/>
          <w:highlight w:val="none"/>
        </w:rPr>
        <w:t>截止时间前现场递交</w:t>
      </w:r>
      <w:r>
        <w:rPr>
          <w:rFonts w:hint="eastAsia" w:asciiTheme="minorEastAsia" w:hAnsiTheme="minorEastAsia" w:eastAsiaTheme="minorEastAsia" w:cstheme="minorEastAsia"/>
          <w:color w:val="auto"/>
          <w:sz w:val="24"/>
          <w:szCs w:val="24"/>
          <w:highlight w:val="none"/>
          <w:lang w:eastAsia="zh-CN"/>
        </w:rPr>
        <w:t>。</w:t>
      </w:r>
    </w:p>
    <w:p w14:paraId="49921ABF">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18、单一来源响应文件的修改和撤回</w:t>
      </w:r>
    </w:p>
    <w:p w14:paraId="31A5A87A">
      <w:pPr>
        <w:pStyle w:val="27"/>
        <w:spacing w:line="48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在供应商须知前附表规定的响应文件提交截止时间前，供应商可以修改或撤回已递交的单一来源响应文件。</w:t>
      </w:r>
    </w:p>
    <w:p w14:paraId="112D7807">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19、联合体参加单一来源协商</w:t>
      </w:r>
    </w:p>
    <w:p w14:paraId="1C9EFF67">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由两家或两家以上供应商组成的联合体参与协商时，应满足以下要求：</w:t>
      </w:r>
    </w:p>
    <w:p w14:paraId="3DC2DF9E">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19.1参加联合体的供应商均应当具备政府采购法第二十二条规定的条件，如本项目还有其他特定条件的，联合体各方中至少有一方符合特定的条件。联合体中有同类资质的供应商按照联合体分工承担相同工作的，应当按照资质等级较低的供应商确定资质等级。</w:t>
      </w:r>
    </w:p>
    <w:p w14:paraId="647C18AE">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19.2联合体应签订联合参与协商的协议，明确各方承担的职责和相应的责任，并授权其中的一个成员作为代表，具体进行协商、签订合同等事务。此协议或授权书应作为单一来源响应文件的一部分。</w:t>
      </w:r>
    </w:p>
    <w:p w14:paraId="17A9256C">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19.3联合体中牵头方应能全权处理协商过程中的有关问题。一旦成为成交供应商，该被授权供应商应负责签订合同并负责合同的全面实施，包括合同款项的收付。</w:t>
      </w:r>
    </w:p>
    <w:p w14:paraId="68FA0E10">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19.4以联合体形式参加采购活动的，联合体各方不得再单独参加或者与其他供应商另外组成联合体参加同一合同项下的采购活动。</w:t>
      </w:r>
    </w:p>
    <w:p w14:paraId="6714FAF1">
      <w:pPr>
        <w:pStyle w:val="3"/>
        <w:spacing w:before="120" w:beforeLines="50" w:after="120" w:afterLines="50" w:line="480" w:lineRule="exact"/>
        <w:jc w:val="center"/>
        <w:rPr>
          <w:rFonts w:ascii="宋体" w:hAnsi="宋体" w:eastAsia="宋体" w:cs="宋体"/>
          <w:color w:val="auto"/>
          <w:sz w:val="24"/>
          <w:szCs w:val="24"/>
          <w:highlight w:val="none"/>
        </w:rPr>
      </w:pPr>
      <w:bookmarkStart w:id="26" w:name="_Toc20301"/>
      <w:bookmarkStart w:id="27" w:name="_Toc18671560"/>
      <w:r>
        <w:rPr>
          <w:rFonts w:hint="eastAsia" w:ascii="宋体" w:hAnsi="宋体" w:eastAsia="宋体" w:cs="宋体"/>
          <w:color w:val="auto"/>
          <w:sz w:val="24"/>
          <w:szCs w:val="24"/>
          <w:highlight w:val="none"/>
        </w:rPr>
        <w:t>五、协商与评审</w:t>
      </w:r>
      <w:bookmarkEnd w:id="26"/>
      <w:bookmarkEnd w:id="27"/>
    </w:p>
    <w:p w14:paraId="197D04CF">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20、协商</w:t>
      </w:r>
    </w:p>
    <w:p w14:paraId="29C5EB31">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20.1采购人将在规定的时间组织协商。供应商的法定代表人或其委托的代理人应在</w:t>
      </w:r>
      <w:r>
        <w:rPr>
          <w:rFonts w:hint="eastAsia" w:asciiTheme="minorEastAsia" w:hAnsiTheme="minorEastAsia" w:eastAsiaTheme="minorEastAsia" w:cstheme="minorEastAsia"/>
          <w:color w:val="auto"/>
          <w:sz w:val="24"/>
          <w:highlight w:val="none"/>
          <w:lang w:val="en-US" w:eastAsia="zh-CN"/>
        </w:rPr>
        <w:t>现场</w:t>
      </w:r>
      <w:r>
        <w:rPr>
          <w:rFonts w:hint="eastAsia" w:asciiTheme="minorEastAsia" w:hAnsiTheme="minorEastAsia" w:eastAsiaTheme="minorEastAsia" w:cstheme="minorEastAsia"/>
          <w:color w:val="auto"/>
          <w:sz w:val="24"/>
          <w:highlight w:val="none"/>
        </w:rPr>
        <w:t>准时参加。</w:t>
      </w:r>
    </w:p>
    <w:p w14:paraId="2E9ADE79">
      <w:pPr>
        <w:tabs>
          <w:tab w:val="left" w:pos="90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20.2采购人将按规定组织相关人员组成协商小组。</w:t>
      </w:r>
    </w:p>
    <w:p w14:paraId="08DE5E13">
      <w:pPr>
        <w:tabs>
          <w:tab w:val="left" w:pos="36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20.3协商小组将首先对单一来源响应文件进行符合性评审，了解其与采购文件要求是否有偏离。</w:t>
      </w:r>
    </w:p>
    <w:p w14:paraId="23FF18D4">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20.4符合性评审结束后，协商小组将要求供应商就单一来源响应文件中含糊不清、错漏的地方或协商小组提出的其他内容进行澄清，然后与供应商就采购需求进行协商并要求供应商就之前提出的问题和技术内容进行书面确认。</w:t>
      </w:r>
      <w:r>
        <w:rPr>
          <w:rFonts w:hint="eastAsia" w:asciiTheme="minorEastAsia" w:hAnsiTheme="minorEastAsia" w:eastAsiaTheme="minorEastAsia" w:cstheme="minorEastAsia"/>
          <w:b/>
          <w:color w:val="auto"/>
          <w:sz w:val="24"/>
          <w:highlight w:val="none"/>
        </w:rPr>
        <w:t>供应商未通过符合性评审的，不进入后续程序。</w:t>
      </w:r>
    </w:p>
    <w:p w14:paraId="5227B61D">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20.5符合性评审通过后，协商小组与供应商进行价格协商，并确定最终合同价格。</w:t>
      </w:r>
    </w:p>
    <w:p w14:paraId="49F58346">
      <w:pPr>
        <w:spacing w:line="48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供应商每次报价都应当在协商小组发出报价要求后半小时内完成报价事宜。</w:t>
      </w:r>
    </w:p>
    <w:p w14:paraId="3B552E7B">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供应商必须在规定的时间内将自己在协商中作出的澄清、变动以及最终的报价，经供应商</w:t>
      </w:r>
      <w:r>
        <w:rPr>
          <w:rFonts w:hint="eastAsia" w:asciiTheme="minorEastAsia" w:hAnsiTheme="minorEastAsia" w:eastAsiaTheme="minorEastAsia" w:cstheme="minorEastAsia"/>
          <w:bCs/>
          <w:color w:val="auto"/>
          <w:sz w:val="24"/>
          <w:highlight w:val="none"/>
          <w:lang w:val="en-US" w:eastAsia="zh-CN"/>
        </w:rPr>
        <w:t>填写</w:t>
      </w:r>
      <w:r>
        <w:rPr>
          <w:rFonts w:hint="eastAsia" w:asciiTheme="minorEastAsia" w:hAnsiTheme="minorEastAsia" w:eastAsiaTheme="minorEastAsia" w:cstheme="minorEastAsia"/>
          <w:bCs/>
          <w:color w:val="auto"/>
          <w:sz w:val="24"/>
          <w:highlight w:val="none"/>
        </w:rPr>
        <w:t>后，以</w:t>
      </w:r>
      <w:r>
        <w:rPr>
          <w:rFonts w:hint="eastAsia" w:asciiTheme="minorEastAsia" w:hAnsiTheme="minorEastAsia" w:eastAsiaTheme="minorEastAsia" w:cstheme="minorEastAsia"/>
          <w:bCs/>
          <w:color w:val="auto"/>
          <w:sz w:val="24"/>
          <w:highlight w:val="none"/>
          <w:lang w:val="en-US" w:eastAsia="zh-CN"/>
        </w:rPr>
        <w:t>纸质</w:t>
      </w:r>
      <w:r>
        <w:rPr>
          <w:rFonts w:hint="eastAsia" w:asciiTheme="minorEastAsia" w:hAnsiTheme="minorEastAsia" w:eastAsiaTheme="minorEastAsia" w:cstheme="minorEastAsia"/>
          <w:bCs/>
          <w:color w:val="auto"/>
          <w:sz w:val="24"/>
          <w:highlight w:val="none"/>
        </w:rPr>
        <w:t>的方式提交给协商小组。</w:t>
      </w:r>
    </w:p>
    <w:p w14:paraId="73C6902C">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21、评审</w:t>
      </w:r>
    </w:p>
    <w:p w14:paraId="1EF78F8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21.1协商小组将依据供应商最终提交的确认件进行评审，并编写协商报告。</w:t>
      </w:r>
    </w:p>
    <w:p w14:paraId="6ACEAB2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21.2采购人确认成交供应商后，应将结果在指定的网站公告。</w:t>
      </w:r>
    </w:p>
    <w:p w14:paraId="5AC5071B">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22、异常情况处理</w:t>
      </w:r>
    </w:p>
    <w:p w14:paraId="78DC46B4">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出现下列情形之一的，采购人或者采购代理机构应当终止采购活动，发布项目终止公告并说明原因，重新开展采购活动：</w:t>
      </w:r>
    </w:p>
    <w:p w14:paraId="27200421">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（一）因情况变化，不再符合规定的单一来源采购方式适用情形的；</w:t>
      </w:r>
    </w:p>
    <w:p w14:paraId="3839BEBE">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（二）出现影响采购公正的违法、违规行为的；</w:t>
      </w:r>
    </w:p>
    <w:p w14:paraId="6EC45A7D">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（三）报价超过采购预算的；</w:t>
      </w:r>
    </w:p>
    <w:p w14:paraId="0167C3EE">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（四）因重大事故，采购任务取消的。</w:t>
      </w:r>
    </w:p>
    <w:p w14:paraId="016D7DF0">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23、供应商存在下列情况之一的，响应无效：</w:t>
      </w:r>
    </w:p>
    <w:p w14:paraId="4F417123">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（一）响应文件未按采购文件要求签署、盖章的；</w:t>
      </w:r>
    </w:p>
    <w:p w14:paraId="6C611FC9">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（二）报价超过采购文件中规定的金额或者最高限价的，采购人可以支付的除外；</w:t>
      </w:r>
    </w:p>
    <w:p w14:paraId="0F15BBE6">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（三）响应文件含有采购人不能接受的附加条件的；</w:t>
      </w:r>
    </w:p>
    <w:p w14:paraId="0F4AED7F">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（四）法律、法规和采购文件规定的其他无效情形的；</w:t>
      </w:r>
    </w:p>
    <w:p w14:paraId="061D6C82">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（五）提供虚假材料参加单一来源活动的违法、违规行为被查实的。</w:t>
      </w:r>
    </w:p>
    <w:p w14:paraId="3A7681CC">
      <w:pPr>
        <w:pStyle w:val="3"/>
        <w:spacing w:before="120" w:beforeLines="50" w:after="120" w:afterLines="50" w:line="480" w:lineRule="exact"/>
        <w:jc w:val="center"/>
        <w:rPr>
          <w:rFonts w:ascii="宋体" w:hAnsi="宋体" w:eastAsia="宋体" w:cs="宋体"/>
          <w:color w:val="auto"/>
          <w:sz w:val="24"/>
          <w:szCs w:val="24"/>
          <w:highlight w:val="none"/>
        </w:rPr>
      </w:pPr>
      <w:bookmarkStart w:id="28" w:name="_Toc18671561"/>
      <w:bookmarkStart w:id="29" w:name="_Toc4538"/>
      <w:r>
        <w:rPr>
          <w:rFonts w:hint="eastAsia" w:ascii="宋体" w:hAnsi="宋体" w:eastAsia="宋体" w:cs="宋体"/>
          <w:color w:val="auto"/>
          <w:sz w:val="24"/>
          <w:szCs w:val="24"/>
          <w:highlight w:val="none"/>
        </w:rPr>
        <w:t>六、成交和授予合同</w:t>
      </w:r>
      <w:bookmarkEnd w:id="28"/>
      <w:bookmarkEnd w:id="29"/>
    </w:p>
    <w:p w14:paraId="0E5A2478">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24、成交确认</w:t>
      </w:r>
    </w:p>
    <w:p w14:paraId="21395D41">
      <w:pPr>
        <w:tabs>
          <w:tab w:val="left" w:pos="0"/>
        </w:tabs>
        <w:spacing w:line="480" w:lineRule="exact"/>
        <w:rPr>
          <w:rFonts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采购人应当在收到协商报告后5个工作日内，确定成交供应商。</w:t>
      </w:r>
    </w:p>
    <w:p w14:paraId="57439449">
      <w:pPr>
        <w:tabs>
          <w:tab w:val="left" w:pos="0"/>
        </w:tabs>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25、签订合同</w:t>
      </w:r>
    </w:p>
    <w:p w14:paraId="1DB1055F">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shd w:val="clear" w:color="auto" w:fill="FFFFFF"/>
        </w:rPr>
        <w:t>25</w:t>
      </w:r>
      <w:r>
        <w:rPr>
          <w:rFonts w:hint="eastAsia" w:asciiTheme="minorEastAsia" w:hAnsiTheme="minorEastAsia" w:eastAsiaTheme="minorEastAsia" w:cstheme="minorEastAsia"/>
          <w:color w:val="auto"/>
          <w:sz w:val="24"/>
          <w:highlight w:val="none"/>
        </w:rPr>
        <w:t>.1采购</w:t>
      </w:r>
      <w:r>
        <w:rPr>
          <w:rFonts w:hint="eastAsia" w:asciiTheme="minorEastAsia" w:hAnsiTheme="minorEastAsia" w:eastAsiaTheme="minorEastAsia" w:cstheme="minorEastAsia"/>
          <w:color w:val="auto"/>
          <w:sz w:val="24"/>
          <w:highlight w:val="none"/>
          <w:shd w:val="clear" w:color="auto" w:fill="FFFFFF"/>
        </w:rPr>
        <w:t>人应尽量缩短采购合同签订时间，按照采购文件确定的合同文本以及采购标的、规格型号、采购金额、采购数量、技术和服务要求等事项签订采购合同，不得晚于中标（成交）通知书发放之日起 7 个工作日。无正当理由不得拒绝或者拖延签订合同，因供应商自身原因导致无法及时签订的除外。</w:t>
      </w:r>
    </w:p>
    <w:p w14:paraId="40928A0C">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25.2政府采购合同在履行中可追加与合同标的相同的服务，但采购金额不得超过原合同采购金额的10%。</w:t>
      </w:r>
    </w:p>
    <w:p w14:paraId="6B01A50D">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25.3成交供应商拒绝与采购人签订合同的，将按相关规定进行处理。成交通知书发出后，采购人无正当理由不与成交供应商签订采购合同的，将依据相关规定给予处理。</w:t>
      </w:r>
    </w:p>
    <w:p w14:paraId="256BC887">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25.4因政策变化等原因不能签订合同，造成企业合法利益受损的情形，采购人可以与供应商充分协商，给予合理补偿。</w:t>
      </w:r>
    </w:p>
    <w:p w14:paraId="2C74614E">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25.5在签订合同时，供应商书面明确表示无需预付款或者主动要求降低预付款比例的，采购人可不适用前述（即付款方式）规定。</w:t>
      </w:r>
    </w:p>
    <w:p w14:paraId="4718C74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25.6采购文件和合同中没有约定预付款的，经供应商申请，采购人可以支付预付款。</w:t>
      </w:r>
    </w:p>
    <w:p w14:paraId="3552889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25.7采购人可根据项目特点、供应商诚信等因素，要求供应商提交银行、保险公司、担保公司等金融机构出具的预付款保函或其他担保措施。</w:t>
      </w:r>
    </w:p>
    <w:p w14:paraId="4DCCF85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25.8政府采购预付款应在合同、担保措施生效以及具备实施条件后 5 个工作日内支付。</w:t>
      </w:r>
    </w:p>
    <w:p w14:paraId="6600741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25.9延迟支付中小企业款项的，供应商可要求采购人按照合同约定支付逾期利息，合同没有约定的，按照同期人民银行 LPR支付逾期利息。</w:t>
      </w:r>
    </w:p>
    <w:p w14:paraId="1521E17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25.10 成交供应商无正当理由不与采购人订立合同的处罚依据：</w:t>
      </w:r>
    </w:p>
    <w:p w14:paraId="629FBD39">
      <w:pPr>
        <w:pStyle w:val="15"/>
        <w:spacing w:after="0" w:line="480" w:lineRule="exact"/>
        <w:ind w:firstLine="0"/>
        <w:rPr>
          <w:color w:val="auto"/>
          <w:highlight w:val="none"/>
        </w:rPr>
      </w:pPr>
      <w:r>
        <w:rPr>
          <w:rFonts w:hint="eastAsia"/>
          <w:color w:val="auto"/>
          <w:highlight w:val="none"/>
        </w:rPr>
        <w:t>（1）《中华人民共和国政府采购法实施条例》</w:t>
      </w:r>
    </w:p>
    <w:p w14:paraId="60310F9D">
      <w:pPr>
        <w:pStyle w:val="15"/>
        <w:spacing w:after="0" w:line="480" w:lineRule="exact"/>
        <w:ind w:firstLine="0"/>
        <w:rPr>
          <w:color w:val="auto"/>
          <w:highlight w:val="none"/>
        </w:rPr>
      </w:pPr>
      <w:r>
        <w:rPr>
          <w:rFonts w:hint="eastAsia"/>
          <w:color w:val="auto"/>
          <w:highlight w:val="none"/>
        </w:rPr>
        <w:t>第七十二条 供应商有下列情形之一的，依照政府采购法第七十七条第一款的规定追究法律责任：……</w:t>
      </w:r>
    </w:p>
    <w:p w14:paraId="38391F53">
      <w:pPr>
        <w:pStyle w:val="15"/>
        <w:spacing w:after="0" w:line="480" w:lineRule="exact"/>
        <w:ind w:firstLine="0"/>
        <w:rPr>
          <w:color w:val="auto"/>
          <w:highlight w:val="none"/>
        </w:rPr>
      </w:pPr>
      <w:r>
        <w:rPr>
          <w:rFonts w:hint="eastAsia"/>
          <w:color w:val="auto"/>
          <w:highlight w:val="none"/>
        </w:rPr>
        <w:t>（二）中标或者成交后无正当理由拒不与采购人签订政府采购合同；……</w:t>
      </w:r>
    </w:p>
    <w:p w14:paraId="29801E9F">
      <w:pPr>
        <w:pStyle w:val="15"/>
        <w:spacing w:after="0" w:line="480" w:lineRule="exact"/>
        <w:ind w:firstLine="0"/>
        <w:rPr>
          <w:color w:val="auto"/>
          <w:highlight w:val="none"/>
        </w:rPr>
      </w:pPr>
      <w:r>
        <w:rPr>
          <w:rFonts w:hint="eastAsia"/>
          <w:color w:val="auto"/>
          <w:highlight w:val="none"/>
        </w:rPr>
        <w:t>（2）《中华人民共和国政府采购法》</w:t>
      </w:r>
    </w:p>
    <w:p w14:paraId="194A9708">
      <w:pPr>
        <w:pStyle w:val="15"/>
        <w:spacing w:after="0" w:line="480" w:lineRule="exact"/>
        <w:ind w:firstLine="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8DF97FE">
      <w:pPr>
        <w:pStyle w:val="15"/>
        <w:spacing w:after="0" w:line="480" w:lineRule="exact"/>
        <w:ind w:firstLine="0"/>
        <w:rPr>
          <w:color w:val="auto"/>
          <w:highlight w:val="none"/>
        </w:rPr>
      </w:pPr>
      <w:r>
        <w:rPr>
          <w:rFonts w:hint="eastAsia"/>
          <w:color w:val="auto"/>
          <w:highlight w:val="none"/>
        </w:rPr>
        <w:t>（3）《政府采购非招标采购方式管理办法》（财政部令第74号）</w:t>
      </w:r>
    </w:p>
    <w:p w14:paraId="0574F531">
      <w:pPr>
        <w:pStyle w:val="15"/>
        <w:spacing w:after="0" w:line="480" w:lineRule="exact"/>
        <w:ind w:firstLine="120" w:firstLineChars="5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25AA2A9F">
      <w:pPr>
        <w:pStyle w:val="15"/>
        <w:spacing w:after="0" w:line="480" w:lineRule="exact"/>
        <w:ind w:firstLine="0"/>
        <w:rPr>
          <w:rFonts w:asciiTheme="minorEastAsia" w:hAnsiTheme="minorEastAsia" w:eastAsiaTheme="minorEastAsia" w:cstheme="minorEastAsia"/>
          <w:color w:val="auto"/>
          <w:highlight w:val="none"/>
        </w:rPr>
      </w:pPr>
      <w:r>
        <w:rPr>
          <w:rFonts w:hint="eastAsia"/>
          <w:color w:val="auto"/>
          <w:highlight w:val="none"/>
        </w:rPr>
        <w:t>（二）成交后无正当理由不与采购人签订合同的；……</w:t>
      </w:r>
    </w:p>
    <w:p w14:paraId="739FC38C">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26、履约保证金</w:t>
      </w:r>
    </w:p>
    <w:p w14:paraId="4A444773">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26.1成交供应商在签订合同前必须按单一来源文件的规定，及时、足额交纳履约保证金。</w:t>
      </w:r>
    </w:p>
    <w:p w14:paraId="31093851">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履约保证金是督促成交供应商按时、按质、按量履行合同的一个经济制约手段。当采购人因成交供应商违约而造成损失时，可在无须征得成交供应商同意的情况下首先从其所交纳的履约保证金中获取相应的补偿。</w:t>
      </w:r>
    </w:p>
    <w:bookmarkEnd w:id="18"/>
    <w:bookmarkEnd w:id="19"/>
    <w:p w14:paraId="1742794A">
      <w:pPr>
        <w:spacing w:line="480" w:lineRule="exact"/>
        <w:rPr>
          <w:rFonts w:asciiTheme="minorEastAsia" w:hAnsiTheme="minorEastAsia" w:eastAsiaTheme="minorEastAsia" w:cstheme="minorEastAsia"/>
          <w:b/>
          <w:color w:val="auto"/>
          <w:sz w:val="24"/>
          <w:highlight w:val="none"/>
        </w:rPr>
      </w:pPr>
      <w:bookmarkStart w:id="30" w:name="_Toc27142"/>
      <w:bookmarkStart w:id="31" w:name="_Toc14936"/>
      <w:bookmarkStart w:id="32" w:name="_Toc272163837"/>
      <w:bookmarkStart w:id="33" w:name="_Toc533314955"/>
      <w:r>
        <w:rPr>
          <w:rFonts w:hint="eastAsia" w:asciiTheme="minorEastAsia" w:hAnsiTheme="minorEastAsia" w:eastAsiaTheme="minorEastAsia" w:cstheme="minorEastAsia"/>
          <w:b/>
          <w:color w:val="auto"/>
          <w:sz w:val="24"/>
          <w:highlight w:val="none"/>
        </w:rPr>
        <w:t>27、验收</w:t>
      </w:r>
      <w:bookmarkEnd w:id="30"/>
      <w:bookmarkEnd w:id="31"/>
      <w:r>
        <w:rPr>
          <w:rFonts w:hint="eastAsia" w:asciiTheme="minorEastAsia" w:hAnsiTheme="minorEastAsia" w:eastAsiaTheme="minorEastAsia" w:cstheme="minorEastAsia"/>
          <w:b/>
          <w:color w:val="auto"/>
          <w:sz w:val="24"/>
          <w:highlight w:val="none"/>
        </w:rPr>
        <w:t>与支付</w:t>
      </w:r>
    </w:p>
    <w:p w14:paraId="6BA6EB25">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27.1采购人应当在项目完成且收到供应商验收申请后 5 个工作日内组织开展履约验收。</w:t>
      </w:r>
    </w:p>
    <w:p w14:paraId="1FBD359D">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34536F9C">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27.3涉及安全、消防、环保等其他需要由质检或行业主管部门进行验收的项目，必须邀请相关部门或相关专家参与验收。</w:t>
      </w:r>
    </w:p>
    <w:p w14:paraId="13DD6227">
      <w:pPr>
        <w:tabs>
          <w:tab w:val="left" w:pos="0"/>
        </w:tabs>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27.4对于符合支付条件的项目，应在收到发票后7个工作日内将资金支付到合同约定的供应商账户，不得以进行审计作为支付供应商款项的条件。采购人不得以机构变动、人员更替、政策调整、履行内部付款流程等为由延迟付款。</w:t>
      </w:r>
    </w:p>
    <w:p w14:paraId="4952837F">
      <w:pPr>
        <w:pStyle w:val="15"/>
        <w:ind w:firstLine="0"/>
        <w:rPr>
          <w:rFonts w:ascii="宋体" w:hAnsi="宋体"/>
          <w:color w:val="auto"/>
          <w:szCs w:val="24"/>
          <w:highlight w:val="none"/>
        </w:rPr>
      </w:pPr>
    </w:p>
    <w:p w14:paraId="06D2AF9A">
      <w:pPr>
        <w:pStyle w:val="15"/>
        <w:ind w:firstLine="0"/>
        <w:rPr>
          <w:rFonts w:ascii="宋体" w:hAnsi="宋体"/>
          <w:color w:val="auto"/>
          <w:szCs w:val="24"/>
          <w:highlight w:val="none"/>
        </w:rPr>
      </w:pPr>
    </w:p>
    <w:p w14:paraId="1FD136EC">
      <w:pPr>
        <w:pStyle w:val="15"/>
        <w:ind w:firstLine="0"/>
        <w:rPr>
          <w:rFonts w:ascii="宋体" w:hAnsi="宋体"/>
          <w:color w:val="auto"/>
          <w:szCs w:val="24"/>
          <w:highlight w:val="none"/>
        </w:rPr>
      </w:pPr>
    </w:p>
    <w:p w14:paraId="75E927C3">
      <w:pPr>
        <w:pStyle w:val="15"/>
        <w:ind w:firstLine="0"/>
        <w:rPr>
          <w:rFonts w:ascii="宋体" w:hAnsi="宋体"/>
          <w:color w:val="auto"/>
          <w:szCs w:val="24"/>
          <w:highlight w:val="none"/>
        </w:rPr>
      </w:pPr>
    </w:p>
    <w:p w14:paraId="15A13EC3">
      <w:pPr>
        <w:pStyle w:val="15"/>
        <w:ind w:firstLine="0"/>
        <w:rPr>
          <w:rFonts w:ascii="宋体" w:hAnsi="宋体"/>
          <w:color w:val="auto"/>
          <w:szCs w:val="24"/>
          <w:highlight w:val="none"/>
        </w:rPr>
      </w:pPr>
    </w:p>
    <w:p w14:paraId="62D21DE2">
      <w:pPr>
        <w:pStyle w:val="15"/>
        <w:ind w:firstLine="0"/>
        <w:rPr>
          <w:rFonts w:ascii="宋体" w:hAnsi="宋体"/>
          <w:color w:val="auto"/>
          <w:szCs w:val="24"/>
          <w:highlight w:val="none"/>
        </w:rPr>
      </w:pPr>
    </w:p>
    <w:p w14:paraId="041E6515">
      <w:pPr>
        <w:pStyle w:val="15"/>
        <w:ind w:firstLine="0"/>
        <w:rPr>
          <w:rFonts w:ascii="宋体" w:hAnsi="宋体"/>
          <w:color w:val="auto"/>
          <w:szCs w:val="24"/>
          <w:highlight w:val="none"/>
        </w:rPr>
      </w:pPr>
    </w:p>
    <w:p w14:paraId="5F603A8A">
      <w:pPr>
        <w:pStyle w:val="15"/>
        <w:ind w:firstLine="0"/>
        <w:rPr>
          <w:rFonts w:ascii="宋体" w:hAnsi="宋体"/>
          <w:color w:val="auto"/>
          <w:szCs w:val="24"/>
          <w:highlight w:val="none"/>
        </w:rPr>
      </w:pPr>
    </w:p>
    <w:p w14:paraId="325C76AA">
      <w:pPr>
        <w:pStyle w:val="15"/>
        <w:ind w:firstLine="0"/>
        <w:rPr>
          <w:rFonts w:ascii="宋体" w:hAnsi="宋体"/>
          <w:color w:val="auto"/>
          <w:szCs w:val="24"/>
          <w:highlight w:val="none"/>
        </w:rPr>
      </w:pPr>
    </w:p>
    <w:p w14:paraId="04EBC27E">
      <w:pPr>
        <w:pStyle w:val="15"/>
        <w:ind w:firstLine="0"/>
        <w:rPr>
          <w:rFonts w:ascii="宋体" w:hAnsi="宋体"/>
          <w:color w:val="auto"/>
          <w:szCs w:val="24"/>
          <w:highlight w:val="none"/>
        </w:rPr>
      </w:pPr>
    </w:p>
    <w:p w14:paraId="619CD4CC">
      <w:pPr>
        <w:pStyle w:val="15"/>
        <w:ind w:firstLine="0"/>
        <w:rPr>
          <w:rFonts w:ascii="宋体" w:hAnsi="宋体"/>
          <w:color w:val="auto"/>
          <w:szCs w:val="24"/>
          <w:highlight w:val="none"/>
        </w:rPr>
      </w:pPr>
    </w:p>
    <w:p w14:paraId="731819EC">
      <w:pPr>
        <w:pStyle w:val="15"/>
        <w:ind w:firstLine="0"/>
        <w:rPr>
          <w:rFonts w:ascii="宋体" w:hAnsi="宋体"/>
          <w:color w:val="auto"/>
          <w:szCs w:val="24"/>
          <w:highlight w:val="none"/>
        </w:rPr>
      </w:pPr>
    </w:p>
    <w:p w14:paraId="41FBA097">
      <w:pPr>
        <w:pStyle w:val="15"/>
        <w:ind w:firstLine="0"/>
        <w:rPr>
          <w:rFonts w:ascii="宋体" w:hAnsi="宋体"/>
          <w:color w:val="auto"/>
          <w:szCs w:val="24"/>
          <w:highlight w:val="none"/>
        </w:rPr>
      </w:pPr>
    </w:p>
    <w:p w14:paraId="7CFCB6AD">
      <w:pPr>
        <w:rPr>
          <w:rFonts w:hint="eastAsia" w:ascii="宋体" w:hAnsi="宋体" w:eastAsia="宋体" w:cs="宋体"/>
          <w:b/>
          <w:color w:val="auto"/>
          <w:sz w:val="24"/>
          <w:szCs w:val="24"/>
          <w:highlight w:val="none"/>
        </w:rPr>
      </w:pPr>
      <w:bookmarkStart w:id="34" w:name="_Toc29961"/>
      <w:bookmarkStart w:id="35" w:name="_Toc463733011"/>
      <w:bookmarkStart w:id="36" w:name="_Toc220232392"/>
      <w:r>
        <w:rPr>
          <w:rFonts w:hint="eastAsia" w:ascii="宋体" w:hAnsi="宋体" w:eastAsia="宋体" w:cs="宋体"/>
          <w:b/>
          <w:color w:val="auto"/>
          <w:sz w:val="24"/>
          <w:szCs w:val="24"/>
          <w:highlight w:val="none"/>
        </w:rPr>
        <w:br w:type="page"/>
      </w:r>
    </w:p>
    <w:p w14:paraId="65A3A05C">
      <w:pPr>
        <w:pStyle w:val="2"/>
        <w:bidi w:val="0"/>
        <w:ind w:left="0" w:leftChars="0" w:firstLine="0" w:firstLineChars="0"/>
        <w:jc w:val="center"/>
        <w:rPr>
          <w:rFonts w:ascii="宋体" w:hAnsi="宋体" w:eastAsia="宋体" w:cs="宋体"/>
          <w:b/>
          <w:color w:val="auto"/>
          <w:szCs w:val="24"/>
          <w:highlight w:val="none"/>
        </w:rPr>
      </w:pPr>
      <w:bookmarkStart w:id="37" w:name="_Toc3742"/>
      <w:r>
        <w:rPr>
          <w:rFonts w:hint="eastAsia"/>
        </w:rPr>
        <w:t>第四章  采购合同</w:t>
      </w:r>
      <w:bookmarkEnd w:id="34"/>
      <w:bookmarkEnd w:id="35"/>
      <w:bookmarkEnd w:id="36"/>
      <w:bookmarkEnd w:id="37"/>
    </w:p>
    <w:p w14:paraId="4CD7F825">
      <w:pPr>
        <w:spacing w:before="78" w:line="220" w:lineRule="auto"/>
        <w:jc w:val="center"/>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lang w:val="en-US" w:eastAsia="zh-CN"/>
        </w:rPr>
        <w:t>甲乙双方自行拟定</w:t>
      </w:r>
      <w:r>
        <w:rPr>
          <w:rFonts w:hint="eastAsia" w:ascii="宋体" w:hAnsi="宋体" w:eastAsia="宋体" w:cs="宋体"/>
          <w:color w:val="auto"/>
          <w:spacing w:val="-6"/>
          <w:sz w:val="24"/>
          <w:highlight w:val="none"/>
          <w:lang w:eastAsia="zh-CN"/>
        </w:rPr>
        <w:t>）</w:t>
      </w:r>
    </w:p>
    <w:p w14:paraId="205615B4">
      <w:pPr>
        <w:spacing w:line="253" w:lineRule="auto"/>
        <w:rPr>
          <w:color w:val="auto"/>
          <w:highlight w:val="none"/>
        </w:rPr>
      </w:pPr>
    </w:p>
    <w:p w14:paraId="3BD011CC">
      <w:pPr>
        <w:spacing w:line="254" w:lineRule="auto"/>
        <w:rPr>
          <w:color w:val="auto"/>
          <w:highlight w:val="none"/>
        </w:rPr>
      </w:pPr>
    </w:p>
    <w:p w14:paraId="180BA96B">
      <w:pPr>
        <w:spacing w:line="254" w:lineRule="auto"/>
        <w:rPr>
          <w:color w:val="auto"/>
          <w:highlight w:val="none"/>
        </w:rPr>
      </w:pPr>
    </w:p>
    <w:p w14:paraId="0F1AE617">
      <w:pPr>
        <w:spacing w:before="79" w:line="220" w:lineRule="auto"/>
        <w:ind w:left="998"/>
        <w:rPr>
          <w:rFonts w:ascii="宋体" w:hAnsi="宋体" w:cs="宋体"/>
          <w:color w:val="auto"/>
          <w:sz w:val="24"/>
          <w:highlight w:val="none"/>
        </w:rPr>
      </w:pPr>
    </w:p>
    <w:p w14:paraId="60CEC3E1">
      <w:pPr>
        <w:rPr>
          <w:color w:val="auto"/>
          <w:highlight w:val="none"/>
        </w:rPr>
        <w:sectPr>
          <w:footerReference r:id="rId4" w:type="default"/>
          <w:pgSz w:w="11907" w:h="16839"/>
          <w:pgMar w:top="1118" w:right="1769" w:bottom="1233" w:left="1771" w:header="877" w:footer="982" w:gutter="0"/>
          <w:pgNumType w:fmt="decimal" w:start="1"/>
          <w:cols w:space="720" w:num="1"/>
        </w:sectPr>
      </w:pPr>
    </w:p>
    <w:p w14:paraId="35A82B6D">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Style w:val="50"/>
          <w:rFonts w:hint="eastAsia"/>
        </w:rPr>
      </w:pPr>
      <w:bookmarkStart w:id="38" w:name="_Toc2581"/>
      <w:bookmarkStart w:id="39" w:name="_Toc8151"/>
      <w:r>
        <w:rPr>
          <w:rStyle w:val="50"/>
          <w:rFonts w:hint="eastAsia"/>
        </w:rPr>
        <w:t xml:space="preserve"> 采购需求</w:t>
      </w:r>
      <w:bookmarkEnd w:id="38"/>
    </w:p>
    <w:bookmarkEnd w:id="39"/>
    <w:p w14:paraId="4B7359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Segoe UI" w:hAnsi="Segoe UI" w:eastAsia="Segoe UI" w:cs="Segoe UI"/>
          <w:b/>
          <w:bCs/>
          <w:i w:val="0"/>
          <w:iCs w:val="0"/>
          <w:caps w:val="0"/>
          <w:color w:val="auto"/>
          <w:spacing w:val="0"/>
          <w:sz w:val="24"/>
          <w:szCs w:val="24"/>
          <w:highlight w:val="none"/>
          <w:shd w:val="clear" w:fill="FFFFFF"/>
          <w:lang w:val="en-US" w:eastAsia="zh-CN"/>
        </w:rPr>
        <w:t>一、技术规格及性能要求</w:t>
      </w:r>
    </w:p>
    <w:p w14:paraId="7FDD1AA1">
      <w:pPr>
        <w:keepNext w:val="0"/>
        <w:keepLines w:val="0"/>
        <w:pageBreakBefore w:val="0"/>
        <w:widowControl w:val="0"/>
        <w:tabs>
          <w:tab w:val="left" w:pos="0"/>
        </w:tabs>
        <w:kinsoku/>
        <w:wordWrap/>
        <w:overflowPunct/>
        <w:topLinePunct w:val="0"/>
        <w:autoSpaceDE/>
        <w:autoSpaceDN/>
        <w:bidi w:val="0"/>
        <w:adjustRightInd/>
        <w:snapToGrid/>
        <w:spacing w:line="480" w:lineRule="exact"/>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lang w:val="en-US" w:eastAsia="zh-CN"/>
        </w:rPr>
        <w:t>系统构成：须完全符合所列内容，包括但不限于：</w:t>
      </w:r>
    </w:p>
    <w:p w14:paraId="0AEFB7F0">
      <w:pPr>
        <w:keepNext w:val="0"/>
        <w:keepLines w:val="0"/>
        <w:pageBreakBefore w:val="0"/>
        <w:widowControl w:val="0"/>
        <w:tabs>
          <w:tab w:val="left" w:pos="0"/>
        </w:tabs>
        <w:kinsoku/>
        <w:wordWrap/>
        <w:overflowPunct/>
        <w:topLinePunct w:val="0"/>
        <w:autoSpaceDE/>
        <w:autoSpaceDN/>
        <w:bidi w:val="0"/>
        <w:adjustRightInd/>
        <w:snapToGrid/>
        <w:spacing w:line="480" w:lineRule="exact"/>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lang w:val="en-US" w:eastAsia="zh-CN"/>
        </w:rPr>
        <w:t>MEMRS服务器端软件（含心电电生理数据库与存储管理）</w:t>
      </w:r>
    </w:p>
    <w:p w14:paraId="6A23C33E">
      <w:pPr>
        <w:keepNext w:val="0"/>
        <w:keepLines w:val="0"/>
        <w:pageBreakBefore w:val="0"/>
        <w:widowControl w:val="0"/>
        <w:tabs>
          <w:tab w:val="left" w:pos="0"/>
        </w:tabs>
        <w:kinsoku/>
        <w:wordWrap/>
        <w:overflowPunct/>
        <w:topLinePunct w:val="0"/>
        <w:autoSpaceDE/>
        <w:autoSpaceDN/>
        <w:bidi w:val="0"/>
        <w:adjustRightInd/>
        <w:snapToGrid/>
        <w:spacing w:line="480" w:lineRule="exact"/>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lang w:val="en-US" w:eastAsia="zh-CN"/>
        </w:rPr>
        <w:t>DICOM服务软件（支持STORAGE、WORKLIST等服务）</w:t>
      </w:r>
    </w:p>
    <w:p w14:paraId="1B8B427B">
      <w:pPr>
        <w:keepNext w:val="0"/>
        <w:keepLines w:val="0"/>
        <w:pageBreakBefore w:val="0"/>
        <w:widowControl w:val="0"/>
        <w:tabs>
          <w:tab w:val="left" w:pos="0"/>
        </w:tabs>
        <w:kinsoku/>
        <w:wordWrap/>
        <w:overflowPunct/>
        <w:topLinePunct w:val="0"/>
        <w:autoSpaceDE/>
        <w:autoSpaceDN/>
        <w:bidi w:val="0"/>
        <w:adjustRightInd/>
        <w:snapToGrid/>
        <w:spacing w:line="480" w:lineRule="exact"/>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val="en-US" w:eastAsia="zh-CN"/>
        </w:rPr>
        <w:t>心电电生理数据调阅浏览模块（支持XML、JPG、PDF等多数据兼容存储方式,供临床在线调阅及打印）</w:t>
      </w:r>
    </w:p>
    <w:p w14:paraId="30F75C9E">
      <w:pPr>
        <w:keepNext w:val="0"/>
        <w:keepLines w:val="0"/>
        <w:pageBreakBefore w:val="0"/>
        <w:widowControl w:val="0"/>
        <w:tabs>
          <w:tab w:val="left" w:pos="0"/>
        </w:tabs>
        <w:kinsoku/>
        <w:wordWrap/>
        <w:overflowPunct/>
        <w:topLinePunct w:val="0"/>
        <w:autoSpaceDE/>
        <w:autoSpaceDN/>
        <w:bidi w:val="0"/>
        <w:adjustRightInd/>
        <w:snapToGrid/>
        <w:spacing w:line="480" w:lineRule="exact"/>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lang w:val="en-US" w:eastAsia="zh-CN"/>
        </w:rPr>
        <w:t>HIS接口模块</w:t>
      </w:r>
      <w:r>
        <w:rPr>
          <w:rFonts w:hint="eastAsia" w:ascii="宋体" w:hAnsi="宋体" w:cs="宋体"/>
          <w:i w:val="0"/>
          <w:iCs w:val="0"/>
          <w:caps w:val="0"/>
          <w:color w:val="auto"/>
          <w:spacing w:val="0"/>
          <w:sz w:val="24"/>
          <w:szCs w:val="24"/>
          <w:highlight w:val="none"/>
          <w:shd w:val="clear" w:fill="FFFFFF"/>
          <w:lang w:val="en-US" w:eastAsia="zh-CN"/>
        </w:rPr>
        <w:t>（支持与HIS系统集成，实现从HIS当中获取患者资料；支持电子申请预约信息获取)</w:t>
      </w:r>
    </w:p>
    <w:p w14:paraId="37C09C0F">
      <w:pPr>
        <w:keepNext w:val="0"/>
        <w:keepLines w:val="0"/>
        <w:pageBreakBefore w:val="0"/>
        <w:widowControl w:val="0"/>
        <w:tabs>
          <w:tab w:val="left" w:pos="0"/>
        </w:tabs>
        <w:kinsoku/>
        <w:wordWrap/>
        <w:overflowPunct/>
        <w:topLinePunct w:val="0"/>
        <w:autoSpaceDE/>
        <w:autoSpaceDN/>
        <w:bidi w:val="0"/>
        <w:adjustRightInd/>
        <w:snapToGrid/>
        <w:spacing w:line="480" w:lineRule="exact"/>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lang w:val="en-US" w:eastAsia="zh-CN"/>
        </w:rPr>
        <w:t>PACS接口模块</w:t>
      </w:r>
      <w:r>
        <w:rPr>
          <w:rFonts w:hint="eastAsia" w:ascii="宋体" w:hAnsi="宋体" w:cs="宋体"/>
          <w:i w:val="0"/>
          <w:iCs w:val="0"/>
          <w:caps w:val="0"/>
          <w:color w:val="auto"/>
          <w:spacing w:val="0"/>
          <w:sz w:val="24"/>
          <w:szCs w:val="24"/>
          <w:highlight w:val="none"/>
          <w:shd w:val="clear" w:fill="FFFFFF"/>
          <w:lang w:val="en-US" w:eastAsia="zh-CN"/>
        </w:rPr>
        <w:t>(系统支持将心电图和其他电生理检查结果传输至PACS系统，完成数据对接)</w:t>
      </w:r>
    </w:p>
    <w:p w14:paraId="57E3B31B">
      <w:pPr>
        <w:keepNext w:val="0"/>
        <w:keepLines w:val="0"/>
        <w:pageBreakBefore w:val="0"/>
        <w:widowControl w:val="0"/>
        <w:tabs>
          <w:tab w:val="left" w:pos="0"/>
        </w:tabs>
        <w:kinsoku/>
        <w:wordWrap/>
        <w:overflowPunct/>
        <w:topLinePunct w:val="0"/>
        <w:autoSpaceDE/>
        <w:autoSpaceDN/>
        <w:bidi w:val="0"/>
        <w:adjustRightInd/>
        <w:snapToGrid/>
        <w:spacing w:line="480" w:lineRule="exact"/>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lang w:val="en-US" w:eastAsia="zh-CN"/>
        </w:rPr>
        <w:t>电子病历接口模块</w:t>
      </w:r>
      <w:r>
        <w:rPr>
          <w:rFonts w:hint="eastAsia" w:ascii="宋体" w:hAnsi="宋体" w:cs="宋体"/>
          <w:i w:val="0"/>
          <w:iCs w:val="0"/>
          <w:caps w:val="0"/>
          <w:color w:val="auto"/>
          <w:spacing w:val="0"/>
          <w:sz w:val="24"/>
          <w:szCs w:val="24"/>
          <w:highlight w:val="none"/>
          <w:shd w:val="clear" w:fill="FFFFFF"/>
          <w:lang w:val="en-US" w:eastAsia="zh-CN"/>
        </w:rPr>
        <w:t>(系统支持将心电图和其他电生理检查结果传输至电子病历系统，完成数据对接)</w:t>
      </w:r>
    </w:p>
    <w:p w14:paraId="272DED9F">
      <w:pPr>
        <w:keepNext w:val="0"/>
        <w:keepLines w:val="0"/>
        <w:pageBreakBefore w:val="0"/>
        <w:widowControl w:val="0"/>
        <w:tabs>
          <w:tab w:val="left" w:pos="0"/>
        </w:tabs>
        <w:kinsoku/>
        <w:wordWrap/>
        <w:overflowPunct/>
        <w:topLinePunct w:val="0"/>
        <w:autoSpaceDE/>
        <w:autoSpaceDN/>
        <w:bidi w:val="0"/>
        <w:adjustRightInd/>
        <w:snapToGrid/>
        <w:spacing w:line="480" w:lineRule="exact"/>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lang w:val="en-US" w:eastAsia="zh-CN"/>
        </w:rPr>
        <w:t>系统性能：系统应运行稳定、安全可靠，满足医院日常心电检查、存储、调阅及数据交互的业务需求，确保7x24小时连续服务能力。</w:t>
      </w:r>
    </w:p>
    <w:p w14:paraId="54110727">
      <w:pPr>
        <w:keepNext w:val="0"/>
        <w:keepLines w:val="0"/>
        <w:pageBreakBefore w:val="0"/>
        <w:widowControl w:val="0"/>
        <w:tabs>
          <w:tab w:val="left" w:pos="0"/>
        </w:tabs>
        <w:kinsoku/>
        <w:wordWrap/>
        <w:overflowPunct/>
        <w:topLinePunct w:val="0"/>
        <w:autoSpaceDE/>
        <w:autoSpaceDN/>
        <w:bidi w:val="0"/>
        <w:adjustRightInd/>
        <w:snapToGrid/>
        <w:spacing w:line="480" w:lineRule="exact"/>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val="en-US" w:eastAsia="zh-CN"/>
        </w:rPr>
        <w:t>接口要求：必须实现与采购人现有HIS系统、PACS系统及电子病历系统的数据对接，确保患者信息自动获取及检查结果无缝传输。</w:t>
      </w:r>
    </w:p>
    <w:p w14:paraId="0959CCF6">
      <w:pPr>
        <w:tabs>
          <w:tab w:val="left" w:pos="0"/>
        </w:tabs>
        <w:spacing w:line="480" w:lineRule="exact"/>
        <w:ind w:left="480" w:hanging="482" w:hangingChars="200"/>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cs="宋体"/>
          <w:b/>
          <w:bCs/>
          <w:i w:val="0"/>
          <w:iCs w:val="0"/>
          <w:caps w:val="0"/>
          <w:color w:val="auto"/>
          <w:spacing w:val="0"/>
          <w:sz w:val="24"/>
          <w:szCs w:val="24"/>
          <w:highlight w:val="none"/>
          <w:shd w:val="clear" w:fill="FFFFFF"/>
          <w:lang w:val="en-US" w:eastAsia="zh-CN"/>
        </w:rPr>
        <w:t>二</w:t>
      </w:r>
      <w:r>
        <w:rPr>
          <w:rFonts w:hint="eastAsia" w:ascii="宋体" w:hAnsi="宋体" w:eastAsia="宋体" w:cs="宋体"/>
          <w:b/>
          <w:bCs/>
          <w:i w:val="0"/>
          <w:iCs w:val="0"/>
          <w:caps w:val="0"/>
          <w:color w:val="auto"/>
          <w:spacing w:val="0"/>
          <w:sz w:val="24"/>
          <w:szCs w:val="24"/>
          <w:highlight w:val="none"/>
          <w:shd w:val="clear" w:fill="FFFFFF"/>
          <w:lang w:val="en-US" w:eastAsia="zh-CN"/>
        </w:rPr>
        <w:t>、服务、培训与质量保证</w:t>
      </w:r>
    </w:p>
    <w:p w14:paraId="72E031F5">
      <w:pPr>
        <w:keepNext w:val="0"/>
        <w:keepLines w:val="0"/>
        <w:pageBreakBefore w:val="0"/>
        <w:widowControl w:val="0"/>
        <w:tabs>
          <w:tab w:val="left" w:pos="0"/>
        </w:tabs>
        <w:kinsoku/>
        <w:wordWrap/>
        <w:overflowPunct/>
        <w:topLinePunct w:val="0"/>
        <w:autoSpaceDE/>
        <w:autoSpaceDN/>
        <w:bidi w:val="0"/>
        <w:adjustRightInd/>
        <w:snapToGrid/>
        <w:spacing w:line="480" w:lineRule="exac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1、免费维保期：项目验收合格之日起</w:t>
      </w:r>
      <w:r>
        <w:rPr>
          <w:rFonts w:hint="eastAsia" w:ascii="宋体" w:hAnsi="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lang w:val="en-US" w:eastAsia="zh-CN"/>
        </w:rPr>
        <w:t>年。</w:t>
      </w:r>
      <w:r>
        <w:rPr>
          <w:rFonts w:hint="eastAsia" w:ascii="宋体" w:hAnsi="宋体" w:eastAsia="宋体" w:cs="宋体"/>
          <w:i w:val="0"/>
          <w:iCs w:val="0"/>
          <w:caps w:val="0"/>
          <w:color w:val="auto"/>
          <w:spacing w:val="0"/>
          <w:sz w:val="24"/>
          <w:szCs w:val="24"/>
          <w:highlight w:val="none"/>
          <w:shd w:val="clear" w:fill="FFFFFF"/>
          <w:lang w:val="en-US" w:eastAsia="zh-CN"/>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2、免费维保期内电话、email、远程、现场等方式解决日常维护中的问题，包括性能维护、操作使用、技术讲解和问题排故等。在免费维保期内实行“三包”服务，免费质量保证须提供系统维护、升级等技术支持服务,对影响生产的软件故障应提供7*24小时，2小时内响应，24小时内提供解决方案。费用含在报价内。免费维保期外应提供运行、功能故障的解决。</w:t>
      </w:r>
      <w:r>
        <w:rPr>
          <w:rFonts w:hint="eastAsia" w:ascii="宋体" w:hAnsi="宋体" w:eastAsia="宋体" w:cs="宋体"/>
          <w:i w:val="0"/>
          <w:iCs w:val="0"/>
          <w:caps w:val="0"/>
          <w:color w:val="auto"/>
          <w:spacing w:val="0"/>
          <w:sz w:val="24"/>
          <w:szCs w:val="24"/>
          <w:highlight w:val="none"/>
          <w:shd w:val="clear" w:fill="FFFFFF"/>
          <w:lang w:val="en-US" w:eastAsia="zh-CN"/>
        </w:rPr>
        <w:br w:type="textWrapping"/>
      </w:r>
      <w:r>
        <w:rPr>
          <w:rFonts w:hint="eastAsia" w:ascii="宋体" w:hAnsi="宋体" w:cs="宋体"/>
          <w:i w:val="0"/>
          <w:iCs w:val="0"/>
          <w:caps w:val="0"/>
          <w:color w:val="auto"/>
          <w:spacing w:val="0"/>
          <w:sz w:val="24"/>
          <w:szCs w:val="24"/>
          <w:highlight w:val="none"/>
          <w:shd w:val="clear" w:fill="FFFFFF"/>
          <w:lang w:val="en-US" w:eastAsia="zh-CN"/>
        </w:rPr>
        <w:t>3、培训服务</w:t>
      </w:r>
      <w:r>
        <w:rPr>
          <w:rFonts w:hint="eastAsia" w:ascii="宋体" w:hAnsi="宋体" w:cs="宋体"/>
          <w:i w:val="0"/>
          <w:iCs w:val="0"/>
          <w:caps w:val="0"/>
          <w:color w:val="auto"/>
          <w:spacing w:val="0"/>
          <w:sz w:val="24"/>
          <w:szCs w:val="24"/>
          <w:highlight w:val="none"/>
          <w:shd w:val="clear" w:fill="FFFFFF"/>
          <w:lang w:val="en-US" w:eastAsia="zh-CN"/>
        </w:rPr>
        <w:br w:type="textWrapping"/>
      </w:r>
      <w:r>
        <w:rPr>
          <w:rFonts w:hint="eastAsia" w:ascii="宋体" w:hAnsi="宋体" w:cs="宋体"/>
          <w:i w:val="0"/>
          <w:iCs w:val="0"/>
          <w:caps w:val="0"/>
          <w:color w:val="auto"/>
          <w:spacing w:val="0"/>
          <w:sz w:val="24"/>
          <w:szCs w:val="24"/>
          <w:highlight w:val="none"/>
          <w:shd w:val="clear" w:fill="FFFFFF"/>
          <w:lang w:val="en-US" w:eastAsia="zh-CN"/>
        </w:rPr>
        <w:t>培训内容要求：培训内容至少包括系统基础知识、系统软件维护、系统功能使用。</w:t>
      </w:r>
    </w:p>
    <w:p w14:paraId="5944EE14">
      <w:pPr>
        <w:keepNext w:val="0"/>
        <w:keepLines w:val="0"/>
        <w:pageBreakBefore w:val="0"/>
        <w:widowControl w:val="0"/>
        <w:tabs>
          <w:tab w:val="left" w:pos="0"/>
        </w:tabs>
        <w:kinsoku/>
        <w:wordWrap/>
        <w:overflowPunct/>
        <w:topLinePunct w:val="0"/>
        <w:autoSpaceDE/>
        <w:autoSpaceDN/>
        <w:bidi w:val="0"/>
        <w:adjustRightInd/>
        <w:snapToGrid/>
        <w:spacing w:line="480" w:lineRule="exac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培训方式要求：培训方式为集中授课。培训次数要求：不少于3次。</w:t>
      </w:r>
    </w:p>
    <w:p w14:paraId="5E18371F">
      <w:pPr>
        <w:keepNext w:val="0"/>
        <w:keepLines w:val="0"/>
        <w:pageBreakBefore w:val="0"/>
        <w:widowControl w:val="0"/>
        <w:tabs>
          <w:tab w:val="left" w:pos="0"/>
        </w:tabs>
        <w:kinsoku/>
        <w:wordWrap/>
        <w:overflowPunct/>
        <w:topLinePunct w:val="0"/>
        <w:autoSpaceDE/>
        <w:autoSpaceDN/>
        <w:bidi w:val="0"/>
        <w:adjustRightInd/>
        <w:snapToGrid/>
        <w:spacing w:line="480" w:lineRule="exact"/>
        <w:textAlignment w:val="auto"/>
        <w:rPr>
          <w:rFonts w:hint="default" w:ascii="宋体" w:hAnsi="宋体" w:eastAsia="宋体" w:cs="宋体"/>
          <w:i w:val="0"/>
          <w:iCs w:val="0"/>
          <w:caps w:val="0"/>
          <w:color w:val="auto"/>
          <w:spacing w:val="0"/>
          <w:sz w:val="24"/>
          <w:szCs w:val="24"/>
          <w:highlight w:val="none"/>
          <w:shd w:val="clear" w:fill="FFFFFF"/>
          <w:lang w:val="en-US" w:eastAsia="zh-CN"/>
        </w:rPr>
        <w:sectPr>
          <w:headerReference r:id="rId5" w:type="default"/>
          <w:footerReference r:id="rId6" w:type="default"/>
          <w:pgSz w:w="11910" w:h="16840"/>
          <w:pgMar w:top="1580" w:right="1372" w:bottom="1340" w:left="1650" w:header="1304" w:footer="1144" w:gutter="0"/>
          <w:pgNumType w:fmt="decimal"/>
          <w:cols w:space="720" w:num="1"/>
        </w:sectPr>
      </w:pPr>
      <w:r>
        <w:rPr>
          <w:rFonts w:hint="eastAsia" w:ascii="宋体" w:hAnsi="宋体" w:cs="宋体"/>
          <w:i w:val="0"/>
          <w:iCs w:val="0"/>
          <w:caps w:val="0"/>
          <w:color w:val="auto"/>
          <w:spacing w:val="0"/>
          <w:sz w:val="24"/>
          <w:szCs w:val="24"/>
          <w:highlight w:val="none"/>
          <w:shd w:val="clear" w:fill="FFFFFF"/>
          <w:lang w:val="en-US" w:eastAsia="zh-CN"/>
        </w:rPr>
        <w:t>培训人员要求：主要培训对象为业务人员和日常维护技术人员。每个培训内容的相关人员，具体人数视采购人需求而定。</w:t>
      </w:r>
      <w:r>
        <w:rPr>
          <w:rFonts w:hint="eastAsia" w:ascii="宋体" w:hAnsi="宋体" w:eastAsia="宋体" w:cs="宋体"/>
          <w:i w:val="0"/>
          <w:iCs w:val="0"/>
          <w:caps w:val="0"/>
          <w:color w:val="auto"/>
          <w:spacing w:val="0"/>
          <w:sz w:val="24"/>
          <w:szCs w:val="24"/>
          <w:highlight w:val="none"/>
          <w:shd w:val="clear" w:fill="FFFFFF"/>
          <w:lang w:val="en-US" w:eastAsia="zh-CN"/>
        </w:rPr>
        <w:br w:type="textWrapping"/>
      </w:r>
      <w:r>
        <w:rPr>
          <w:rFonts w:hint="eastAsia" w:ascii="宋体" w:hAnsi="宋体" w:cs="宋体"/>
          <w:b/>
          <w:bCs/>
          <w:i w:val="0"/>
          <w:iCs w:val="0"/>
          <w:caps w:val="0"/>
          <w:color w:val="auto"/>
          <w:spacing w:val="0"/>
          <w:sz w:val="24"/>
          <w:szCs w:val="24"/>
          <w:highlight w:val="none"/>
          <w:shd w:val="clear" w:fill="FFFFFF"/>
          <w:lang w:val="en-US" w:eastAsia="zh-CN"/>
        </w:rPr>
        <w:t>三</w:t>
      </w:r>
      <w:r>
        <w:rPr>
          <w:rFonts w:hint="eastAsia" w:ascii="宋体" w:hAnsi="宋体" w:eastAsia="宋体" w:cs="宋体"/>
          <w:b/>
          <w:bCs/>
          <w:i w:val="0"/>
          <w:iCs w:val="0"/>
          <w:caps w:val="0"/>
          <w:color w:val="auto"/>
          <w:spacing w:val="0"/>
          <w:sz w:val="24"/>
          <w:szCs w:val="24"/>
          <w:highlight w:val="none"/>
          <w:shd w:val="clear" w:fill="FFFFFF"/>
          <w:lang w:val="en-US" w:eastAsia="zh-CN"/>
        </w:rPr>
        <w:t>、报价要求</w:t>
      </w:r>
      <w:r>
        <w:rPr>
          <w:rFonts w:hint="eastAsia" w:ascii="宋体" w:hAnsi="宋体" w:eastAsia="宋体" w:cs="宋体"/>
          <w:i w:val="0"/>
          <w:iCs w:val="0"/>
          <w:caps w:val="0"/>
          <w:color w:val="auto"/>
          <w:spacing w:val="0"/>
          <w:sz w:val="24"/>
          <w:szCs w:val="24"/>
          <w:highlight w:val="none"/>
          <w:shd w:val="clear" w:fill="FFFFFF"/>
          <w:lang w:val="en-US" w:eastAsia="zh-CN"/>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本项目采用总价包干形式。供应商的报价应包含系统软件、授权、运输、安装调试、集成对接、培训、质保期服务、税费等完成本项目所发生的一切费用。采购人后期不再支付任何其他费用。</w:t>
      </w:r>
    </w:p>
    <w:p w14:paraId="38B3CFE5">
      <w:pPr>
        <w:pStyle w:val="2"/>
        <w:bidi w:val="0"/>
        <w:rPr>
          <w:rFonts w:asciiTheme="minorEastAsia" w:hAnsiTheme="minorEastAsia" w:eastAsiaTheme="minorEastAsia" w:cstheme="minorEastAsia"/>
          <w:color w:val="auto"/>
          <w:szCs w:val="24"/>
          <w:highlight w:val="none"/>
        </w:rPr>
      </w:pPr>
      <w:bookmarkStart w:id="40" w:name="_Toc20436"/>
      <w:bookmarkStart w:id="41" w:name="_Toc18671563"/>
      <w:bookmarkStart w:id="42" w:name="_Toc32636"/>
      <w:r>
        <w:rPr>
          <w:rFonts w:hint="eastAsia"/>
        </w:rPr>
        <w:t>第六章  单一来源响应</w:t>
      </w:r>
      <w:bookmarkEnd w:id="32"/>
      <w:bookmarkEnd w:id="33"/>
      <w:r>
        <w:rPr>
          <w:rFonts w:hint="eastAsia"/>
        </w:rPr>
        <w:t>文件</w:t>
      </w:r>
      <w:bookmarkEnd w:id="40"/>
      <w:bookmarkEnd w:id="41"/>
      <w:bookmarkEnd w:id="42"/>
    </w:p>
    <w:p w14:paraId="1D9E7080">
      <w:pPr>
        <w:rPr>
          <w:rFonts w:asciiTheme="minorEastAsia" w:hAnsiTheme="minorEastAsia" w:eastAsiaTheme="minorEastAsia" w:cstheme="minorEastAsia"/>
          <w:color w:val="auto"/>
          <w:sz w:val="24"/>
          <w:highlight w:val="none"/>
        </w:rPr>
      </w:pPr>
    </w:p>
    <w:p w14:paraId="56E50C06">
      <w:pPr>
        <w:jc w:val="center"/>
        <w:rPr>
          <w:rFonts w:asciiTheme="minorEastAsia" w:hAnsiTheme="minorEastAsia" w:eastAsiaTheme="minorEastAsia" w:cstheme="minorEastAsia"/>
          <w:b/>
          <w:color w:val="auto"/>
          <w:sz w:val="24"/>
          <w:highlight w:val="none"/>
        </w:rPr>
      </w:pPr>
    </w:p>
    <w:p w14:paraId="387B760F">
      <w:pPr>
        <w:rPr>
          <w:rFonts w:asciiTheme="minorEastAsia" w:hAnsiTheme="minorEastAsia" w:eastAsiaTheme="minorEastAsia" w:cstheme="minorEastAsia"/>
          <w:b/>
          <w:color w:val="auto"/>
          <w:sz w:val="24"/>
          <w:highlight w:val="none"/>
        </w:rPr>
      </w:pPr>
    </w:p>
    <w:p w14:paraId="26B8CC4C">
      <w:pPr>
        <w:spacing w:before="156" w:beforeLines="50" w:after="156" w:afterLine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单一来源响应文件</w:t>
      </w:r>
    </w:p>
    <w:p w14:paraId="7F50C833">
      <w:pPr>
        <w:spacing w:before="156" w:beforeLines="50" w:after="156" w:afterLines="50"/>
        <w:jc w:val="center"/>
        <w:rPr>
          <w:rFonts w:asciiTheme="minorEastAsia" w:hAnsiTheme="minorEastAsia" w:eastAsiaTheme="minorEastAsia" w:cstheme="minorEastAsia"/>
          <w:color w:val="auto"/>
          <w:sz w:val="24"/>
          <w:highlight w:val="none"/>
        </w:rPr>
      </w:pPr>
    </w:p>
    <w:p w14:paraId="4A52CD54">
      <w:pPr>
        <w:spacing w:before="156" w:beforeLines="50" w:after="156" w:afterLine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（封面）</w:t>
      </w:r>
    </w:p>
    <w:p w14:paraId="5217F55B">
      <w:pPr>
        <w:jc w:val="center"/>
        <w:rPr>
          <w:rFonts w:asciiTheme="minorEastAsia" w:hAnsiTheme="minorEastAsia" w:eastAsiaTheme="minorEastAsia" w:cstheme="minorEastAsia"/>
          <w:color w:val="auto"/>
          <w:sz w:val="24"/>
          <w:highlight w:val="none"/>
        </w:rPr>
      </w:pPr>
    </w:p>
    <w:p w14:paraId="4742B18D">
      <w:pPr>
        <w:jc w:val="center"/>
        <w:rPr>
          <w:rFonts w:asciiTheme="minorEastAsia" w:hAnsiTheme="minorEastAsia" w:eastAsiaTheme="minorEastAsia" w:cstheme="minorEastAsia"/>
          <w:color w:val="auto"/>
          <w:sz w:val="24"/>
          <w:highlight w:val="none"/>
        </w:rPr>
      </w:pPr>
    </w:p>
    <w:p w14:paraId="252D6561">
      <w:pPr>
        <w:jc w:val="center"/>
        <w:rPr>
          <w:rFonts w:asciiTheme="minorEastAsia" w:hAnsiTheme="minorEastAsia" w:eastAsiaTheme="minorEastAsia" w:cstheme="minorEastAsia"/>
          <w:color w:val="auto"/>
          <w:sz w:val="24"/>
          <w:highlight w:val="none"/>
        </w:rPr>
      </w:pPr>
    </w:p>
    <w:p w14:paraId="438402AD">
      <w:pPr>
        <w:rPr>
          <w:rFonts w:asciiTheme="minorEastAsia" w:hAnsiTheme="minorEastAsia" w:eastAsiaTheme="minorEastAsia" w:cstheme="minorEastAsia"/>
          <w:color w:val="auto"/>
          <w:sz w:val="24"/>
          <w:highlight w:val="none"/>
        </w:rPr>
      </w:pPr>
    </w:p>
    <w:p w14:paraId="65BD4C3B">
      <w:pPr>
        <w:ind w:firstLine="1320" w:firstLineChars="5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p w14:paraId="1B76A7EA">
      <w:pPr>
        <w:ind w:firstLine="1320" w:firstLineChars="5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p w14:paraId="3CEC03BC">
      <w:pPr>
        <w:jc w:val="center"/>
        <w:rPr>
          <w:rFonts w:asciiTheme="minorEastAsia" w:hAnsiTheme="minorEastAsia" w:eastAsiaTheme="minorEastAsia" w:cstheme="minorEastAsia"/>
          <w:color w:val="auto"/>
          <w:sz w:val="24"/>
          <w:highlight w:val="none"/>
        </w:rPr>
      </w:pPr>
    </w:p>
    <w:p w14:paraId="65561C84">
      <w:pPr>
        <w:jc w:val="center"/>
        <w:rPr>
          <w:rFonts w:asciiTheme="minorEastAsia" w:hAnsiTheme="minorEastAsia" w:eastAsiaTheme="minorEastAsia" w:cstheme="minorEastAsia"/>
          <w:color w:val="auto"/>
          <w:sz w:val="24"/>
          <w:highlight w:val="none"/>
        </w:rPr>
      </w:pPr>
    </w:p>
    <w:p w14:paraId="68029366">
      <w:pPr>
        <w:jc w:val="center"/>
        <w:rPr>
          <w:rFonts w:asciiTheme="minorEastAsia" w:hAnsiTheme="minorEastAsia" w:eastAsiaTheme="minorEastAsia" w:cstheme="minorEastAsia"/>
          <w:color w:val="auto"/>
          <w:sz w:val="24"/>
          <w:highlight w:val="none"/>
        </w:rPr>
      </w:pPr>
    </w:p>
    <w:p w14:paraId="49D2BAF7">
      <w:pPr>
        <w:jc w:val="center"/>
        <w:rPr>
          <w:rFonts w:asciiTheme="minorEastAsia" w:hAnsiTheme="minorEastAsia" w:eastAsiaTheme="minorEastAsia" w:cstheme="minorEastAsia"/>
          <w:color w:val="auto"/>
          <w:sz w:val="24"/>
          <w:highlight w:val="none"/>
        </w:rPr>
      </w:pPr>
    </w:p>
    <w:p w14:paraId="576EEA51">
      <w:pPr>
        <w:jc w:val="center"/>
        <w:rPr>
          <w:rFonts w:asciiTheme="minorEastAsia" w:hAnsiTheme="minorEastAsia" w:eastAsiaTheme="minorEastAsia" w:cstheme="minorEastAsia"/>
          <w:color w:val="auto"/>
          <w:sz w:val="24"/>
          <w:highlight w:val="none"/>
        </w:rPr>
      </w:pPr>
    </w:p>
    <w:p w14:paraId="49130CD9">
      <w:pPr>
        <w:jc w:val="center"/>
        <w:rPr>
          <w:rFonts w:asciiTheme="minorEastAsia" w:hAnsiTheme="minorEastAsia" w:eastAsiaTheme="minorEastAsia" w:cstheme="minorEastAsia"/>
          <w:color w:val="auto"/>
          <w:sz w:val="24"/>
          <w:highlight w:val="none"/>
        </w:rPr>
      </w:pPr>
    </w:p>
    <w:p w14:paraId="44320357">
      <w:pPr>
        <w:jc w:val="center"/>
        <w:rPr>
          <w:rFonts w:asciiTheme="minorEastAsia" w:hAnsiTheme="minorEastAsia" w:eastAsiaTheme="minorEastAsia" w:cstheme="minorEastAsia"/>
          <w:color w:val="auto"/>
          <w:sz w:val="24"/>
          <w:highlight w:val="none"/>
        </w:rPr>
      </w:pPr>
    </w:p>
    <w:p w14:paraId="384E0CCE">
      <w:pPr>
        <w:jc w:val="center"/>
        <w:rPr>
          <w:rFonts w:asciiTheme="minorEastAsia" w:hAnsiTheme="minorEastAsia" w:eastAsiaTheme="minorEastAsia" w:cstheme="minorEastAsia"/>
          <w:color w:val="auto"/>
          <w:sz w:val="24"/>
          <w:highlight w:val="none"/>
        </w:rPr>
      </w:pPr>
    </w:p>
    <w:p w14:paraId="64A22906">
      <w:pPr>
        <w:jc w:val="center"/>
        <w:rPr>
          <w:rFonts w:asciiTheme="minorEastAsia" w:hAnsiTheme="minorEastAsia" w:eastAsiaTheme="minorEastAsia" w:cstheme="minorEastAsia"/>
          <w:color w:val="auto"/>
          <w:sz w:val="24"/>
          <w:highlight w:val="none"/>
        </w:rPr>
      </w:pPr>
    </w:p>
    <w:p w14:paraId="626E5199">
      <w:pPr>
        <w:jc w:val="center"/>
        <w:rPr>
          <w:rFonts w:asciiTheme="minorEastAsia" w:hAnsiTheme="minorEastAsia" w:eastAsiaTheme="minorEastAsia" w:cstheme="minorEastAsia"/>
          <w:color w:val="auto"/>
          <w:sz w:val="24"/>
          <w:highlight w:val="none"/>
        </w:rPr>
      </w:pPr>
    </w:p>
    <w:p w14:paraId="0CC624A4">
      <w:pPr>
        <w:jc w:val="center"/>
        <w:rPr>
          <w:rFonts w:asciiTheme="minorEastAsia" w:hAnsiTheme="minorEastAsia" w:eastAsiaTheme="minorEastAsia" w:cstheme="minorEastAsia"/>
          <w:color w:val="auto"/>
          <w:sz w:val="24"/>
          <w:highlight w:val="none"/>
        </w:rPr>
      </w:pPr>
    </w:p>
    <w:p w14:paraId="2C9EF67A">
      <w:pPr>
        <w:jc w:val="center"/>
        <w:rPr>
          <w:rFonts w:asciiTheme="minorEastAsia" w:hAnsiTheme="minorEastAsia" w:eastAsiaTheme="minorEastAsia" w:cstheme="minorEastAsia"/>
          <w:color w:val="auto"/>
          <w:sz w:val="24"/>
          <w:highlight w:val="none"/>
        </w:rPr>
      </w:pPr>
    </w:p>
    <w:p w14:paraId="6D92BD43">
      <w:pPr>
        <w:ind w:firstLine="2100" w:firstLineChars="875"/>
        <w:jc w:val="left"/>
        <w:rPr>
          <w:rFonts w:asciiTheme="minorEastAsia" w:hAnsiTheme="minorEastAsia" w:eastAsiaTheme="minorEastAsia" w:cstheme="minorEastAsia"/>
          <w:color w:val="auto"/>
          <w:sz w:val="24"/>
          <w:highlight w:val="none"/>
        </w:rPr>
      </w:pPr>
    </w:p>
    <w:p w14:paraId="51B1B1AC">
      <w:pPr>
        <w:ind w:firstLine="2280" w:firstLineChars="950"/>
        <w:rPr>
          <w:rFonts w:asciiTheme="minorEastAsia" w:hAnsiTheme="minorEastAsia" w:eastAsiaTheme="minorEastAsia" w:cstheme="minorEastAsia"/>
          <w:color w:val="auto"/>
          <w:sz w:val="24"/>
          <w:highlight w:val="none"/>
        </w:rPr>
      </w:pPr>
    </w:p>
    <w:p w14:paraId="7498D41C">
      <w:pPr>
        <w:ind w:firstLine="1440" w:firstLineChars="6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                    </w:t>
      </w:r>
    </w:p>
    <w:p w14:paraId="3421D247">
      <w:pPr>
        <w:ind w:firstLine="1440" w:firstLineChars="600"/>
        <w:rPr>
          <w:rFonts w:asciiTheme="minorEastAsia" w:hAnsiTheme="minorEastAsia" w:eastAsiaTheme="minorEastAsia" w:cstheme="minorEastAsia"/>
          <w:b/>
          <w:color w:val="auto"/>
          <w:sz w:val="24"/>
          <w:highlight w:val="none"/>
          <w:u w:val="single"/>
        </w:rPr>
      </w:pPr>
      <w:r>
        <w:rPr>
          <w:rFonts w:hint="eastAsia" w:asciiTheme="minorEastAsia" w:hAnsiTheme="minorEastAsia" w:eastAsiaTheme="minorEastAsia" w:cstheme="minorEastAsia"/>
          <w:color w:val="auto"/>
          <w:sz w:val="24"/>
          <w:highlight w:val="none"/>
        </w:rPr>
        <w:t>签  章：</w:t>
      </w:r>
    </w:p>
    <w:p w14:paraId="3FCDE43D">
      <w:pPr>
        <w:ind w:firstLine="3240" w:firstLineChars="1350"/>
        <w:rPr>
          <w:rFonts w:asciiTheme="minorEastAsia" w:hAnsiTheme="minorEastAsia" w:eastAsiaTheme="minorEastAsia" w:cstheme="minorEastAsia"/>
          <w:color w:val="auto"/>
          <w:sz w:val="24"/>
          <w:highlight w:val="none"/>
        </w:rPr>
      </w:pPr>
    </w:p>
    <w:p w14:paraId="3F71C1C4">
      <w:pPr>
        <w:ind w:firstLine="3240" w:firstLineChars="1350"/>
        <w:rPr>
          <w:rFonts w:asciiTheme="minorEastAsia" w:hAnsiTheme="minorEastAsia" w:eastAsiaTheme="minorEastAsia" w:cstheme="minorEastAsia"/>
          <w:color w:val="auto"/>
          <w:sz w:val="24"/>
          <w:highlight w:val="none"/>
          <w:u w:val="single"/>
        </w:rPr>
      </w:pPr>
    </w:p>
    <w:p w14:paraId="3B9AD3B9">
      <w:pPr>
        <w:ind w:firstLine="3240" w:firstLineChars="1350"/>
        <w:rPr>
          <w:rFonts w:ascii="宋体" w:hAnsi="宋体" w:cs="宋体"/>
          <w:color w:val="auto"/>
          <w:sz w:val="24"/>
          <w:highlight w:val="none"/>
          <w:u w:val="single"/>
        </w:rPr>
      </w:pPr>
    </w:p>
    <w:p w14:paraId="50DDC386">
      <w:pPr>
        <w:ind w:firstLine="3240" w:firstLineChars="135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37A4FA4">
      <w:pPr>
        <w:pStyle w:val="28"/>
        <w:spacing w:before="156" w:beforeLines="50" w:after="156" w:afterLines="50" w:line="560" w:lineRule="exact"/>
        <w:ind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43" w:name="_Toc533314956"/>
      <w:bookmarkStart w:id="44" w:name="_Toc26899"/>
      <w:bookmarkStart w:id="45" w:name="_Hlk450146465"/>
      <w:bookmarkStart w:id="46" w:name="_Toc18671564"/>
      <w:bookmarkStart w:id="47" w:name="_Toc272163838"/>
      <w:r>
        <w:rPr>
          <w:rStyle w:val="31"/>
          <w:rFonts w:hint="eastAsia" w:ascii="宋体" w:hAnsi="宋体" w:eastAsia="宋体" w:cs="宋体"/>
          <w:b/>
          <w:color w:val="auto"/>
          <w:sz w:val="24"/>
          <w:szCs w:val="24"/>
          <w:highlight w:val="none"/>
        </w:rPr>
        <w:t>一、响应函格式</w:t>
      </w:r>
      <w:bookmarkEnd w:id="43"/>
      <w:bookmarkEnd w:id="44"/>
      <w:bookmarkEnd w:id="45"/>
      <w:bookmarkEnd w:id="46"/>
      <w:bookmarkEnd w:id="47"/>
    </w:p>
    <w:p w14:paraId="3703BAC3">
      <w:pPr>
        <w:spacing w:before="156" w:beforeLines="50" w:after="156" w:afterLines="50" w:line="5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致：</w:t>
      </w:r>
      <w:r>
        <w:rPr>
          <w:rFonts w:hint="eastAsia" w:asciiTheme="minorEastAsia" w:hAnsiTheme="minorEastAsia" w:eastAsiaTheme="minorEastAsia" w:cstheme="minorEastAsia"/>
          <w:b/>
          <w:color w:val="auto"/>
          <w:sz w:val="24"/>
          <w:highlight w:val="none"/>
          <w:u w:val="single"/>
        </w:rPr>
        <w:t>（采购人的名称）</w:t>
      </w:r>
    </w:p>
    <w:p w14:paraId="1272B6C3">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1、根据贵方</w:t>
      </w:r>
      <w:r>
        <w:rPr>
          <w:rFonts w:hint="eastAsia" w:asciiTheme="minorEastAsia" w:hAnsiTheme="minorEastAsia" w:eastAsiaTheme="minorEastAsia" w:cstheme="minorEastAsia"/>
          <w:color w:val="auto"/>
          <w:sz w:val="24"/>
          <w:highlight w:val="none"/>
          <w:u w:val="single"/>
        </w:rPr>
        <w:t xml:space="preserve"> （项目编号） </w:t>
      </w:r>
      <w:r>
        <w:rPr>
          <w:rFonts w:hint="eastAsia" w:asciiTheme="minorEastAsia" w:hAnsiTheme="minorEastAsia" w:eastAsiaTheme="minorEastAsia" w:cstheme="minorEastAsia"/>
          <w:color w:val="auto"/>
          <w:sz w:val="24"/>
          <w:highlight w:val="none"/>
        </w:rPr>
        <w:t>单一来源文件，我们决定参加贵方组织的</w:t>
      </w:r>
      <w:r>
        <w:rPr>
          <w:rFonts w:hint="eastAsia" w:asciiTheme="minorEastAsia" w:hAnsiTheme="minorEastAsia" w:eastAsiaTheme="minorEastAsia" w:cstheme="minorEastAsia"/>
          <w:color w:val="auto"/>
          <w:sz w:val="24"/>
          <w:highlight w:val="none"/>
          <w:u w:val="single"/>
        </w:rPr>
        <w:t xml:space="preserve"> （项目名称） </w:t>
      </w:r>
      <w:r>
        <w:rPr>
          <w:rFonts w:hint="eastAsia" w:asciiTheme="minorEastAsia" w:hAnsiTheme="minorEastAsia" w:eastAsiaTheme="minorEastAsia" w:cstheme="minorEastAsia"/>
          <w:color w:val="auto"/>
          <w:sz w:val="24"/>
          <w:highlight w:val="none"/>
        </w:rPr>
        <w:t>的采购活动。我方授权</w:t>
      </w:r>
      <w:r>
        <w:rPr>
          <w:rFonts w:hint="eastAsia" w:asciiTheme="minorEastAsia" w:hAnsiTheme="minorEastAsia" w:eastAsiaTheme="minorEastAsia" w:cstheme="minorEastAsia"/>
          <w:color w:val="auto"/>
          <w:sz w:val="24"/>
          <w:highlight w:val="none"/>
          <w:u w:val="single"/>
        </w:rPr>
        <w:t xml:space="preserve">  (姓名和职务)  </w:t>
      </w:r>
      <w:r>
        <w:rPr>
          <w:rFonts w:hint="eastAsia" w:asciiTheme="minorEastAsia" w:hAnsiTheme="minorEastAsia" w:eastAsiaTheme="minorEastAsia" w:cstheme="minorEastAsia"/>
          <w:color w:val="auto"/>
          <w:sz w:val="24"/>
          <w:highlight w:val="none"/>
        </w:rPr>
        <w:t>代表我方</w:t>
      </w:r>
      <w:r>
        <w:rPr>
          <w:rFonts w:hint="eastAsia" w:asciiTheme="minorEastAsia" w:hAnsiTheme="minorEastAsia" w:eastAsiaTheme="minorEastAsia" w:cstheme="minorEastAsia"/>
          <w:color w:val="auto"/>
          <w:sz w:val="24"/>
          <w:highlight w:val="none"/>
          <w:u w:val="single"/>
        </w:rPr>
        <w:t xml:space="preserve"> （供应商全称） </w:t>
      </w:r>
      <w:r>
        <w:rPr>
          <w:rFonts w:hint="eastAsia" w:asciiTheme="minorEastAsia" w:hAnsiTheme="minorEastAsia" w:eastAsiaTheme="minorEastAsia" w:cstheme="minorEastAsia"/>
          <w:color w:val="auto"/>
          <w:sz w:val="24"/>
          <w:highlight w:val="none"/>
        </w:rPr>
        <w:t>全权处理本项目的有关事宜。</w:t>
      </w:r>
    </w:p>
    <w:p w14:paraId="0CA9C36A">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2、我方愿意按照单一来源文件规定的各项要求，向采购人提供所需的服务。</w:t>
      </w:r>
    </w:p>
    <w:p w14:paraId="67308C3D">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3、一旦确定我方成交，我方将严格履行合同规定的责任和义务，保证于合同签字生效后按时完成服务内容并交付采购人验收、使用。</w:t>
      </w:r>
    </w:p>
    <w:p w14:paraId="4E46D015">
      <w:pPr>
        <w:tabs>
          <w:tab w:val="left" w:pos="840"/>
        </w:tabs>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4、我方愿意提供贵方可能另外要求的、与协商有关的文件资料，并保证我方已提供和将要提供的文件是真实的、准确的。</w:t>
      </w:r>
    </w:p>
    <w:p w14:paraId="07233C8C">
      <w:pPr>
        <w:spacing w:line="500" w:lineRule="exact"/>
        <w:jc w:val="left"/>
        <w:rPr>
          <w:rFonts w:asciiTheme="minorEastAsia" w:hAnsiTheme="minorEastAsia" w:eastAsiaTheme="minorEastAsia" w:cstheme="minorEastAsia"/>
          <w:color w:val="auto"/>
          <w:sz w:val="24"/>
          <w:highlight w:val="none"/>
        </w:rPr>
      </w:pPr>
    </w:p>
    <w:p w14:paraId="2F5E62EE">
      <w:pPr>
        <w:spacing w:line="500" w:lineRule="exact"/>
        <w:jc w:val="left"/>
        <w:rPr>
          <w:rFonts w:asciiTheme="minorEastAsia" w:hAnsiTheme="minorEastAsia" w:eastAsiaTheme="minorEastAsia" w:cstheme="minorEastAsia"/>
          <w:color w:val="auto"/>
          <w:sz w:val="24"/>
          <w:highlight w:val="none"/>
        </w:rPr>
      </w:pPr>
    </w:p>
    <w:p w14:paraId="128B872A">
      <w:pPr>
        <w:spacing w:line="500" w:lineRule="exact"/>
        <w:jc w:val="left"/>
        <w:rPr>
          <w:rFonts w:asciiTheme="minorEastAsia" w:hAnsiTheme="minorEastAsia" w:eastAsiaTheme="minorEastAsia" w:cstheme="minorEastAsia"/>
          <w:color w:val="auto"/>
          <w:sz w:val="24"/>
          <w:highlight w:val="none"/>
        </w:rPr>
      </w:pPr>
    </w:p>
    <w:p w14:paraId="1DC03E2A">
      <w:pPr>
        <w:spacing w:line="500" w:lineRule="exact"/>
        <w:jc w:val="left"/>
        <w:rPr>
          <w:rFonts w:asciiTheme="minorEastAsia" w:hAnsiTheme="minorEastAsia" w:eastAsiaTheme="minorEastAsia" w:cstheme="minorEastAsia"/>
          <w:color w:val="auto"/>
          <w:sz w:val="24"/>
          <w:highlight w:val="none"/>
        </w:rPr>
      </w:pPr>
    </w:p>
    <w:p w14:paraId="5B2921CA">
      <w:pPr>
        <w:pStyle w:val="27"/>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公</w:t>
      </w:r>
      <w:r>
        <w:rPr>
          <w:rFonts w:hint="eastAsia" w:asciiTheme="minorEastAsia" w:hAnsiTheme="minorEastAsia" w:eastAsiaTheme="minorEastAsia" w:cstheme="minorEastAsia"/>
          <w:color w:val="auto"/>
          <w:sz w:val="24"/>
          <w:szCs w:val="24"/>
          <w:highlight w:val="none"/>
        </w:rPr>
        <w:t>章）</w:t>
      </w:r>
    </w:p>
    <w:p w14:paraId="57468435">
      <w:pPr>
        <w:pStyle w:val="27"/>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2FEEC379">
      <w:pPr>
        <w:pStyle w:val="27"/>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4E61D4D3">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p w14:paraId="640AA333">
      <w:pPr>
        <w:pStyle w:val="28"/>
        <w:spacing w:line="500" w:lineRule="exact"/>
        <w:ind w:firstLine="3123" w:firstLineChars="129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48" w:name="_Toc2979"/>
    </w:p>
    <w:p w14:paraId="0478F5DC">
      <w:pPr>
        <w:pStyle w:val="3"/>
        <w:spacing w:before="156" w:beforeLines="50" w:after="156" w:afterLines="50" w:line="560" w:lineRule="exact"/>
        <w:jc w:val="center"/>
        <w:rPr>
          <w:rFonts w:ascii="宋体" w:hAnsi="宋体" w:eastAsia="宋体" w:cs="宋体"/>
          <w:color w:val="auto"/>
          <w:sz w:val="24"/>
          <w:szCs w:val="24"/>
          <w:highlight w:val="none"/>
        </w:rPr>
      </w:pPr>
      <w:bookmarkStart w:id="49" w:name="_Toc18671565"/>
      <w:bookmarkStart w:id="50" w:name="_Toc14608"/>
      <w:r>
        <w:rPr>
          <w:rFonts w:hint="eastAsia" w:ascii="宋体" w:hAnsi="宋体" w:eastAsia="宋体" w:cs="宋体"/>
          <w:color w:val="auto"/>
          <w:sz w:val="24"/>
          <w:szCs w:val="24"/>
          <w:highlight w:val="none"/>
        </w:rPr>
        <w:t>二、响应一览表</w:t>
      </w:r>
      <w:bookmarkEnd w:id="48"/>
      <w:bookmarkEnd w:id="49"/>
      <w:bookmarkEnd w:id="50"/>
    </w:p>
    <w:p w14:paraId="4E46E087">
      <w:pPr>
        <w:pStyle w:val="28"/>
        <w:ind w:firstLine="0" w:firstLineChars="0"/>
        <w:rPr>
          <w:rFonts w:asciiTheme="minorEastAsia" w:hAnsiTheme="minorEastAsia" w:eastAsiaTheme="minorEastAsia" w:cstheme="minorEastAsia"/>
          <w:color w:val="auto"/>
          <w:sz w:val="24"/>
          <w:highlight w:val="none"/>
        </w:rPr>
      </w:pPr>
    </w:p>
    <w:tbl>
      <w:tblPr>
        <w:tblStyle w:val="1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EE4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2F20C234">
            <w:pPr>
              <w:widowControl/>
              <w:spacing w:line="360" w:lineRule="exact"/>
              <w:jc w:val="center"/>
              <w:rPr>
                <w:rFonts w:asciiTheme="minorEastAsia" w:hAnsiTheme="minorEastAsia" w:eastAsiaTheme="minorEastAsia" w:cstheme="minorEastAsia"/>
                <w:b/>
                <w:color w:val="auto"/>
                <w:sz w:val="24"/>
                <w:highlight w:val="none"/>
              </w:rPr>
            </w:pPr>
            <w:bookmarkStart w:id="51" w:name="_Toc272141475"/>
            <w:bookmarkStart w:id="52" w:name="_Toc293560332"/>
            <w:bookmarkStart w:id="53" w:name="_Hlk450185766"/>
            <w:r>
              <w:rPr>
                <w:rFonts w:hint="eastAsia" w:asciiTheme="minorEastAsia" w:hAnsiTheme="minorEastAsia" w:eastAsiaTheme="minorEastAsia" w:cstheme="minorEastAsia"/>
                <w:b/>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14:paraId="50149067">
            <w:pPr>
              <w:spacing w:line="360" w:lineRule="exact"/>
              <w:rPr>
                <w:rFonts w:asciiTheme="minorEastAsia" w:hAnsiTheme="minorEastAsia" w:eastAsiaTheme="minorEastAsia" w:cstheme="minorEastAsia"/>
                <w:bCs/>
                <w:color w:val="auto"/>
                <w:sz w:val="24"/>
                <w:highlight w:val="none"/>
                <w:u w:val="single"/>
              </w:rPr>
            </w:pPr>
          </w:p>
        </w:tc>
      </w:tr>
      <w:tr w14:paraId="10EF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2423788E">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项目编号</w:t>
            </w:r>
          </w:p>
        </w:tc>
        <w:tc>
          <w:tcPr>
            <w:tcW w:w="6667" w:type="dxa"/>
            <w:tcBorders>
              <w:top w:val="nil"/>
            </w:tcBorders>
            <w:vAlign w:val="center"/>
          </w:tcPr>
          <w:p w14:paraId="07389999">
            <w:pPr>
              <w:rPr>
                <w:rFonts w:asciiTheme="minorEastAsia" w:hAnsiTheme="minorEastAsia" w:eastAsiaTheme="minorEastAsia" w:cstheme="minorEastAsia"/>
                <w:bCs/>
                <w:color w:val="auto"/>
                <w:sz w:val="24"/>
                <w:highlight w:val="none"/>
              </w:rPr>
            </w:pPr>
          </w:p>
        </w:tc>
      </w:tr>
      <w:tr w14:paraId="5834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F6BA9AD">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响应供应商全称</w:t>
            </w:r>
          </w:p>
        </w:tc>
        <w:tc>
          <w:tcPr>
            <w:tcW w:w="6667" w:type="dxa"/>
            <w:tcBorders>
              <w:top w:val="nil"/>
            </w:tcBorders>
            <w:vAlign w:val="center"/>
          </w:tcPr>
          <w:p w14:paraId="0E232771">
            <w:pPr>
              <w:spacing w:line="360" w:lineRule="auto"/>
              <w:rPr>
                <w:rFonts w:asciiTheme="minorEastAsia" w:hAnsiTheme="minorEastAsia" w:eastAsiaTheme="minorEastAsia" w:cstheme="minorEastAsia"/>
                <w:bCs/>
                <w:color w:val="auto"/>
                <w:sz w:val="24"/>
                <w:highlight w:val="none"/>
              </w:rPr>
            </w:pPr>
          </w:p>
        </w:tc>
      </w:tr>
      <w:tr w14:paraId="3057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27DE2047">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响应范围</w:t>
            </w:r>
          </w:p>
        </w:tc>
        <w:tc>
          <w:tcPr>
            <w:tcW w:w="6667" w:type="dxa"/>
            <w:tcBorders>
              <w:top w:val="nil"/>
            </w:tcBorders>
            <w:vAlign w:val="center"/>
          </w:tcPr>
          <w:p w14:paraId="6320CAF8">
            <w:pPr>
              <w:widowControl/>
              <w:spacing w:line="36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第</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包(不分包项目填写“全部”)</w:t>
            </w:r>
          </w:p>
        </w:tc>
      </w:tr>
      <w:tr w14:paraId="4125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restart"/>
            <w:tcBorders>
              <w:top w:val="nil"/>
            </w:tcBorders>
            <w:vAlign w:val="center"/>
          </w:tcPr>
          <w:p w14:paraId="17F79DA4">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响应报价</w:t>
            </w:r>
          </w:p>
          <w:p w14:paraId="4B1ECB46">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（人民币）</w:t>
            </w:r>
          </w:p>
          <w:p w14:paraId="75C394AB">
            <w:pPr>
              <w:spacing w:line="360" w:lineRule="exact"/>
              <w:jc w:val="center"/>
              <w:rPr>
                <w:rFonts w:asciiTheme="minorEastAsia" w:hAnsiTheme="minorEastAsia" w:eastAsiaTheme="minorEastAsia" w:cstheme="minorEastAsia"/>
                <w:b/>
                <w:color w:val="auto"/>
                <w:sz w:val="24"/>
                <w:highlight w:val="none"/>
              </w:rPr>
            </w:pPr>
          </w:p>
        </w:tc>
        <w:tc>
          <w:tcPr>
            <w:tcW w:w="6667" w:type="dxa"/>
            <w:tcBorders>
              <w:top w:val="nil"/>
            </w:tcBorders>
            <w:vAlign w:val="center"/>
          </w:tcPr>
          <w:p w14:paraId="022A4CBA">
            <w:pPr>
              <w:spacing w:line="360" w:lineRule="auto"/>
              <w:ind w:right="-670"/>
              <w:rPr>
                <w:rFonts w:asciiTheme="minorEastAsia" w:hAnsiTheme="minorEastAsia" w:eastAsiaTheme="minorEastAsia" w:cstheme="minorEastAsia"/>
                <w:bCs/>
                <w:color w:val="auto"/>
                <w:sz w:val="24"/>
                <w:highlight w:val="none"/>
              </w:rPr>
            </w:pPr>
          </w:p>
          <w:p w14:paraId="019B353B">
            <w:pPr>
              <w:spacing w:line="360" w:lineRule="auto"/>
              <w:ind w:right="-67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大写：</w:t>
            </w:r>
            <w:r>
              <w:rPr>
                <w:rFonts w:hint="eastAsia" w:asciiTheme="minorEastAsia" w:hAnsiTheme="minorEastAsia" w:eastAsiaTheme="minorEastAsia" w:cstheme="minorEastAsia"/>
                <w:bCs/>
                <w:color w:val="auto"/>
                <w:sz w:val="24"/>
                <w:highlight w:val="none"/>
                <w:u w:val="single"/>
              </w:rPr>
              <w:t xml:space="preserve">        </w:t>
            </w:r>
          </w:p>
        </w:tc>
      </w:tr>
      <w:tr w14:paraId="2C08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continue"/>
            <w:vAlign w:val="center"/>
          </w:tcPr>
          <w:p w14:paraId="57540F48">
            <w:pPr>
              <w:spacing w:line="360" w:lineRule="exact"/>
              <w:jc w:val="center"/>
              <w:rPr>
                <w:rFonts w:asciiTheme="minorEastAsia" w:hAnsiTheme="minorEastAsia" w:eastAsiaTheme="minorEastAsia" w:cstheme="minorEastAsia"/>
                <w:b/>
                <w:color w:val="auto"/>
                <w:sz w:val="24"/>
                <w:highlight w:val="none"/>
              </w:rPr>
            </w:pPr>
          </w:p>
        </w:tc>
        <w:tc>
          <w:tcPr>
            <w:tcW w:w="6667" w:type="dxa"/>
            <w:tcBorders>
              <w:top w:val="nil"/>
            </w:tcBorders>
            <w:vAlign w:val="center"/>
          </w:tcPr>
          <w:p w14:paraId="080C1275">
            <w:pPr>
              <w:spacing w:line="360" w:lineRule="auto"/>
              <w:ind w:right="-670"/>
              <w:rPr>
                <w:rFonts w:asciiTheme="minorEastAsia" w:hAnsiTheme="minorEastAsia" w:eastAsiaTheme="minorEastAsia" w:cstheme="minorEastAsia"/>
                <w:bCs/>
                <w:color w:val="auto"/>
                <w:sz w:val="24"/>
                <w:highlight w:val="none"/>
              </w:rPr>
            </w:pPr>
          </w:p>
          <w:p w14:paraId="20E7B22B">
            <w:pPr>
              <w:spacing w:line="360" w:lineRule="auto"/>
              <w:ind w:right="-67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小写：</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（元/%）</w:t>
            </w:r>
          </w:p>
          <w:p w14:paraId="652AAA75">
            <w:pPr>
              <w:spacing w:line="360" w:lineRule="auto"/>
              <w:ind w:right="-670"/>
              <w:rPr>
                <w:rFonts w:asciiTheme="minorEastAsia" w:hAnsiTheme="minorEastAsia" w:eastAsiaTheme="minorEastAsia" w:cstheme="minorEastAsia"/>
                <w:bCs/>
                <w:color w:val="auto"/>
                <w:sz w:val="24"/>
                <w:highlight w:val="none"/>
              </w:rPr>
            </w:pPr>
          </w:p>
        </w:tc>
      </w:tr>
      <w:tr w14:paraId="43AB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14:paraId="05E5357E">
            <w:pP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w:t>
            </w:r>
          </w:p>
        </w:tc>
        <w:tc>
          <w:tcPr>
            <w:tcW w:w="6667" w:type="dxa"/>
            <w:tcBorders>
              <w:top w:val="nil"/>
            </w:tcBorders>
            <w:vAlign w:val="center"/>
          </w:tcPr>
          <w:p w14:paraId="061E4B9D">
            <w:pPr>
              <w:spacing w:line="360" w:lineRule="auto"/>
              <w:jc w:val="left"/>
              <w:rPr>
                <w:rFonts w:asciiTheme="minorEastAsia" w:hAnsiTheme="minorEastAsia" w:eastAsiaTheme="minorEastAsia" w:cstheme="minorEastAsia"/>
                <w:bCs/>
                <w:color w:val="auto"/>
                <w:sz w:val="24"/>
                <w:highlight w:val="none"/>
              </w:rPr>
            </w:pPr>
          </w:p>
        </w:tc>
      </w:tr>
    </w:tbl>
    <w:p w14:paraId="7016A9C7">
      <w:pPr>
        <w:spacing w:before="100" w:beforeAutospacing="1" w:after="100" w:afterAutospacing="1" w:line="360" w:lineRule="auto"/>
        <w:rPr>
          <w:rFonts w:asciiTheme="minorEastAsia" w:hAnsiTheme="minorEastAsia" w:eastAsiaTheme="minorEastAsia" w:cstheme="minorEastAsia"/>
          <w:b/>
          <w:color w:val="auto"/>
          <w:sz w:val="24"/>
          <w:highlight w:val="none"/>
        </w:rPr>
      </w:pPr>
    </w:p>
    <w:p w14:paraId="4994651F">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响应供应商（公章）：   </w:t>
      </w:r>
    </w:p>
    <w:p w14:paraId="24F063F7">
      <w:pPr>
        <w:rPr>
          <w:rFonts w:asciiTheme="minorEastAsia" w:hAnsiTheme="minorEastAsia" w:eastAsiaTheme="minorEastAsia" w:cstheme="minorEastAsia"/>
          <w:color w:val="auto"/>
          <w:sz w:val="24"/>
          <w:highlight w:val="none"/>
        </w:rPr>
      </w:pPr>
    </w:p>
    <w:p w14:paraId="70BDA998">
      <w:pPr>
        <w:rPr>
          <w:rFonts w:asciiTheme="minorEastAsia" w:hAnsiTheme="minorEastAsia" w:eastAsiaTheme="minorEastAsia" w:cstheme="minorEastAsia"/>
          <w:color w:val="auto"/>
          <w:sz w:val="24"/>
          <w:highlight w:val="none"/>
        </w:rPr>
      </w:pPr>
    </w:p>
    <w:p w14:paraId="4F17C23C">
      <w:pP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b/>
          <w:color w:val="auto"/>
          <w:sz w:val="24"/>
          <w:highlight w:val="none"/>
        </w:rPr>
        <w:t>日期</w:t>
      </w:r>
      <w:r>
        <w:rPr>
          <w:rFonts w:hint="eastAsia" w:asciiTheme="minorEastAsia" w:hAnsiTheme="minorEastAsia" w:eastAsiaTheme="minorEastAsia" w:cstheme="minorEastAsia"/>
          <w:color w:val="auto"/>
          <w:sz w:val="24"/>
          <w:highlight w:val="none"/>
        </w:rPr>
        <w:t>：   年    月    日</w:t>
      </w:r>
    </w:p>
    <w:p w14:paraId="77A7D5BE">
      <w:pPr>
        <w:rPr>
          <w:rFonts w:asciiTheme="minorEastAsia" w:hAnsiTheme="minorEastAsia" w:eastAsiaTheme="minorEastAsia" w:cstheme="minorEastAsia"/>
          <w:color w:val="auto"/>
          <w:sz w:val="24"/>
          <w:highlight w:val="none"/>
        </w:rPr>
      </w:pPr>
    </w:p>
    <w:p w14:paraId="2D0F2696">
      <w:pPr>
        <w:rPr>
          <w:rFonts w:asciiTheme="minorEastAsia" w:hAnsiTheme="minorEastAsia" w:eastAsiaTheme="minorEastAsia" w:cstheme="minorEastAsia"/>
          <w:color w:val="auto"/>
          <w:sz w:val="24"/>
          <w:highlight w:val="none"/>
        </w:rPr>
      </w:pPr>
    </w:p>
    <w:p w14:paraId="4AA360FD">
      <w:pPr>
        <w:rPr>
          <w:rFonts w:asciiTheme="minorEastAsia" w:hAnsiTheme="minorEastAsia" w:eastAsiaTheme="minorEastAsia" w:cstheme="minorEastAsia"/>
          <w:color w:val="auto"/>
          <w:sz w:val="24"/>
          <w:highlight w:val="none"/>
        </w:rPr>
      </w:pPr>
    </w:p>
    <w:p w14:paraId="5A22D56F">
      <w:pPr>
        <w:rPr>
          <w:rFonts w:asciiTheme="minorEastAsia" w:hAnsiTheme="minorEastAsia" w:eastAsiaTheme="minorEastAsia" w:cstheme="minorEastAsia"/>
          <w:color w:val="auto"/>
          <w:sz w:val="24"/>
          <w:highlight w:val="none"/>
        </w:rPr>
      </w:pPr>
    </w:p>
    <w:p w14:paraId="0997A426">
      <w:pPr>
        <w:rPr>
          <w:rFonts w:asciiTheme="minorEastAsia" w:hAnsiTheme="minorEastAsia" w:eastAsiaTheme="minorEastAsia" w:cstheme="minorEastAsia"/>
          <w:color w:val="auto"/>
          <w:sz w:val="24"/>
          <w:highlight w:val="none"/>
        </w:rPr>
      </w:pPr>
    </w:p>
    <w:p w14:paraId="54275284">
      <w:pPr>
        <w:rPr>
          <w:rFonts w:asciiTheme="minorEastAsia" w:hAnsiTheme="minorEastAsia" w:eastAsiaTheme="minorEastAsia" w:cstheme="minorEastAsia"/>
          <w:color w:val="auto"/>
          <w:sz w:val="24"/>
          <w:highlight w:val="none"/>
        </w:rPr>
      </w:pPr>
    </w:p>
    <w:p w14:paraId="079FE577">
      <w:pPr>
        <w:pStyle w:val="3"/>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bookmarkStart w:id="54" w:name="_Toc3760"/>
      <w:r>
        <w:rPr>
          <w:rFonts w:hint="eastAsia" w:asciiTheme="minorEastAsia" w:hAnsiTheme="minorEastAsia" w:eastAsiaTheme="minorEastAsia" w:cstheme="minorEastAsia"/>
          <w:color w:val="auto"/>
          <w:sz w:val="24"/>
          <w:szCs w:val="24"/>
          <w:highlight w:val="none"/>
        </w:rPr>
        <w:br w:type="page"/>
      </w:r>
      <w:bookmarkStart w:id="55" w:name="_Toc2257"/>
      <w:bookmarkStart w:id="56" w:name="_Toc9309"/>
      <w:bookmarkStart w:id="57" w:name="_Toc18671566"/>
      <w:r>
        <w:rPr>
          <w:rFonts w:hint="eastAsia" w:ascii="宋体" w:hAnsi="宋体" w:eastAsia="宋体" w:cs="宋体"/>
          <w:color w:val="auto"/>
          <w:sz w:val="24"/>
          <w:szCs w:val="24"/>
          <w:highlight w:val="none"/>
        </w:rPr>
        <w:t>三、营业执照</w:t>
      </w:r>
      <w:bookmarkEnd w:id="55"/>
      <w:bookmarkEnd w:id="56"/>
    </w:p>
    <w:p w14:paraId="50033E97">
      <w:pPr>
        <w:jc w:val="center"/>
        <w:rPr>
          <w:rFonts w:ascii="宋体" w:hAnsi="宋体" w:cs="宋体"/>
          <w:color w:val="auto"/>
          <w:sz w:val="24"/>
          <w:highlight w:val="none"/>
        </w:rPr>
      </w:pPr>
      <w:bookmarkStart w:id="58" w:name="_Toc24176"/>
      <w:r>
        <w:rPr>
          <w:rFonts w:hint="eastAsia"/>
          <w:color w:val="auto"/>
          <w:sz w:val="24"/>
          <w:highlight w:val="none"/>
        </w:rPr>
        <w:t>（营业执照等信息）</w:t>
      </w:r>
    </w:p>
    <w:p w14:paraId="7FDACC7C">
      <w:pPr>
        <w:rPr>
          <w:rFonts w:ascii="宋体" w:hAnsi="宋体" w:cs="宋体"/>
          <w:color w:val="auto"/>
          <w:sz w:val="24"/>
          <w:highlight w:val="none"/>
        </w:rPr>
      </w:pPr>
      <w:r>
        <w:rPr>
          <w:rFonts w:hint="eastAsia" w:ascii="宋体" w:hAnsi="宋体" w:cs="宋体"/>
          <w:color w:val="auto"/>
          <w:sz w:val="24"/>
          <w:highlight w:val="none"/>
        </w:rPr>
        <w:br w:type="page"/>
      </w:r>
    </w:p>
    <w:p w14:paraId="2EF2772B">
      <w:pPr>
        <w:pStyle w:val="3"/>
        <w:spacing w:before="156" w:beforeLines="50" w:after="156" w:afterLines="50" w:line="560" w:lineRule="exact"/>
        <w:jc w:val="center"/>
        <w:rPr>
          <w:rFonts w:ascii="宋体" w:hAnsi="宋体" w:eastAsia="宋体" w:cs="宋体"/>
          <w:color w:val="auto"/>
          <w:sz w:val="24"/>
          <w:szCs w:val="24"/>
          <w:highlight w:val="none"/>
        </w:rPr>
      </w:pPr>
      <w:bookmarkStart w:id="59" w:name="_Toc1365"/>
      <w:r>
        <w:rPr>
          <w:rFonts w:hint="eastAsia" w:ascii="宋体" w:hAnsi="宋体" w:eastAsia="宋体" w:cs="宋体"/>
          <w:color w:val="auto"/>
          <w:sz w:val="24"/>
          <w:szCs w:val="24"/>
          <w:highlight w:val="none"/>
        </w:rPr>
        <w:t>四、授权委托书</w:t>
      </w:r>
      <w:bookmarkEnd w:id="58"/>
      <w:bookmarkEnd w:id="59"/>
    </w:p>
    <w:p w14:paraId="7C8ABC6B">
      <w:pPr>
        <w:pStyle w:val="6"/>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hAnsi="宋体" w:cs="宋体"/>
          <w:color w:val="auto"/>
          <w:sz w:val="24"/>
          <w:highlight w:val="none"/>
          <w:u w:val="single"/>
        </w:rPr>
        <w:t xml:space="preserve"> （供应商名称的全称） </w:t>
      </w:r>
      <w:r>
        <w:rPr>
          <w:rFonts w:hint="eastAsia" w:asciiTheme="minorEastAsia" w:hAnsiTheme="minorEastAsia" w:eastAsiaTheme="minorEastAsia" w:cstheme="minorEastAsia"/>
          <w:color w:val="auto"/>
          <w:sz w:val="24"/>
          <w:highlight w:val="none"/>
        </w:rPr>
        <w:t>授权本公司</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（响应供应商授权代表姓名、职务）代表本公司参加</w:t>
      </w:r>
      <w:r>
        <w:rPr>
          <w:rFonts w:hint="eastAsia" w:asciiTheme="minorEastAsia" w:hAnsiTheme="minorEastAsia" w:eastAsiaTheme="minorEastAsia" w:cstheme="minorEastAsia"/>
          <w:color w:val="auto"/>
          <w:sz w:val="24"/>
          <w:highlight w:val="none"/>
          <w:u w:val="single"/>
        </w:rPr>
        <w:t xml:space="preserve">       某项目</w:t>
      </w:r>
      <w:r>
        <w:rPr>
          <w:rFonts w:hint="eastAsia" w:asciiTheme="minorEastAsia" w:hAnsiTheme="minorEastAsia" w:eastAsiaTheme="minorEastAsia" w:cstheme="minorEastAsia"/>
          <w:color w:val="auto"/>
          <w:sz w:val="24"/>
          <w:highlight w:val="none"/>
        </w:rPr>
        <w:t>采购活动（项目编号：</w:t>
      </w:r>
      <w:r>
        <w:rPr>
          <w:rFonts w:hint="eastAsia" w:asciiTheme="minorEastAsia" w:hAnsiTheme="minorEastAsia" w:eastAsiaTheme="minorEastAsia" w:cstheme="minorEastAsia"/>
          <w:color w:val="auto"/>
          <w:sz w:val="24"/>
          <w:highlight w:val="none"/>
          <w:u w:val="single"/>
        </w:rPr>
        <w:t>某编号</w:t>
      </w:r>
      <w:r>
        <w:rPr>
          <w:rFonts w:hint="eastAsia" w:asciiTheme="minorEastAsia" w:hAnsiTheme="minorEastAsia" w:eastAsiaTheme="minorEastAsia" w:cstheme="minorEastAsia"/>
          <w:color w:val="auto"/>
          <w:sz w:val="24"/>
          <w:highlight w:val="none"/>
        </w:rPr>
        <w:t>），全权代表本公司处理采购过程的一切事宜。响应供应商授权代表在采购过程中所签署的一切文件和处理与之有关的一切事务，本公司均予以认可并对此承担责任。响应供应商授权代表无转委托权。</w:t>
      </w:r>
    </w:p>
    <w:p w14:paraId="588E26CD">
      <w:pPr>
        <w:pStyle w:val="6"/>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特此授权。</w:t>
      </w:r>
    </w:p>
    <w:p w14:paraId="23A8DD67">
      <w:pPr>
        <w:pStyle w:val="6"/>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本授权书自出具之日起生效。</w:t>
      </w:r>
    </w:p>
    <w:p w14:paraId="53700661">
      <w:pPr>
        <w:spacing w:line="360" w:lineRule="auto"/>
        <w:rPr>
          <w:rFonts w:asciiTheme="minorEastAsia" w:hAnsiTheme="minorEastAsia" w:eastAsiaTheme="minorEastAsia" w:cstheme="minorEastAsia"/>
          <w:color w:val="auto"/>
          <w:sz w:val="24"/>
          <w:highlight w:val="none"/>
        </w:rPr>
      </w:pPr>
    </w:p>
    <w:p w14:paraId="0AC10706">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授权代表（或法定代表人）身份证明扫描件或影印件：</w:t>
      </w:r>
    </w:p>
    <w:p w14:paraId="0F7A6275">
      <w:pPr>
        <w:spacing w:line="360" w:lineRule="auto"/>
        <w:rPr>
          <w:rFonts w:asciiTheme="minorEastAsia" w:hAnsiTheme="minorEastAsia" w:eastAsiaTheme="minorEastAsia" w:cstheme="minorEastAsia"/>
          <w:color w:val="auto"/>
          <w:sz w:val="24"/>
          <w:highlight w:val="none"/>
        </w:rPr>
      </w:pPr>
    </w:p>
    <w:p w14:paraId="6B584AB3">
      <w:pPr>
        <w:spacing w:line="360" w:lineRule="auto"/>
        <w:rPr>
          <w:rFonts w:asciiTheme="minorEastAsia" w:hAnsiTheme="minorEastAsia" w:eastAsiaTheme="minorEastAsia" w:cstheme="minorEastAsia"/>
          <w:color w:val="auto"/>
          <w:sz w:val="24"/>
          <w:highlight w:val="none"/>
        </w:rPr>
      </w:pPr>
    </w:p>
    <w:p w14:paraId="53776645">
      <w:pPr>
        <w:spacing w:line="360" w:lineRule="auto"/>
        <w:rPr>
          <w:rFonts w:asciiTheme="minorEastAsia" w:hAnsiTheme="minorEastAsia" w:eastAsiaTheme="minorEastAsia" w:cstheme="minorEastAsia"/>
          <w:color w:val="auto"/>
          <w:sz w:val="24"/>
          <w:highlight w:val="none"/>
        </w:rPr>
      </w:pPr>
    </w:p>
    <w:p w14:paraId="46414D37">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授权代表（或法定代表人）联系方式：</w:t>
      </w:r>
      <w:r>
        <w:rPr>
          <w:rFonts w:hint="eastAsia" w:asciiTheme="minorEastAsia" w:hAnsiTheme="minorEastAsia" w:eastAsiaTheme="minorEastAsia" w:cstheme="minorEastAsia"/>
          <w:color w:val="auto"/>
          <w:sz w:val="24"/>
          <w:highlight w:val="none"/>
        </w:rPr>
        <w:t>（请填写手机号码）</w:t>
      </w:r>
    </w:p>
    <w:p w14:paraId="2369CCA2">
      <w:pPr>
        <w:spacing w:line="360" w:lineRule="auto"/>
        <w:ind w:firstLine="645"/>
        <w:rPr>
          <w:rFonts w:asciiTheme="minorEastAsia" w:hAnsiTheme="minorEastAsia" w:eastAsiaTheme="minorEastAsia" w:cstheme="minorEastAsia"/>
          <w:color w:val="auto"/>
          <w:sz w:val="24"/>
          <w:highlight w:val="none"/>
        </w:rPr>
      </w:pPr>
    </w:p>
    <w:p w14:paraId="2348579A">
      <w:pPr>
        <w:spacing w:line="360" w:lineRule="auto"/>
        <w:rPr>
          <w:rFonts w:asciiTheme="minorEastAsia" w:hAnsiTheme="minorEastAsia" w:eastAsiaTheme="minorEastAsia" w:cstheme="minorEastAsia"/>
          <w:color w:val="auto"/>
          <w:sz w:val="24"/>
          <w:highlight w:val="none"/>
        </w:rPr>
      </w:pPr>
    </w:p>
    <w:p w14:paraId="20A0F2DF">
      <w:pPr>
        <w:spacing w:line="360" w:lineRule="auto"/>
        <w:rPr>
          <w:rFonts w:asciiTheme="minorEastAsia" w:hAnsiTheme="minorEastAsia" w:eastAsiaTheme="minorEastAsia" w:cstheme="minorEastAsia"/>
          <w:color w:val="auto"/>
          <w:sz w:val="24"/>
          <w:highlight w:val="none"/>
        </w:rPr>
      </w:pPr>
    </w:p>
    <w:p w14:paraId="6CF6FBC7">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供应商（公章）：</w:t>
      </w:r>
    </w:p>
    <w:p w14:paraId="0A2A6F91">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2EE583FB">
      <w:pPr>
        <w:rPr>
          <w:rFonts w:asciiTheme="minorEastAsia" w:hAnsiTheme="minorEastAsia" w:eastAsiaTheme="minorEastAsia" w:cstheme="minorEastAsia"/>
          <w:color w:val="auto"/>
          <w:sz w:val="24"/>
          <w:highlight w:val="none"/>
        </w:rPr>
      </w:pPr>
    </w:p>
    <w:p w14:paraId="051BD7FF">
      <w:pPr>
        <w:pStyle w:val="6"/>
        <w:snapToGrid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w:t>
      </w:r>
    </w:p>
    <w:p w14:paraId="4156DC84">
      <w:pPr>
        <w:pStyle w:val="6"/>
        <w:numPr>
          <w:ilvl w:val="0"/>
          <w:numId w:val="3"/>
        </w:numPr>
        <w:snapToGrid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本项目只允许有唯一的响应供应商授权代表（提供身份证明扫描件或影印件及联系方式）；</w:t>
      </w:r>
    </w:p>
    <w:p w14:paraId="17C5582D">
      <w:pPr>
        <w:pStyle w:val="6"/>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2、法定代表人参加的，无需提供授权委托书，仅提供身份证明扫描件或影印件及联系方式即可。</w:t>
      </w:r>
    </w:p>
    <w:p w14:paraId="2890F972">
      <w:pPr>
        <w:rPr>
          <w:rFonts w:asciiTheme="minorEastAsia" w:hAnsiTheme="minorEastAsia" w:eastAsiaTheme="minorEastAsia" w:cstheme="minorEastAsia"/>
          <w:color w:val="auto"/>
          <w:sz w:val="24"/>
          <w:highlight w:val="none"/>
        </w:rPr>
      </w:pPr>
    </w:p>
    <w:bookmarkEnd w:id="51"/>
    <w:bookmarkEnd w:id="52"/>
    <w:bookmarkEnd w:id="53"/>
    <w:bookmarkEnd w:id="54"/>
    <w:bookmarkEnd w:id="57"/>
    <w:p w14:paraId="25E937D9">
      <w:pPr>
        <w:rPr>
          <w:rStyle w:val="31"/>
          <w:rFonts w:ascii="宋体" w:hAnsi="宋体" w:eastAsia="宋体" w:cs="宋体"/>
          <w:color w:val="auto"/>
          <w:sz w:val="24"/>
          <w:szCs w:val="24"/>
          <w:highlight w:val="none"/>
        </w:rPr>
      </w:pPr>
      <w:bookmarkStart w:id="60" w:name="_Toc26032"/>
      <w:bookmarkStart w:id="61" w:name="_Toc18671568"/>
      <w:bookmarkStart w:id="62" w:name="_Toc533314960"/>
      <w:bookmarkStart w:id="63" w:name="_Toc272163840"/>
      <w:r>
        <w:rPr>
          <w:rStyle w:val="31"/>
          <w:rFonts w:hint="eastAsia" w:ascii="宋体" w:hAnsi="宋体" w:eastAsia="宋体" w:cs="宋体"/>
          <w:color w:val="auto"/>
          <w:sz w:val="24"/>
          <w:szCs w:val="24"/>
          <w:highlight w:val="none"/>
        </w:rPr>
        <w:br w:type="page"/>
      </w:r>
    </w:p>
    <w:p w14:paraId="054A177F">
      <w:pPr>
        <w:spacing w:line="560" w:lineRule="exact"/>
        <w:jc w:val="center"/>
        <w:rPr>
          <w:rFonts w:asciiTheme="minorEastAsia" w:hAnsiTheme="minorEastAsia" w:eastAsiaTheme="minorEastAsia" w:cstheme="minorEastAsia"/>
          <w:color w:val="auto"/>
          <w:sz w:val="24"/>
          <w:highlight w:val="none"/>
        </w:rPr>
      </w:pPr>
      <w:bookmarkStart w:id="64" w:name="_Toc7103"/>
      <w:r>
        <w:rPr>
          <w:rStyle w:val="31"/>
          <w:rFonts w:hint="eastAsia" w:ascii="宋体" w:hAnsi="宋体" w:eastAsia="宋体" w:cs="宋体"/>
          <w:color w:val="auto"/>
          <w:sz w:val="24"/>
          <w:szCs w:val="24"/>
          <w:highlight w:val="none"/>
        </w:rPr>
        <w:t>五、服务分项报价表</w:t>
      </w:r>
      <w:bookmarkEnd w:id="60"/>
      <w:bookmarkEnd w:id="64"/>
    </w:p>
    <w:p w14:paraId="48813B6A">
      <w:pPr>
        <w:pStyle w:val="28"/>
        <w:ind w:firstLine="0" w:firstLineChars="0"/>
        <w:rPr>
          <w:rFonts w:asciiTheme="minorEastAsia" w:hAnsiTheme="minorEastAsia" w:eastAsiaTheme="minorEastAsia" w:cstheme="minorEastAsia"/>
          <w:color w:val="auto"/>
          <w:sz w:val="24"/>
          <w:highlight w:val="none"/>
        </w:rPr>
      </w:pPr>
    </w:p>
    <w:tbl>
      <w:tblPr>
        <w:tblStyle w:val="16"/>
        <w:tblW w:w="87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234"/>
        <w:gridCol w:w="1559"/>
        <w:gridCol w:w="1276"/>
      </w:tblGrid>
      <w:tr w14:paraId="1FCFB2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20" w:type="dxa"/>
            <w:vAlign w:val="center"/>
          </w:tcPr>
          <w:p w14:paraId="03790926">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5234" w:type="dxa"/>
            <w:vAlign w:val="center"/>
          </w:tcPr>
          <w:p w14:paraId="2B0A2396">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内容</w:t>
            </w:r>
          </w:p>
        </w:tc>
        <w:tc>
          <w:tcPr>
            <w:tcW w:w="1559" w:type="dxa"/>
            <w:vAlign w:val="center"/>
          </w:tcPr>
          <w:p w14:paraId="2F5651B8">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总价</w:t>
            </w:r>
          </w:p>
          <w:p w14:paraId="62C40158">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（元）</w:t>
            </w:r>
          </w:p>
        </w:tc>
        <w:tc>
          <w:tcPr>
            <w:tcW w:w="1276" w:type="dxa"/>
            <w:vAlign w:val="center"/>
          </w:tcPr>
          <w:p w14:paraId="5EE0A0CB">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tc>
      </w:tr>
      <w:tr w14:paraId="5B0BBB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3C40F968">
            <w:pPr>
              <w:jc w:val="center"/>
              <w:rPr>
                <w:rFonts w:asciiTheme="minorEastAsia" w:hAnsiTheme="minorEastAsia" w:eastAsiaTheme="minorEastAsia" w:cstheme="minorEastAsia"/>
                <w:color w:val="auto"/>
                <w:sz w:val="24"/>
                <w:highlight w:val="none"/>
              </w:rPr>
            </w:pPr>
          </w:p>
        </w:tc>
        <w:tc>
          <w:tcPr>
            <w:tcW w:w="5234" w:type="dxa"/>
            <w:vAlign w:val="center"/>
          </w:tcPr>
          <w:p w14:paraId="4F4B7A0F">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拟提供的服务费用</w:t>
            </w:r>
          </w:p>
        </w:tc>
        <w:tc>
          <w:tcPr>
            <w:tcW w:w="1559" w:type="dxa"/>
            <w:vAlign w:val="center"/>
          </w:tcPr>
          <w:p w14:paraId="04340FD5">
            <w:pPr>
              <w:jc w:val="center"/>
              <w:rPr>
                <w:rFonts w:asciiTheme="minorEastAsia" w:hAnsiTheme="minorEastAsia" w:eastAsiaTheme="minorEastAsia" w:cstheme="minorEastAsia"/>
                <w:color w:val="auto"/>
                <w:sz w:val="24"/>
                <w:highlight w:val="none"/>
              </w:rPr>
            </w:pPr>
          </w:p>
        </w:tc>
        <w:tc>
          <w:tcPr>
            <w:tcW w:w="1276" w:type="dxa"/>
            <w:vMerge w:val="restart"/>
            <w:vAlign w:val="center"/>
          </w:tcPr>
          <w:p w14:paraId="553088CE">
            <w:pPr>
              <w:jc w:val="center"/>
              <w:rPr>
                <w:rFonts w:asciiTheme="minorEastAsia" w:hAnsiTheme="minorEastAsia" w:eastAsiaTheme="minorEastAsia" w:cstheme="minorEastAsia"/>
                <w:color w:val="auto"/>
                <w:sz w:val="24"/>
                <w:highlight w:val="none"/>
              </w:rPr>
            </w:pPr>
          </w:p>
        </w:tc>
      </w:tr>
      <w:tr w14:paraId="650BE1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B4FD855">
            <w:pPr>
              <w:jc w:val="center"/>
              <w:rPr>
                <w:rFonts w:asciiTheme="minorEastAsia" w:hAnsiTheme="minorEastAsia" w:eastAsiaTheme="minorEastAsia" w:cstheme="minorEastAsia"/>
                <w:color w:val="auto"/>
                <w:sz w:val="24"/>
                <w:highlight w:val="none"/>
              </w:rPr>
            </w:pPr>
          </w:p>
        </w:tc>
        <w:tc>
          <w:tcPr>
            <w:tcW w:w="5234" w:type="dxa"/>
            <w:vAlign w:val="center"/>
          </w:tcPr>
          <w:p w14:paraId="174F3DE0">
            <w:pPr>
              <w:jc w:val="center"/>
              <w:rPr>
                <w:rFonts w:asciiTheme="minorEastAsia" w:hAnsiTheme="minorEastAsia" w:eastAsiaTheme="minorEastAsia" w:cstheme="minorEastAsia"/>
                <w:color w:val="auto"/>
                <w:sz w:val="24"/>
                <w:highlight w:val="none"/>
              </w:rPr>
            </w:pPr>
          </w:p>
        </w:tc>
        <w:tc>
          <w:tcPr>
            <w:tcW w:w="1559" w:type="dxa"/>
            <w:vAlign w:val="center"/>
          </w:tcPr>
          <w:p w14:paraId="5B07425A">
            <w:pPr>
              <w:jc w:val="center"/>
              <w:rPr>
                <w:rFonts w:asciiTheme="minorEastAsia" w:hAnsiTheme="minorEastAsia" w:eastAsiaTheme="minorEastAsia" w:cstheme="minorEastAsia"/>
                <w:color w:val="auto"/>
                <w:sz w:val="24"/>
                <w:highlight w:val="none"/>
              </w:rPr>
            </w:pPr>
          </w:p>
        </w:tc>
        <w:tc>
          <w:tcPr>
            <w:tcW w:w="1276" w:type="dxa"/>
            <w:vMerge w:val="continue"/>
          </w:tcPr>
          <w:p w14:paraId="4949BCD2">
            <w:pPr>
              <w:rPr>
                <w:rFonts w:asciiTheme="minorEastAsia" w:hAnsiTheme="minorEastAsia" w:eastAsiaTheme="minorEastAsia" w:cstheme="minorEastAsia"/>
                <w:color w:val="auto"/>
                <w:sz w:val="24"/>
                <w:highlight w:val="none"/>
              </w:rPr>
            </w:pPr>
          </w:p>
        </w:tc>
      </w:tr>
      <w:tr w14:paraId="2BA92A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2A7B7016">
            <w:pPr>
              <w:jc w:val="center"/>
              <w:rPr>
                <w:rFonts w:asciiTheme="minorEastAsia" w:hAnsiTheme="minorEastAsia" w:eastAsiaTheme="minorEastAsia" w:cstheme="minorEastAsia"/>
                <w:color w:val="auto"/>
                <w:sz w:val="24"/>
                <w:highlight w:val="none"/>
              </w:rPr>
            </w:pPr>
          </w:p>
        </w:tc>
        <w:tc>
          <w:tcPr>
            <w:tcW w:w="5234" w:type="dxa"/>
            <w:vAlign w:val="center"/>
          </w:tcPr>
          <w:p w14:paraId="2762A03B">
            <w:pPr>
              <w:jc w:val="center"/>
              <w:rPr>
                <w:rFonts w:asciiTheme="minorEastAsia" w:hAnsiTheme="minorEastAsia" w:eastAsiaTheme="minorEastAsia" w:cstheme="minorEastAsia"/>
                <w:color w:val="auto"/>
                <w:sz w:val="24"/>
                <w:highlight w:val="none"/>
              </w:rPr>
            </w:pPr>
          </w:p>
        </w:tc>
        <w:tc>
          <w:tcPr>
            <w:tcW w:w="1559" w:type="dxa"/>
            <w:vAlign w:val="center"/>
          </w:tcPr>
          <w:p w14:paraId="4165BA38">
            <w:pPr>
              <w:jc w:val="center"/>
              <w:rPr>
                <w:rFonts w:asciiTheme="minorEastAsia" w:hAnsiTheme="minorEastAsia" w:eastAsiaTheme="minorEastAsia" w:cstheme="minorEastAsia"/>
                <w:color w:val="auto"/>
                <w:sz w:val="24"/>
                <w:highlight w:val="none"/>
              </w:rPr>
            </w:pPr>
          </w:p>
        </w:tc>
        <w:tc>
          <w:tcPr>
            <w:tcW w:w="1276" w:type="dxa"/>
            <w:vMerge w:val="continue"/>
          </w:tcPr>
          <w:p w14:paraId="487A19F9">
            <w:pPr>
              <w:rPr>
                <w:rFonts w:asciiTheme="minorEastAsia" w:hAnsiTheme="minorEastAsia" w:eastAsiaTheme="minorEastAsia" w:cstheme="minorEastAsia"/>
                <w:color w:val="auto"/>
                <w:sz w:val="24"/>
                <w:highlight w:val="none"/>
              </w:rPr>
            </w:pPr>
          </w:p>
        </w:tc>
      </w:tr>
      <w:tr w14:paraId="457A4D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34AD805">
            <w:pPr>
              <w:jc w:val="center"/>
              <w:rPr>
                <w:rFonts w:asciiTheme="minorEastAsia" w:hAnsiTheme="minorEastAsia" w:eastAsiaTheme="minorEastAsia" w:cstheme="minorEastAsia"/>
                <w:color w:val="auto"/>
                <w:sz w:val="24"/>
                <w:highlight w:val="none"/>
              </w:rPr>
            </w:pPr>
          </w:p>
        </w:tc>
        <w:tc>
          <w:tcPr>
            <w:tcW w:w="5234" w:type="dxa"/>
            <w:vAlign w:val="center"/>
          </w:tcPr>
          <w:p w14:paraId="74583618">
            <w:pPr>
              <w:jc w:val="center"/>
              <w:rPr>
                <w:rFonts w:asciiTheme="minorEastAsia" w:hAnsiTheme="minorEastAsia" w:eastAsiaTheme="minorEastAsia" w:cstheme="minorEastAsia"/>
                <w:color w:val="auto"/>
                <w:sz w:val="24"/>
                <w:highlight w:val="none"/>
              </w:rPr>
            </w:pPr>
          </w:p>
        </w:tc>
        <w:tc>
          <w:tcPr>
            <w:tcW w:w="1559" w:type="dxa"/>
            <w:vAlign w:val="center"/>
          </w:tcPr>
          <w:p w14:paraId="4A309C34">
            <w:pPr>
              <w:jc w:val="center"/>
              <w:rPr>
                <w:rFonts w:asciiTheme="minorEastAsia" w:hAnsiTheme="minorEastAsia" w:eastAsiaTheme="minorEastAsia" w:cstheme="minorEastAsia"/>
                <w:color w:val="auto"/>
                <w:sz w:val="24"/>
                <w:highlight w:val="none"/>
              </w:rPr>
            </w:pPr>
          </w:p>
        </w:tc>
        <w:tc>
          <w:tcPr>
            <w:tcW w:w="1276" w:type="dxa"/>
            <w:vMerge w:val="continue"/>
          </w:tcPr>
          <w:p w14:paraId="2F5504B1">
            <w:pPr>
              <w:rPr>
                <w:rFonts w:asciiTheme="minorEastAsia" w:hAnsiTheme="minorEastAsia" w:eastAsiaTheme="minorEastAsia" w:cstheme="minorEastAsia"/>
                <w:color w:val="auto"/>
                <w:sz w:val="24"/>
                <w:highlight w:val="none"/>
              </w:rPr>
            </w:pPr>
          </w:p>
        </w:tc>
      </w:tr>
      <w:tr w14:paraId="053F52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0AFFF8B">
            <w:pPr>
              <w:jc w:val="center"/>
              <w:rPr>
                <w:rFonts w:asciiTheme="minorEastAsia" w:hAnsiTheme="minorEastAsia" w:eastAsiaTheme="minorEastAsia" w:cstheme="minorEastAsia"/>
                <w:color w:val="auto"/>
                <w:sz w:val="24"/>
                <w:highlight w:val="none"/>
              </w:rPr>
            </w:pPr>
          </w:p>
        </w:tc>
        <w:tc>
          <w:tcPr>
            <w:tcW w:w="5234" w:type="dxa"/>
            <w:vAlign w:val="center"/>
          </w:tcPr>
          <w:p w14:paraId="64F5E443">
            <w:pPr>
              <w:jc w:val="center"/>
              <w:rPr>
                <w:rFonts w:asciiTheme="minorEastAsia" w:hAnsiTheme="minorEastAsia" w:eastAsiaTheme="minorEastAsia" w:cstheme="minorEastAsia"/>
                <w:color w:val="auto"/>
                <w:sz w:val="24"/>
                <w:highlight w:val="none"/>
              </w:rPr>
            </w:pPr>
          </w:p>
        </w:tc>
        <w:tc>
          <w:tcPr>
            <w:tcW w:w="1559" w:type="dxa"/>
            <w:vAlign w:val="center"/>
          </w:tcPr>
          <w:p w14:paraId="7452247A">
            <w:pPr>
              <w:jc w:val="center"/>
              <w:rPr>
                <w:rFonts w:asciiTheme="minorEastAsia" w:hAnsiTheme="minorEastAsia" w:eastAsiaTheme="minorEastAsia" w:cstheme="minorEastAsia"/>
                <w:color w:val="auto"/>
                <w:sz w:val="24"/>
                <w:highlight w:val="none"/>
              </w:rPr>
            </w:pPr>
          </w:p>
        </w:tc>
        <w:tc>
          <w:tcPr>
            <w:tcW w:w="1276" w:type="dxa"/>
            <w:vMerge w:val="continue"/>
          </w:tcPr>
          <w:p w14:paraId="5B8CC7E8">
            <w:pPr>
              <w:rPr>
                <w:rFonts w:asciiTheme="minorEastAsia" w:hAnsiTheme="minorEastAsia" w:eastAsiaTheme="minorEastAsia" w:cstheme="minorEastAsia"/>
                <w:color w:val="auto"/>
                <w:sz w:val="24"/>
                <w:highlight w:val="none"/>
              </w:rPr>
            </w:pPr>
          </w:p>
        </w:tc>
      </w:tr>
      <w:tr w14:paraId="70EEC8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FE6FD1B">
            <w:pPr>
              <w:jc w:val="center"/>
              <w:rPr>
                <w:rFonts w:asciiTheme="minorEastAsia" w:hAnsiTheme="minorEastAsia" w:eastAsiaTheme="minorEastAsia" w:cstheme="minorEastAsia"/>
                <w:color w:val="auto"/>
                <w:sz w:val="24"/>
                <w:highlight w:val="none"/>
              </w:rPr>
            </w:pPr>
          </w:p>
        </w:tc>
        <w:tc>
          <w:tcPr>
            <w:tcW w:w="5234" w:type="dxa"/>
            <w:vAlign w:val="center"/>
          </w:tcPr>
          <w:p w14:paraId="116CDE7A">
            <w:pPr>
              <w:jc w:val="center"/>
              <w:rPr>
                <w:rFonts w:asciiTheme="minorEastAsia" w:hAnsiTheme="minorEastAsia" w:eastAsiaTheme="minorEastAsia" w:cstheme="minorEastAsia"/>
                <w:color w:val="auto"/>
                <w:sz w:val="24"/>
                <w:highlight w:val="none"/>
              </w:rPr>
            </w:pPr>
          </w:p>
        </w:tc>
        <w:tc>
          <w:tcPr>
            <w:tcW w:w="1559" w:type="dxa"/>
            <w:vAlign w:val="center"/>
          </w:tcPr>
          <w:p w14:paraId="27569807">
            <w:pPr>
              <w:jc w:val="center"/>
              <w:rPr>
                <w:rFonts w:asciiTheme="minorEastAsia" w:hAnsiTheme="minorEastAsia" w:eastAsiaTheme="minorEastAsia" w:cstheme="minorEastAsia"/>
                <w:color w:val="auto"/>
                <w:sz w:val="24"/>
                <w:highlight w:val="none"/>
              </w:rPr>
            </w:pPr>
          </w:p>
        </w:tc>
        <w:tc>
          <w:tcPr>
            <w:tcW w:w="1276" w:type="dxa"/>
            <w:vMerge w:val="continue"/>
          </w:tcPr>
          <w:p w14:paraId="7F2983A1">
            <w:pPr>
              <w:rPr>
                <w:rFonts w:asciiTheme="minorEastAsia" w:hAnsiTheme="minorEastAsia" w:eastAsiaTheme="minorEastAsia" w:cstheme="minorEastAsia"/>
                <w:color w:val="auto"/>
                <w:sz w:val="24"/>
                <w:highlight w:val="none"/>
              </w:rPr>
            </w:pPr>
          </w:p>
        </w:tc>
      </w:tr>
      <w:tr w14:paraId="5A7BEE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B43AEA9">
            <w:pPr>
              <w:jc w:val="center"/>
              <w:rPr>
                <w:rFonts w:asciiTheme="minorEastAsia" w:hAnsiTheme="minorEastAsia" w:eastAsiaTheme="minorEastAsia" w:cstheme="minorEastAsia"/>
                <w:color w:val="auto"/>
                <w:sz w:val="24"/>
                <w:highlight w:val="none"/>
              </w:rPr>
            </w:pPr>
          </w:p>
        </w:tc>
        <w:tc>
          <w:tcPr>
            <w:tcW w:w="5234" w:type="dxa"/>
            <w:vAlign w:val="center"/>
          </w:tcPr>
          <w:p w14:paraId="7F11263E">
            <w:pPr>
              <w:jc w:val="center"/>
              <w:rPr>
                <w:rFonts w:asciiTheme="minorEastAsia" w:hAnsiTheme="minorEastAsia" w:eastAsiaTheme="minorEastAsia" w:cstheme="minorEastAsia"/>
                <w:color w:val="auto"/>
                <w:sz w:val="24"/>
                <w:highlight w:val="none"/>
              </w:rPr>
            </w:pPr>
          </w:p>
        </w:tc>
        <w:tc>
          <w:tcPr>
            <w:tcW w:w="1559" w:type="dxa"/>
            <w:vAlign w:val="center"/>
          </w:tcPr>
          <w:p w14:paraId="44558A53">
            <w:pPr>
              <w:jc w:val="center"/>
              <w:rPr>
                <w:rFonts w:asciiTheme="minorEastAsia" w:hAnsiTheme="minorEastAsia" w:eastAsiaTheme="minorEastAsia" w:cstheme="minorEastAsia"/>
                <w:color w:val="auto"/>
                <w:sz w:val="24"/>
                <w:highlight w:val="none"/>
              </w:rPr>
            </w:pPr>
          </w:p>
        </w:tc>
        <w:tc>
          <w:tcPr>
            <w:tcW w:w="1276" w:type="dxa"/>
            <w:vMerge w:val="continue"/>
          </w:tcPr>
          <w:p w14:paraId="5812A395">
            <w:pPr>
              <w:rPr>
                <w:rFonts w:asciiTheme="minorEastAsia" w:hAnsiTheme="minorEastAsia" w:eastAsiaTheme="minorEastAsia" w:cstheme="minorEastAsia"/>
                <w:color w:val="auto"/>
                <w:sz w:val="24"/>
                <w:highlight w:val="none"/>
              </w:rPr>
            </w:pPr>
          </w:p>
        </w:tc>
      </w:tr>
      <w:tr w14:paraId="682C93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1C03E3B1">
            <w:pPr>
              <w:jc w:val="center"/>
              <w:rPr>
                <w:rFonts w:asciiTheme="minorEastAsia" w:hAnsiTheme="minorEastAsia" w:eastAsiaTheme="minorEastAsia" w:cstheme="minorEastAsia"/>
                <w:color w:val="auto"/>
                <w:sz w:val="24"/>
                <w:highlight w:val="none"/>
              </w:rPr>
            </w:pPr>
          </w:p>
        </w:tc>
        <w:tc>
          <w:tcPr>
            <w:tcW w:w="5234" w:type="dxa"/>
            <w:vAlign w:val="center"/>
          </w:tcPr>
          <w:p w14:paraId="44C4A26A">
            <w:pPr>
              <w:jc w:val="center"/>
              <w:rPr>
                <w:rFonts w:asciiTheme="minorEastAsia" w:hAnsiTheme="minorEastAsia" w:eastAsiaTheme="minorEastAsia" w:cstheme="minorEastAsia"/>
                <w:color w:val="auto"/>
                <w:sz w:val="24"/>
                <w:highlight w:val="none"/>
              </w:rPr>
            </w:pPr>
          </w:p>
        </w:tc>
        <w:tc>
          <w:tcPr>
            <w:tcW w:w="1559" w:type="dxa"/>
            <w:vAlign w:val="center"/>
          </w:tcPr>
          <w:p w14:paraId="10E72C9A">
            <w:pPr>
              <w:jc w:val="center"/>
              <w:rPr>
                <w:rFonts w:asciiTheme="minorEastAsia" w:hAnsiTheme="minorEastAsia" w:eastAsiaTheme="minorEastAsia" w:cstheme="minorEastAsia"/>
                <w:color w:val="auto"/>
                <w:sz w:val="24"/>
                <w:highlight w:val="none"/>
              </w:rPr>
            </w:pPr>
          </w:p>
        </w:tc>
        <w:tc>
          <w:tcPr>
            <w:tcW w:w="1276" w:type="dxa"/>
            <w:vMerge w:val="continue"/>
          </w:tcPr>
          <w:p w14:paraId="71E321F6">
            <w:pPr>
              <w:rPr>
                <w:rFonts w:asciiTheme="minorEastAsia" w:hAnsiTheme="minorEastAsia" w:eastAsiaTheme="minorEastAsia" w:cstheme="minorEastAsia"/>
                <w:color w:val="auto"/>
                <w:sz w:val="24"/>
                <w:highlight w:val="none"/>
              </w:rPr>
            </w:pPr>
          </w:p>
        </w:tc>
      </w:tr>
      <w:tr w14:paraId="469976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58FBEA37">
            <w:pPr>
              <w:jc w:val="center"/>
              <w:rPr>
                <w:rFonts w:asciiTheme="minorEastAsia" w:hAnsiTheme="minorEastAsia" w:eastAsiaTheme="minorEastAsia" w:cstheme="minorEastAsia"/>
                <w:color w:val="auto"/>
                <w:sz w:val="24"/>
                <w:highlight w:val="none"/>
              </w:rPr>
            </w:pPr>
          </w:p>
        </w:tc>
        <w:tc>
          <w:tcPr>
            <w:tcW w:w="5234" w:type="dxa"/>
            <w:vAlign w:val="center"/>
          </w:tcPr>
          <w:p w14:paraId="6FB9DDA6">
            <w:pPr>
              <w:jc w:val="center"/>
              <w:rPr>
                <w:rFonts w:asciiTheme="minorEastAsia" w:hAnsiTheme="minorEastAsia" w:eastAsiaTheme="minorEastAsia" w:cstheme="minorEastAsia"/>
                <w:color w:val="auto"/>
                <w:sz w:val="24"/>
                <w:highlight w:val="none"/>
              </w:rPr>
            </w:pPr>
          </w:p>
        </w:tc>
        <w:tc>
          <w:tcPr>
            <w:tcW w:w="1559" w:type="dxa"/>
            <w:vAlign w:val="center"/>
          </w:tcPr>
          <w:p w14:paraId="789B0E5E">
            <w:pPr>
              <w:jc w:val="center"/>
              <w:rPr>
                <w:rFonts w:asciiTheme="minorEastAsia" w:hAnsiTheme="minorEastAsia" w:eastAsiaTheme="minorEastAsia" w:cstheme="minorEastAsia"/>
                <w:color w:val="auto"/>
                <w:sz w:val="24"/>
                <w:highlight w:val="none"/>
              </w:rPr>
            </w:pPr>
          </w:p>
        </w:tc>
        <w:tc>
          <w:tcPr>
            <w:tcW w:w="1276" w:type="dxa"/>
            <w:vMerge w:val="continue"/>
          </w:tcPr>
          <w:p w14:paraId="0ACF6DA6">
            <w:pPr>
              <w:rPr>
                <w:rFonts w:asciiTheme="minorEastAsia" w:hAnsiTheme="minorEastAsia" w:eastAsiaTheme="minorEastAsia" w:cstheme="minorEastAsia"/>
                <w:color w:val="auto"/>
                <w:sz w:val="24"/>
                <w:highlight w:val="none"/>
              </w:rPr>
            </w:pPr>
          </w:p>
        </w:tc>
      </w:tr>
      <w:tr w14:paraId="72A595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5C2991AA">
            <w:pPr>
              <w:jc w:val="center"/>
              <w:rPr>
                <w:rFonts w:asciiTheme="minorEastAsia" w:hAnsiTheme="minorEastAsia" w:eastAsiaTheme="minorEastAsia" w:cstheme="minorEastAsia"/>
                <w:color w:val="auto"/>
                <w:sz w:val="24"/>
                <w:highlight w:val="none"/>
              </w:rPr>
            </w:pPr>
          </w:p>
        </w:tc>
        <w:tc>
          <w:tcPr>
            <w:tcW w:w="5234" w:type="dxa"/>
            <w:vAlign w:val="center"/>
          </w:tcPr>
          <w:p w14:paraId="0933E6C2">
            <w:pPr>
              <w:jc w:val="center"/>
              <w:rPr>
                <w:rFonts w:asciiTheme="minorEastAsia" w:hAnsiTheme="minorEastAsia" w:eastAsiaTheme="minorEastAsia" w:cstheme="minorEastAsia"/>
                <w:color w:val="auto"/>
                <w:sz w:val="24"/>
                <w:highlight w:val="none"/>
              </w:rPr>
            </w:pPr>
          </w:p>
        </w:tc>
        <w:tc>
          <w:tcPr>
            <w:tcW w:w="1559" w:type="dxa"/>
            <w:vAlign w:val="center"/>
          </w:tcPr>
          <w:p w14:paraId="149DB277">
            <w:pPr>
              <w:jc w:val="center"/>
              <w:rPr>
                <w:rFonts w:asciiTheme="minorEastAsia" w:hAnsiTheme="minorEastAsia" w:eastAsiaTheme="minorEastAsia" w:cstheme="minorEastAsia"/>
                <w:color w:val="auto"/>
                <w:sz w:val="24"/>
                <w:highlight w:val="none"/>
              </w:rPr>
            </w:pPr>
          </w:p>
        </w:tc>
        <w:tc>
          <w:tcPr>
            <w:tcW w:w="1276" w:type="dxa"/>
            <w:vMerge w:val="continue"/>
          </w:tcPr>
          <w:p w14:paraId="7871D79F">
            <w:pPr>
              <w:rPr>
                <w:rFonts w:asciiTheme="minorEastAsia" w:hAnsiTheme="minorEastAsia" w:eastAsiaTheme="minorEastAsia" w:cstheme="minorEastAsia"/>
                <w:color w:val="auto"/>
                <w:sz w:val="24"/>
                <w:highlight w:val="none"/>
              </w:rPr>
            </w:pPr>
          </w:p>
        </w:tc>
      </w:tr>
      <w:tr w14:paraId="6F4D2D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136B9944">
            <w:pPr>
              <w:jc w:val="center"/>
              <w:rPr>
                <w:rFonts w:asciiTheme="minorEastAsia" w:hAnsiTheme="minorEastAsia" w:eastAsiaTheme="minorEastAsia" w:cstheme="minorEastAsia"/>
                <w:color w:val="auto"/>
                <w:sz w:val="24"/>
                <w:highlight w:val="none"/>
              </w:rPr>
            </w:pPr>
          </w:p>
        </w:tc>
        <w:tc>
          <w:tcPr>
            <w:tcW w:w="5234" w:type="dxa"/>
            <w:vAlign w:val="center"/>
          </w:tcPr>
          <w:p w14:paraId="45E4D537">
            <w:pPr>
              <w:jc w:val="center"/>
              <w:rPr>
                <w:rFonts w:asciiTheme="minorEastAsia" w:hAnsiTheme="minorEastAsia" w:eastAsiaTheme="minorEastAsia" w:cstheme="minorEastAsia"/>
                <w:color w:val="auto"/>
                <w:sz w:val="24"/>
                <w:highlight w:val="none"/>
              </w:rPr>
            </w:pPr>
          </w:p>
        </w:tc>
        <w:tc>
          <w:tcPr>
            <w:tcW w:w="1559" w:type="dxa"/>
            <w:vAlign w:val="center"/>
          </w:tcPr>
          <w:p w14:paraId="38BEEF5A">
            <w:pPr>
              <w:jc w:val="center"/>
              <w:rPr>
                <w:rFonts w:asciiTheme="minorEastAsia" w:hAnsiTheme="minorEastAsia" w:eastAsiaTheme="minorEastAsia" w:cstheme="minorEastAsia"/>
                <w:color w:val="auto"/>
                <w:sz w:val="24"/>
                <w:highlight w:val="none"/>
              </w:rPr>
            </w:pPr>
          </w:p>
        </w:tc>
        <w:tc>
          <w:tcPr>
            <w:tcW w:w="1276" w:type="dxa"/>
            <w:vMerge w:val="continue"/>
          </w:tcPr>
          <w:p w14:paraId="6701AA16">
            <w:pPr>
              <w:rPr>
                <w:rFonts w:asciiTheme="minorEastAsia" w:hAnsiTheme="minorEastAsia" w:eastAsiaTheme="minorEastAsia" w:cstheme="minorEastAsia"/>
                <w:color w:val="auto"/>
                <w:sz w:val="24"/>
                <w:highlight w:val="none"/>
              </w:rPr>
            </w:pPr>
          </w:p>
        </w:tc>
      </w:tr>
      <w:tr w14:paraId="762D9D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5DB3DF25">
            <w:pPr>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合计</w:t>
            </w:r>
          </w:p>
        </w:tc>
        <w:tc>
          <w:tcPr>
            <w:tcW w:w="5234" w:type="dxa"/>
            <w:vAlign w:val="center"/>
          </w:tcPr>
          <w:p w14:paraId="5970BB1E">
            <w:pPr>
              <w:jc w:val="center"/>
              <w:rPr>
                <w:rFonts w:asciiTheme="minorEastAsia" w:hAnsiTheme="minorEastAsia" w:eastAsiaTheme="minorEastAsia" w:cstheme="minorEastAsia"/>
                <w:b/>
                <w:color w:val="auto"/>
                <w:sz w:val="24"/>
                <w:highlight w:val="none"/>
              </w:rPr>
            </w:pPr>
          </w:p>
        </w:tc>
        <w:tc>
          <w:tcPr>
            <w:tcW w:w="1559" w:type="dxa"/>
            <w:vAlign w:val="center"/>
          </w:tcPr>
          <w:p w14:paraId="71A0991A">
            <w:pPr>
              <w:jc w:val="center"/>
              <w:rPr>
                <w:rFonts w:asciiTheme="minorEastAsia" w:hAnsiTheme="minorEastAsia" w:eastAsiaTheme="minorEastAsia" w:cstheme="minorEastAsia"/>
                <w:b/>
                <w:color w:val="auto"/>
                <w:sz w:val="24"/>
                <w:highlight w:val="none"/>
              </w:rPr>
            </w:pPr>
          </w:p>
        </w:tc>
        <w:tc>
          <w:tcPr>
            <w:tcW w:w="1276" w:type="dxa"/>
            <w:vMerge w:val="continue"/>
          </w:tcPr>
          <w:p w14:paraId="59982368">
            <w:pPr>
              <w:jc w:val="center"/>
              <w:rPr>
                <w:rFonts w:asciiTheme="minorEastAsia" w:hAnsiTheme="minorEastAsia" w:eastAsiaTheme="minorEastAsia" w:cstheme="minorEastAsia"/>
                <w:b/>
                <w:color w:val="auto"/>
                <w:sz w:val="24"/>
                <w:highlight w:val="none"/>
              </w:rPr>
            </w:pPr>
          </w:p>
        </w:tc>
      </w:tr>
    </w:tbl>
    <w:p w14:paraId="624988CC">
      <w:pPr>
        <w:rPr>
          <w:rFonts w:asciiTheme="minorEastAsia" w:hAnsiTheme="minorEastAsia" w:eastAsiaTheme="minorEastAsia" w:cstheme="minorEastAsia"/>
          <w:color w:val="auto"/>
          <w:sz w:val="24"/>
          <w:highlight w:val="none"/>
        </w:rPr>
      </w:pPr>
    </w:p>
    <w:p w14:paraId="476BABBF">
      <w:pPr>
        <w:pStyle w:val="3"/>
        <w:spacing w:before="156" w:beforeLines="50" w:after="156" w:afterLines="50" w:line="560" w:lineRule="exact"/>
        <w:jc w:val="left"/>
        <w:rPr>
          <w:rFonts w:asciiTheme="minorEastAsia" w:hAnsiTheme="minorEastAsia" w:eastAsiaTheme="minorEastAsia" w:cstheme="minorEastAsia"/>
          <w:color w:val="auto"/>
          <w:sz w:val="24"/>
          <w:szCs w:val="24"/>
          <w:highlight w:val="none"/>
        </w:rPr>
      </w:pPr>
      <w:bookmarkStart w:id="65" w:name="_Toc1727"/>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b w:val="0"/>
          <w:bCs w:val="0"/>
          <w:color w:val="auto"/>
          <w:sz w:val="24"/>
          <w:szCs w:val="24"/>
          <w:highlight w:val="none"/>
        </w:rPr>
        <w:t>本表应清楚地标明供应商拟提供的服务费用等内容，其合计价格应与响应一览表中的总报价保持一致。</w:t>
      </w:r>
      <w:bookmarkEnd w:id="65"/>
    </w:p>
    <w:p w14:paraId="3CE189F6">
      <w:pPr>
        <w:rPr>
          <w:rFonts w:asciiTheme="minorEastAsia" w:hAnsiTheme="minorEastAsia" w:eastAsiaTheme="minorEastAsia" w:cstheme="minorEastAsia"/>
          <w:color w:val="auto"/>
          <w:sz w:val="24"/>
          <w:highlight w:val="none"/>
        </w:rPr>
      </w:pPr>
    </w:p>
    <w:p w14:paraId="3A9EBD77">
      <w:pPr>
        <w:pStyle w:val="3"/>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p>
    <w:p w14:paraId="79CA8437">
      <w:pPr>
        <w:rPr>
          <w:color w:val="auto"/>
          <w:highlight w:val="none"/>
        </w:rPr>
      </w:pPr>
    </w:p>
    <w:p w14:paraId="41DF2F8B">
      <w:pPr>
        <w:pStyle w:val="3"/>
        <w:suppressLineNumbers/>
        <w:spacing w:before="156" w:beforeLines="50" w:after="156" w:afterLines="50" w:line="560" w:lineRule="exact"/>
        <w:rPr>
          <w:rFonts w:ascii="Times New Roman" w:hAnsi="Times New Roman" w:eastAsia="宋体"/>
          <w:b w:val="0"/>
          <w:bCs w:val="0"/>
          <w:color w:val="auto"/>
          <w:sz w:val="21"/>
          <w:szCs w:val="24"/>
          <w:highlight w:val="none"/>
        </w:rPr>
      </w:pPr>
    </w:p>
    <w:p w14:paraId="0AFA0148">
      <w:pPr>
        <w:rPr>
          <w:color w:val="auto"/>
          <w:highlight w:val="none"/>
        </w:rPr>
      </w:pPr>
    </w:p>
    <w:p w14:paraId="0EA44E4A">
      <w:pPr>
        <w:rPr>
          <w:rFonts w:ascii="宋体" w:hAnsi="宋体" w:cs="宋体"/>
          <w:color w:val="auto"/>
          <w:sz w:val="24"/>
          <w:highlight w:val="none"/>
        </w:rPr>
      </w:pPr>
      <w:r>
        <w:rPr>
          <w:rFonts w:hint="eastAsia" w:ascii="宋体" w:hAnsi="宋体" w:cs="宋体"/>
          <w:color w:val="auto"/>
          <w:sz w:val="24"/>
          <w:highlight w:val="none"/>
        </w:rPr>
        <w:br w:type="page"/>
      </w:r>
    </w:p>
    <w:p w14:paraId="316E9D24">
      <w:pPr>
        <w:pStyle w:val="3"/>
        <w:spacing w:before="156" w:beforeLines="50" w:after="156" w:afterLines="50" w:line="560" w:lineRule="exact"/>
        <w:jc w:val="center"/>
        <w:rPr>
          <w:rFonts w:ascii="宋体" w:hAnsi="宋体" w:eastAsia="宋体" w:cs="宋体"/>
          <w:color w:val="auto"/>
          <w:sz w:val="24"/>
          <w:szCs w:val="24"/>
          <w:highlight w:val="none"/>
        </w:rPr>
      </w:pPr>
      <w:bookmarkStart w:id="66" w:name="_Toc27766"/>
      <w:r>
        <w:rPr>
          <w:rFonts w:hint="eastAsia" w:ascii="宋体" w:hAnsi="宋体" w:eastAsia="宋体" w:cs="宋体"/>
          <w:color w:val="auto"/>
          <w:sz w:val="24"/>
          <w:szCs w:val="24"/>
          <w:highlight w:val="none"/>
        </w:rPr>
        <w:t>六、</w:t>
      </w:r>
      <w:bookmarkEnd w:id="61"/>
      <w:bookmarkStart w:id="67" w:name="_Toc18671569"/>
      <w:r>
        <w:rPr>
          <w:rFonts w:hint="eastAsia" w:ascii="宋体" w:hAnsi="宋体" w:eastAsia="宋体" w:cs="宋体"/>
          <w:color w:val="auto"/>
          <w:sz w:val="24"/>
          <w:szCs w:val="24"/>
          <w:highlight w:val="none"/>
        </w:rPr>
        <w:t>服务要求响应情况表</w:t>
      </w:r>
      <w:bookmarkEnd w:id="66"/>
    </w:p>
    <w:p w14:paraId="7A6515A2">
      <w:pPr>
        <w:rPr>
          <w:rFonts w:asciiTheme="minorEastAsia" w:hAnsiTheme="minorEastAsia" w:eastAsiaTheme="minorEastAsia" w:cstheme="minorEastAsia"/>
          <w:color w:val="auto"/>
          <w:sz w:val="24"/>
          <w:highlight w:val="none"/>
        </w:rPr>
      </w:pPr>
    </w:p>
    <w:p w14:paraId="7EBBA3F7">
      <w:pPr>
        <w:widowControl/>
        <w:spacing w:line="5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采购人名称：                  </w:t>
      </w:r>
    </w:p>
    <w:p w14:paraId="4F2DEAD8">
      <w:pPr>
        <w:widowControl/>
        <w:spacing w:line="5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采购代理名称：                </w:t>
      </w:r>
    </w:p>
    <w:p w14:paraId="33BEC1BE">
      <w:pPr>
        <w:widowControl/>
        <w:spacing w:line="560" w:lineRule="exact"/>
        <w:ind w:firstLine="600" w:firstLineChars="25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经过认真研究</w:t>
      </w:r>
      <w:r>
        <w:rPr>
          <w:rFonts w:hint="eastAsia" w:asciiTheme="minorEastAsia" w:hAnsiTheme="minorEastAsia" w:eastAsiaTheme="minorEastAsia" w:cstheme="minorEastAsia"/>
          <w:color w:val="auto"/>
          <w:kern w:val="0"/>
          <w:sz w:val="24"/>
          <w:highlight w:val="none"/>
          <w:u w:val="single"/>
        </w:rPr>
        <w:t>（项目名称）（项目编号）</w:t>
      </w:r>
      <w:r>
        <w:rPr>
          <w:rFonts w:hint="eastAsia" w:asciiTheme="minorEastAsia" w:hAnsiTheme="minorEastAsia" w:eastAsiaTheme="minorEastAsia" w:cstheme="minorEastAsia"/>
          <w:color w:val="auto"/>
          <w:kern w:val="0"/>
          <w:sz w:val="24"/>
          <w:highlight w:val="none"/>
        </w:rPr>
        <w:t>单一来源文件要求，我方确认，</w:t>
      </w:r>
      <w:r>
        <w:rPr>
          <w:rFonts w:hint="eastAsia" w:asciiTheme="minorEastAsia" w:hAnsiTheme="minorEastAsia" w:eastAsiaTheme="minorEastAsia" w:cstheme="minorEastAsia"/>
          <w:b/>
          <w:color w:val="auto"/>
          <w:kern w:val="0"/>
          <w:sz w:val="24"/>
          <w:highlight w:val="none"/>
        </w:rPr>
        <w:t>除下列偏离表所列情况外，我方响应情况全部为“符合”</w:t>
      </w:r>
      <w:r>
        <w:rPr>
          <w:rFonts w:hint="eastAsia" w:asciiTheme="minorEastAsia" w:hAnsiTheme="minorEastAsia" w:eastAsiaTheme="minorEastAsia" w:cstheme="minorEastAsia"/>
          <w:color w:val="auto"/>
          <w:kern w:val="0"/>
          <w:sz w:val="24"/>
          <w:highlight w:val="none"/>
        </w:rPr>
        <w:t>。</w:t>
      </w:r>
    </w:p>
    <w:p w14:paraId="1A5890F7">
      <w:pPr>
        <w:widowControl/>
        <w:spacing w:line="60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服务要求偏离表</w:t>
      </w:r>
    </w:p>
    <w:tbl>
      <w:tblPr>
        <w:tblStyle w:val="16"/>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5"/>
        <w:gridCol w:w="2836"/>
        <w:gridCol w:w="2757"/>
        <w:gridCol w:w="2214"/>
      </w:tblGrid>
      <w:tr w14:paraId="187F0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715" w:type="dxa"/>
            <w:tcBorders>
              <w:top w:val="single" w:color="auto" w:sz="4" w:space="0"/>
              <w:left w:val="single" w:color="auto" w:sz="4" w:space="0"/>
              <w:bottom w:val="single" w:color="auto" w:sz="4" w:space="0"/>
              <w:right w:val="single" w:color="auto" w:sz="4" w:space="0"/>
            </w:tcBorders>
            <w:vAlign w:val="center"/>
          </w:tcPr>
          <w:p w14:paraId="2EEC12C0">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836" w:type="dxa"/>
            <w:tcBorders>
              <w:top w:val="single" w:color="auto" w:sz="4" w:space="0"/>
              <w:left w:val="single" w:color="auto" w:sz="4" w:space="0"/>
              <w:bottom w:val="single" w:color="auto" w:sz="4" w:space="0"/>
              <w:right w:val="single" w:color="auto" w:sz="4" w:space="0"/>
            </w:tcBorders>
            <w:vAlign w:val="center"/>
          </w:tcPr>
          <w:p w14:paraId="1192CE61">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单一来源文件中要求</w:t>
            </w:r>
          </w:p>
        </w:tc>
        <w:tc>
          <w:tcPr>
            <w:tcW w:w="2757" w:type="dxa"/>
            <w:tcBorders>
              <w:top w:val="single" w:color="auto" w:sz="4" w:space="0"/>
              <w:left w:val="single" w:color="auto" w:sz="4" w:space="0"/>
              <w:bottom w:val="single" w:color="auto" w:sz="4" w:space="0"/>
              <w:right w:val="single" w:color="auto" w:sz="4" w:space="0"/>
            </w:tcBorders>
            <w:vAlign w:val="center"/>
          </w:tcPr>
          <w:p w14:paraId="24B8F6AE">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供应商的响应内容</w:t>
            </w:r>
          </w:p>
        </w:tc>
        <w:tc>
          <w:tcPr>
            <w:tcW w:w="2214" w:type="dxa"/>
            <w:tcBorders>
              <w:top w:val="single" w:color="auto" w:sz="4" w:space="0"/>
              <w:left w:val="single" w:color="auto" w:sz="4" w:space="0"/>
              <w:bottom w:val="single" w:color="auto" w:sz="4" w:space="0"/>
              <w:right w:val="single" w:color="auto" w:sz="4" w:space="0"/>
            </w:tcBorders>
            <w:vAlign w:val="center"/>
          </w:tcPr>
          <w:p w14:paraId="0B42BD98">
            <w:pPr>
              <w:widowControl/>
              <w:ind w:firstLine="361" w:firstLineChars="15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偏离及影响</w:t>
            </w:r>
          </w:p>
          <w:p w14:paraId="2C85C4B6">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（正偏离/负偏离）</w:t>
            </w:r>
          </w:p>
        </w:tc>
      </w:tr>
      <w:tr w14:paraId="54631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715" w:type="dxa"/>
            <w:tcBorders>
              <w:top w:val="single" w:color="auto" w:sz="4" w:space="0"/>
              <w:left w:val="single" w:color="auto" w:sz="4" w:space="0"/>
              <w:bottom w:val="single" w:color="auto" w:sz="4" w:space="0"/>
              <w:right w:val="single" w:color="auto" w:sz="4" w:space="0"/>
            </w:tcBorders>
            <w:vAlign w:val="center"/>
          </w:tcPr>
          <w:p w14:paraId="19958044">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836" w:type="dxa"/>
            <w:vAlign w:val="center"/>
          </w:tcPr>
          <w:p w14:paraId="04E918E1">
            <w:pPr>
              <w:widowControl/>
              <w:jc w:val="left"/>
              <w:rPr>
                <w:rFonts w:hint="default" w:asciiTheme="minorEastAsia" w:hAnsiTheme="minorEastAsia" w:eastAsiaTheme="minorEastAsia" w:cstheme="minorEastAsia"/>
                <w:color w:val="auto"/>
                <w:kern w:val="0"/>
                <w:sz w:val="24"/>
                <w:highlight w:val="none"/>
                <w:lang w:val="en-US" w:eastAsia="zh-CN"/>
              </w:rPr>
            </w:pPr>
          </w:p>
        </w:tc>
        <w:tc>
          <w:tcPr>
            <w:tcW w:w="2757" w:type="dxa"/>
            <w:vAlign w:val="center"/>
          </w:tcPr>
          <w:p w14:paraId="24622C7B">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04DBB28E">
            <w:pPr>
              <w:widowControl/>
              <w:jc w:val="left"/>
              <w:rPr>
                <w:rFonts w:asciiTheme="minorEastAsia" w:hAnsiTheme="minorEastAsia" w:eastAsiaTheme="minorEastAsia" w:cstheme="minorEastAsia"/>
                <w:color w:val="auto"/>
                <w:kern w:val="0"/>
                <w:sz w:val="24"/>
                <w:highlight w:val="none"/>
              </w:rPr>
            </w:pPr>
          </w:p>
        </w:tc>
      </w:tr>
      <w:tr w14:paraId="23A8E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715" w:type="dxa"/>
            <w:tcBorders>
              <w:top w:val="single" w:color="auto" w:sz="4" w:space="0"/>
              <w:left w:val="single" w:color="auto" w:sz="4" w:space="0"/>
              <w:bottom w:val="single" w:color="auto" w:sz="4" w:space="0"/>
              <w:right w:val="single" w:color="auto" w:sz="4" w:space="0"/>
            </w:tcBorders>
            <w:vAlign w:val="center"/>
          </w:tcPr>
          <w:p w14:paraId="1A245DD9">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836" w:type="dxa"/>
            <w:vAlign w:val="center"/>
          </w:tcPr>
          <w:p w14:paraId="79559B30">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7F41C325">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6DD1C8B0">
            <w:pPr>
              <w:widowControl/>
              <w:jc w:val="left"/>
              <w:rPr>
                <w:rFonts w:asciiTheme="minorEastAsia" w:hAnsiTheme="minorEastAsia" w:eastAsiaTheme="minorEastAsia" w:cstheme="minorEastAsia"/>
                <w:color w:val="auto"/>
                <w:kern w:val="0"/>
                <w:sz w:val="24"/>
                <w:highlight w:val="none"/>
              </w:rPr>
            </w:pPr>
          </w:p>
        </w:tc>
      </w:tr>
      <w:tr w14:paraId="2C65C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715" w:type="dxa"/>
            <w:tcBorders>
              <w:top w:val="single" w:color="auto" w:sz="4" w:space="0"/>
              <w:left w:val="single" w:color="auto" w:sz="4" w:space="0"/>
              <w:bottom w:val="single" w:color="auto" w:sz="4" w:space="0"/>
              <w:right w:val="single" w:color="auto" w:sz="4" w:space="0"/>
            </w:tcBorders>
            <w:vAlign w:val="center"/>
          </w:tcPr>
          <w:p w14:paraId="0C23E127">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836" w:type="dxa"/>
            <w:vAlign w:val="center"/>
          </w:tcPr>
          <w:p w14:paraId="2B340499">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2587E4BC">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6C488699">
            <w:pPr>
              <w:widowControl/>
              <w:jc w:val="left"/>
              <w:rPr>
                <w:rFonts w:asciiTheme="minorEastAsia" w:hAnsiTheme="minorEastAsia" w:eastAsiaTheme="minorEastAsia" w:cstheme="minorEastAsia"/>
                <w:color w:val="auto"/>
                <w:kern w:val="0"/>
                <w:sz w:val="24"/>
                <w:highlight w:val="none"/>
              </w:rPr>
            </w:pPr>
          </w:p>
        </w:tc>
      </w:tr>
      <w:tr w14:paraId="729EC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715" w:type="dxa"/>
            <w:tcBorders>
              <w:top w:val="single" w:color="auto" w:sz="4" w:space="0"/>
              <w:left w:val="single" w:color="auto" w:sz="4" w:space="0"/>
              <w:bottom w:val="single" w:color="auto" w:sz="4" w:space="0"/>
              <w:right w:val="single" w:color="auto" w:sz="4" w:space="0"/>
            </w:tcBorders>
            <w:vAlign w:val="center"/>
          </w:tcPr>
          <w:p w14:paraId="51921F4E">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836" w:type="dxa"/>
            <w:vAlign w:val="center"/>
          </w:tcPr>
          <w:p w14:paraId="24AB041C">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63EB89A7">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7FD4445B">
            <w:pPr>
              <w:widowControl/>
              <w:jc w:val="left"/>
              <w:rPr>
                <w:rFonts w:asciiTheme="minorEastAsia" w:hAnsiTheme="minorEastAsia" w:eastAsiaTheme="minorEastAsia" w:cstheme="minorEastAsia"/>
                <w:color w:val="auto"/>
                <w:kern w:val="0"/>
                <w:sz w:val="24"/>
                <w:highlight w:val="none"/>
              </w:rPr>
            </w:pPr>
          </w:p>
        </w:tc>
      </w:tr>
    </w:tbl>
    <w:p w14:paraId="753C7204">
      <w:pPr>
        <w:spacing w:line="360" w:lineRule="auto"/>
        <w:rPr>
          <w:rFonts w:asciiTheme="minorEastAsia" w:hAnsiTheme="minorEastAsia" w:eastAsiaTheme="minorEastAsia" w:cstheme="minorEastAsia"/>
          <w:b/>
          <w:bCs/>
          <w:color w:val="auto"/>
          <w:sz w:val="24"/>
          <w:highlight w:val="none"/>
        </w:rPr>
      </w:pPr>
    </w:p>
    <w:p w14:paraId="68B4E304">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供应商（公章）：</w:t>
      </w:r>
    </w:p>
    <w:p w14:paraId="26E0832B">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7D08288E">
      <w:pPr>
        <w:rPr>
          <w:rFonts w:asciiTheme="minorEastAsia" w:hAnsiTheme="minorEastAsia" w:eastAsiaTheme="minorEastAsia" w:cstheme="minorEastAsia"/>
          <w:color w:val="auto"/>
          <w:kern w:val="0"/>
          <w:sz w:val="24"/>
          <w:highlight w:val="none"/>
        </w:rPr>
      </w:pPr>
    </w:p>
    <w:p w14:paraId="415E9680">
      <w:pPr>
        <w:ind w:firstLine="5160" w:firstLineChars="2150"/>
        <w:rPr>
          <w:rFonts w:asciiTheme="minorEastAsia" w:hAnsiTheme="minorEastAsia" w:eastAsiaTheme="minorEastAsia" w:cstheme="minorEastAsia"/>
          <w:color w:val="auto"/>
          <w:kern w:val="0"/>
          <w:sz w:val="24"/>
          <w:highlight w:val="none"/>
        </w:rPr>
      </w:pPr>
    </w:p>
    <w:p w14:paraId="64DFD31E">
      <w:pPr>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注：</w:t>
      </w:r>
    </w:p>
    <w:p w14:paraId="678C9CCC">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服务要求偏离表中供应商的响应内容低于单一来源文件要求的，协商小组不寻求其他证明材料，直接判定该项要求为负偏离。</w:t>
      </w:r>
    </w:p>
    <w:p w14:paraId="56AB712E">
      <w:pPr>
        <w:pStyle w:val="3"/>
        <w:spacing w:before="156" w:beforeLines="50" w:after="156" w:afterLines="50" w:line="560" w:lineRule="exact"/>
        <w:jc w:val="center"/>
        <w:rPr>
          <w:rFonts w:ascii="宋体" w:hAnsi="宋体" w:cs="宋体"/>
          <w:color w:val="auto"/>
          <w:sz w:val="24"/>
          <w:highlight w:val="none"/>
        </w:rPr>
      </w:pPr>
      <w:r>
        <w:rPr>
          <w:rFonts w:hint="eastAsia" w:ascii="宋体" w:hAnsi="宋体" w:cs="宋体"/>
          <w:color w:val="auto"/>
          <w:sz w:val="24"/>
          <w:highlight w:val="none"/>
        </w:rPr>
        <w:br w:type="page"/>
      </w:r>
    </w:p>
    <w:bookmarkEnd w:id="62"/>
    <w:bookmarkEnd w:id="63"/>
    <w:bookmarkEnd w:id="67"/>
    <w:p w14:paraId="6D094A91">
      <w:pPr>
        <w:pStyle w:val="3"/>
        <w:spacing w:before="156" w:beforeLines="50" w:after="156" w:afterLines="50" w:line="560" w:lineRule="exact"/>
        <w:jc w:val="center"/>
        <w:rPr>
          <w:rFonts w:ascii="宋体" w:hAnsi="宋体" w:eastAsia="宋体" w:cs="宋体"/>
          <w:color w:val="auto"/>
          <w:sz w:val="24"/>
          <w:szCs w:val="24"/>
          <w:highlight w:val="none"/>
        </w:rPr>
      </w:pPr>
      <w:bookmarkStart w:id="68" w:name="_Toc29403"/>
      <w:bookmarkStart w:id="69" w:name="_Toc18671571"/>
      <w:r>
        <w:rPr>
          <w:rFonts w:hint="eastAsia" w:ascii="宋体" w:hAnsi="宋体" w:eastAsia="宋体" w:cs="宋体"/>
          <w:color w:val="auto"/>
          <w:sz w:val="24"/>
          <w:szCs w:val="24"/>
          <w:highlight w:val="none"/>
        </w:rPr>
        <w:t>七、方案</w:t>
      </w:r>
      <w:bookmarkEnd w:id="68"/>
      <w:bookmarkEnd w:id="69"/>
    </w:p>
    <w:p w14:paraId="2FAD6A81">
      <w:pPr>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（一）</w:t>
      </w:r>
      <w:r>
        <w:rPr>
          <w:rFonts w:hint="eastAsia" w:ascii="宋体" w:hAnsi="宋体" w:cs="宋体"/>
          <w:b/>
          <w:color w:val="auto"/>
          <w:sz w:val="24"/>
          <w:highlight w:val="none"/>
        </w:rPr>
        <w:t>服务方案</w:t>
      </w:r>
    </w:p>
    <w:p w14:paraId="2F8DD27C">
      <w:pPr>
        <w:spacing w:line="44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（二）质量及售后服务等</w:t>
      </w:r>
    </w:p>
    <w:p w14:paraId="461D3672">
      <w:pPr>
        <w:spacing w:line="440" w:lineRule="exact"/>
        <w:ind w:firstLine="2706" w:firstLineChars="1123"/>
        <w:jc w:val="left"/>
        <w:rPr>
          <w:rFonts w:asciiTheme="minorEastAsia" w:hAnsiTheme="minorEastAsia" w:eastAsiaTheme="minorEastAsia" w:cstheme="minorEastAsia"/>
          <w:b/>
          <w:color w:val="auto"/>
          <w:sz w:val="24"/>
          <w:highlight w:val="none"/>
        </w:rPr>
      </w:pPr>
    </w:p>
    <w:p w14:paraId="65E3C6A0">
      <w:pPr>
        <w:rPr>
          <w:rFonts w:hAnsi="宋体" w:cs="宋体"/>
          <w:color w:val="auto"/>
          <w:sz w:val="24"/>
          <w:szCs w:val="32"/>
          <w:highlight w:val="none"/>
        </w:rPr>
      </w:pPr>
      <w:r>
        <w:rPr>
          <w:rFonts w:hint="eastAsia" w:asciiTheme="minorEastAsia" w:hAnsiTheme="minorEastAsia" w:eastAsiaTheme="minorEastAsia" w:cstheme="minorEastAsia"/>
          <w:color w:val="auto"/>
          <w:sz w:val="24"/>
          <w:highlight w:val="none"/>
        </w:rPr>
        <w:br w:type="page"/>
      </w:r>
    </w:p>
    <w:p w14:paraId="18E240DA">
      <w:pPr>
        <w:outlineLvl w:val="0"/>
        <w:rPr>
          <w:rStyle w:val="48"/>
          <w:rFonts w:hint="eastAsia" w:ascii="宋体" w:hAnsi="宋体" w:eastAsia="宋体" w:cs="宋体"/>
          <w:color w:val="auto"/>
          <w:sz w:val="24"/>
          <w:szCs w:val="24"/>
          <w:highlight w:val="none"/>
          <w:lang w:val="en-US" w:eastAsia="zh-CN"/>
        </w:rPr>
      </w:pPr>
      <w:bookmarkStart w:id="70" w:name="_Toc12849"/>
      <w:bookmarkStart w:id="71" w:name="_Toc17553"/>
      <w:r>
        <w:rPr>
          <w:rStyle w:val="48"/>
          <w:rFonts w:hint="eastAsia" w:ascii="宋体" w:hAnsi="宋体" w:eastAsia="宋体" w:cs="宋体"/>
          <w:color w:val="auto"/>
          <w:sz w:val="24"/>
          <w:szCs w:val="24"/>
          <w:highlight w:val="none"/>
          <w:lang w:val="en-US" w:eastAsia="zh-CN"/>
        </w:rPr>
        <w:t>额外附件（无需编入响应文件）</w:t>
      </w:r>
      <w:bookmarkEnd w:id="70"/>
      <w:bookmarkEnd w:id="71"/>
    </w:p>
    <w:p w14:paraId="43195FA0">
      <w:pPr>
        <w:spacing w:line="360" w:lineRule="auto"/>
        <w:jc w:val="center"/>
        <w:rPr>
          <w:rFonts w:hint="eastAsia" w:ascii="宋体" w:hAnsi="宋体" w:eastAsia="宋体" w:cs="宋体"/>
          <w:b/>
          <w:bCs w:val="0"/>
          <w:color w:val="auto"/>
          <w:sz w:val="24"/>
          <w:szCs w:val="24"/>
          <w:highlight w:val="none"/>
        </w:rPr>
      </w:pPr>
    </w:p>
    <w:p w14:paraId="5CF3C30B">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二轮</w:t>
      </w:r>
      <w:r>
        <w:rPr>
          <w:rFonts w:hint="eastAsia" w:ascii="宋体" w:hAnsi="宋体" w:eastAsia="宋体" w:cs="宋体"/>
          <w:b/>
          <w:bCs w:val="0"/>
          <w:color w:val="auto"/>
          <w:sz w:val="24"/>
          <w:szCs w:val="24"/>
          <w:highlight w:val="none"/>
        </w:rPr>
        <w:t>报价函</w:t>
      </w:r>
    </w:p>
    <w:p w14:paraId="64E2DA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 ：</w:t>
      </w:r>
      <w:r>
        <w:rPr>
          <w:rFonts w:hint="eastAsia" w:ascii="宋体" w:hAnsi="宋体" w:eastAsia="宋体" w:cs="宋体"/>
          <w:bCs/>
          <w:color w:val="auto"/>
          <w:sz w:val="24"/>
          <w:szCs w:val="24"/>
          <w:highlight w:val="none"/>
          <w:u w:val="single"/>
        </w:rPr>
        <w:t>( 采购人</w:t>
      </w:r>
      <w:r>
        <w:rPr>
          <w:rFonts w:hint="eastAsia" w:ascii="宋体" w:hAnsi="宋体" w:eastAsia="宋体" w:cs="宋体"/>
          <w:bCs/>
          <w:color w:val="auto"/>
          <w:sz w:val="24"/>
          <w:szCs w:val="24"/>
          <w:highlight w:val="none"/>
          <w:u w:val="single"/>
          <w:lang w:val="en-US" w:eastAsia="zh-CN"/>
        </w:rPr>
        <w:t>名称</w:t>
      </w:r>
      <w:r>
        <w:rPr>
          <w:rFonts w:hint="eastAsia" w:ascii="宋体" w:hAnsi="宋体" w:eastAsia="宋体" w:cs="宋体"/>
          <w:bCs/>
          <w:color w:val="auto"/>
          <w:sz w:val="24"/>
          <w:szCs w:val="24"/>
          <w:highlight w:val="none"/>
          <w:u w:val="single"/>
        </w:rPr>
        <w:t xml:space="preserve"> )</w:t>
      </w:r>
    </w:p>
    <w:p w14:paraId="3463C4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1、我方愿在前一轮</w:t>
      </w:r>
      <w:r>
        <w:rPr>
          <w:rFonts w:hint="eastAsia" w:ascii="宋体" w:hAnsi="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（响应文件）报价的基础上再次让利，让利后响应报价为人民币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元。如果我方有幸成为成交单位，报价费用为所委托项目范围内全部工作，该费用不再调整。</w:t>
      </w:r>
    </w:p>
    <w:p w14:paraId="6FD436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2、其他部分与响应性文件内容一致。</w:t>
      </w:r>
    </w:p>
    <w:p w14:paraId="3DC4A78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p>
    <w:p w14:paraId="1421CED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供应商：（公章）</w:t>
      </w:r>
    </w:p>
    <w:p w14:paraId="50A72C5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法定代表人（或委托代理人）：（签字或盖章）       </w:t>
      </w:r>
    </w:p>
    <w:p w14:paraId="5C9C0D1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日期： 年  月  日 </w:t>
      </w:r>
    </w:p>
    <w:p w14:paraId="26D9B0BE">
      <w:pPr>
        <w:spacing w:line="360" w:lineRule="auto"/>
        <w:jc w:val="center"/>
        <w:rPr>
          <w:rFonts w:hint="eastAsia" w:ascii="宋体" w:hAnsi="宋体" w:eastAsia="宋体" w:cs="宋体"/>
          <w:bCs/>
          <w:color w:val="auto"/>
          <w:sz w:val="24"/>
          <w:szCs w:val="24"/>
          <w:highlight w:val="none"/>
        </w:rPr>
      </w:pPr>
    </w:p>
    <w:p w14:paraId="7D7AC9D9">
      <w:pPr>
        <w:spacing w:line="360" w:lineRule="auto"/>
        <w:jc w:val="center"/>
        <w:rPr>
          <w:rFonts w:hint="eastAsia" w:ascii="宋体" w:hAnsi="宋体" w:eastAsia="宋体" w:cs="宋体"/>
          <w:bCs/>
          <w:color w:val="auto"/>
          <w:sz w:val="24"/>
          <w:szCs w:val="24"/>
          <w:highlight w:val="none"/>
        </w:rPr>
      </w:pPr>
    </w:p>
    <w:p w14:paraId="7C716F17">
      <w:pPr>
        <w:spacing w:line="360" w:lineRule="auto"/>
        <w:jc w:val="both"/>
        <w:rPr>
          <w:rFonts w:hint="eastAsia" w:ascii="宋体" w:hAnsi="宋体" w:eastAsia="宋体" w:cs="宋体"/>
          <w:bCs/>
          <w:color w:val="auto"/>
          <w:sz w:val="24"/>
          <w:szCs w:val="24"/>
          <w:highlight w:val="none"/>
        </w:rPr>
      </w:pPr>
    </w:p>
    <w:p w14:paraId="27FA419C">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w:t>
      </w:r>
    </w:p>
    <w:p w14:paraId="3112249C">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最终报价单位为元，最多保留两位小数。</w:t>
      </w:r>
    </w:p>
    <w:p w14:paraId="33A7864D">
      <w:pPr>
        <w:spacing w:line="360" w:lineRule="auto"/>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（2）供应商二轮报价填报总价即可，二轮报价的工程量清单综合单价较一轮报价同比例调整。</w:t>
      </w:r>
    </w:p>
    <w:p w14:paraId="7C9958E6">
      <w:pPr>
        <w:spacing w:line="360" w:lineRule="auto"/>
        <w:jc w:val="left"/>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（3）各供应商单独备足空白“二轮报价含函”并加盖单位公章及签字，用于二次报价时填写。</w:t>
      </w:r>
    </w:p>
    <w:p w14:paraId="17436D70">
      <w:pPr>
        <w:pStyle w:val="15"/>
        <w:rPr>
          <w:color w:val="auto"/>
          <w:highlight w:val="none"/>
        </w:rPr>
      </w:pPr>
    </w:p>
    <w:sectPr>
      <w:headerReference r:id="rId7" w:type="default"/>
      <w:footerReference r:id="rId8" w:type="default"/>
      <w:footerReference r:id="rId9" w:type="even"/>
      <w:pgSz w:w="11906" w:h="16838"/>
      <w:pgMar w:top="1440" w:right="1800" w:bottom="1440" w:left="1800" w:header="1134"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17AF3D5-E347-451C-A4EF-A136D2FCD180}"/>
  </w:font>
  <w:font w:name="黑体">
    <w:panose1 w:val="02010609060101010101"/>
    <w:charset w:val="86"/>
    <w:family w:val="auto"/>
    <w:pitch w:val="default"/>
    <w:sig w:usb0="800002BF" w:usb1="38CF7CFA" w:usb2="00000016" w:usb3="00000000" w:csb0="00040001" w:csb1="00000000"/>
    <w:embedRegular r:id="rId2" w:fontKey="{3BD88234-4B6F-4A63-B932-C64A458528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DengXian ( 正文 )">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3" w:fontKey="{AB56CF07-7561-4DFC-908D-19C04C38908B}"/>
  </w:font>
  <w:font w:name="Segoe UI">
    <w:panose1 w:val="020B0502040204020203"/>
    <w:charset w:val="00"/>
    <w:family w:val="auto"/>
    <w:pitch w:val="default"/>
    <w:sig w:usb0="E4002EFF" w:usb1="C000E47F" w:usb2="00000009" w:usb3="00000000" w:csb0="200001FF" w:csb1="00000000"/>
    <w:embedRegular r:id="rId4" w:fontKey="{BBBB248B-A184-44FC-A45D-0F30054E01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E042">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56D1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356D1C">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34D6A5D1">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52F0">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8E24F">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A8E24F">
                    <w:pPr>
                      <w:pStyle w:val="8"/>
                    </w:pPr>
                    <w:r>
                      <w:fldChar w:fldCharType="begin"/>
                    </w:r>
                    <w:r>
                      <w:instrText xml:space="preserve"> PAGE  \* MERGEFORMAT </w:instrText>
                    </w:r>
                    <w:r>
                      <w:fldChar w:fldCharType="separate"/>
                    </w:r>
                    <w:r>
                      <w:t>3</w:t>
                    </w:r>
                    <w:r>
                      <w:fldChar w:fldCharType="end"/>
                    </w:r>
                  </w:p>
                </w:txbxContent>
              </v:textbox>
            </v:shape>
          </w:pict>
        </mc:Fallback>
      </mc:AlternateContent>
    </w:r>
  </w:p>
  <w:p w14:paraId="78A118E8">
    <w:pPr>
      <w:spacing w:line="220" w:lineRule="auto"/>
      <w:ind w:left="3323"/>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BACE">
    <w:pPr>
      <w:pStyle w:val="5"/>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A40E72">
                          <w:pPr>
                            <w:pStyle w:val="8"/>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68A40E72">
                    <w:pPr>
                      <w:pStyle w:val="8"/>
                    </w:pPr>
                    <w:r>
                      <w:fldChar w:fldCharType="begin"/>
                    </w:r>
                    <w:r>
                      <w:instrText xml:space="preserve"> PAGE  \* MERGEFORMAT </w:instrText>
                    </w:r>
                    <w:r>
                      <w:fldChar w:fldCharType="separate"/>
                    </w:r>
                    <w:r>
                      <w:t>- 26 -</w:t>
                    </w:r>
                    <w:r>
                      <w:fldChar w:fldCharType="end"/>
                    </w:r>
                  </w:p>
                </w:txbxContent>
              </v:textbox>
            </v:shape>
          </w:pict>
        </mc:Fallback>
      </mc:AlternateContent>
    </w:r>
  </w:p>
  <w:p w14:paraId="51907FB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A41B">
    <w:pPr>
      <w:pStyle w:val="8"/>
      <w:pBdr>
        <w:top w:val="single" w:color="auto" w:sz="4" w:space="1"/>
      </w:pBdr>
      <w:ind w:right="360"/>
      <w:rPr>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2BD4B">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42BD4B">
                    <w:pPr>
                      <w:pStyle w:val="8"/>
                    </w:pPr>
                    <w:r>
                      <w:fldChar w:fldCharType="begin"/>
                    </w:r>
                    <w:r>
                      <w:instrText xml:space="preserve"> PAGE  \* MERGEFORMAT </w:instrText>
                    </w:r>
                    <w:r>
                      <w:fldChar w:fldCharType="separate"/>
                    </w:r>
                    <w:r>
                      <w:t>18</w:t>
                    </w:r>
                    <w:r>
                      <w:fldChar w:fldCharType="end"/>
                    </w:r>
                  </w:p>
                </w:txbxContent>
              </v:textbox>
            </v:shape>
          </w:pict>
        </mc:Fallback>
      </mc:AlternateContent>
    </w:r>
  </w:p>
  <w:p w14:paraId="350AADF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F3EDF">
    <w:pPr>
      <w:pStyle w:val="8"/>
      <w:framePr w:wrap="around" w:vAnchor="text" w:hAnchor="margin" w:xAlign="right" w:y="1"/>
      <w:rPr>
        <w:rStyle w:val="20"/>
      </w:rPr>
    </w:pPr>
    <w:r>
      <w:fldChar w:fldCharType="begin"/>
    </w:r>
    <w:r>
      <w:rPr>
        <w:rStyle w:val="20"/>
      </w:rPr>
      <w:instrText xml:space="preserve">PAGE  </w:instrText>
    </w:r>
    <w:r>
      <w:fldChar w:fldCharType="end"/>
    </w:r>
  </w:p>
  <w:p w14:paraId="327EEBF6">
    <w:pPr>
      <w:pStyle w:val="8"/>
      <w:ind w:right="360"/>
    </w:pPr>
  </w:p>
  <w:p w14:paraId="6C883ED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DD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3F0B">
    <w:pPr>
      <w:pStyle w:val="9"/>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1AAF7"/>
    <w:multiLevelType w:val="singleLevel"/>
    <w:tmpl w:val="C5B1AAF7"/>
    <w:lvl w:ilvl="0" w:tentative="0">
      <w:start w:val="1"/>
      <w:numFmt w:val="decimal"/>
      <w:suff w:val="nothing"/>
      <w:lvlText w:val="%1、"/>
      <w:lvlJc w:val="left"/>
    </w:lvl>
  </w:abstractNum>
  <w:abstractNum w:abstractNumId="1">
    <w:nsid w:val="D48F785D"/>
    <w:multiLevelType w:val="singleLevel"/>
    <w:tmpl w:val="D48F785D"/>
    <w:lvl w:ilvl="0" w:tentative="0">
      <w:start w:val="5"/>
      <w:numFmt w:val="chineseCounting"/>
      <w:suff w:val="space"/>
      <w:lvlText w:val="第%1章"/>
      <w:lvlJc w:val="left"/>
      <w:rPr>
        <w:rFonts w:hint="eastAsia"/>
      </w:rPr>
    </w:lvl>
  </w:abstractNum>
  <w:abstractNum w:abstractNumId="2">
    <w:nsid w:val="5187CC9C"/>
    <w:multiLevelType w:val="singleLevel"/>
    <w:tmpl w:val="5187CC9C"/>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YjEzMzcxZDFhZGY0NmM5MDk4M2EzNzI4YTQwNjQifQ=="/>
  </w:docVars>
  <w:rsids>
    <w:rsidRoot w:val="6EC727D8"/>
    <w:rsid w:val="000008DC"/>
    <w:rsid w:val="00074755"/>
    <w:rsid w:val="000D5B86"/>
    <w:rsid w:val="000E1F6C"/>
    <w:rsid w:val="000F7491"/>
    <w:rsid w:val="00107F7A"/>
    <w:rsid w:val="00133528"/>
    <w:rsid w:val="001377B4"/>
    <w:rsid w:val="001531BC"/>
    <w:rsid w:val="001C7F21"/>
    <w:rsid w:val="001D0E19"/>
    <w:rsid w:val="00241BCE"/>
    <w:rsid w:val="002827D9"/>
    <w:rsid w:val="00310043"/>
    <w:rsid w:val="00325DD1"/>
    <w:rsid w:val="00330497"/>
    <w:rsid w:val="00337BD4"/>
    <w:rsid w:val="00360082"/>
    <w:rsid w:val="00370FA3"/>
    <w:rsid w:val="003D6EB2"/>
    <w:rsid w:val="003E7146"/>
    <w:rsid w:val="00481283"/>
    <w:rsid w:val="004C3D64"/>
    <w:rsid w:val="00502F86"/>
    <w:rsid w:val="00554AED"/>
    <w:rsid w:val="00573D8E"/>
    <w:rsid w:val="005B7F2A"/>
    <w:rsid w:val="005C36B3"/>
    <w:rsid w:val="005E629F"/>
    <w:rsid w:val="005F257E"/>
    <w:rsid w:val="005F31BF"/>
    <w:rsid w:val="0062612B"/>
    <w:rsid w:val="00643FFD"/>
    <w:rsid w:val="00664226"/>
    <w:rsid w:val="00664B49"/>
    <w:rsid w:val="006A1B74"/>
    <w:rsid w:val="00706B07"/>
    <w:rsid w:val="00737B01"/>
    <w:rsid w:val="00756192"/>
    <w:rsid w:val="007654C4"/>
    <w:rsid w:val="007679EB"/>
    <w:rsid w:val="00771506"/>
    <w:rsid w:val="007925A2"/>
    <w:rsid w:val="0079330D"/>
    <w:rsid w:val="007967C9"/>
    <w:rsid w:val="007B7190"/>
    <w:rsid w:val="007E4AEE"/>
    <w:rsid w:val="007F5FDC"/>
    <w:rsid w:val="008877ED"/>
    <w:rsid w:val="008B34A7"/>
    <w:rsid w:val="008E06AA"/>
    <w:rsid w:val="008E4B3E"/>
    <w:rsid w:val="008F5ACA"/>
    <w:rsid w:val="00910B63"/>
    <w:rsid w:val="00936ACC"/>
    <w:rsid w:val="0096212F"/>
    <w:rsid w:val="00997D30"/>
    <w:rsid w:val="009C15CF"/>
    <w:rsid w:val="009C2971"/>
    <w:rsid w:val="009D484D"/>
    <w:rsid w:val="00A0731A"/>
    <w:rsid w:val="00A40483"/>
    <w:rsid w:val="00A53F70"/>
    <w:rsid w:val="00A72BE0"/>
    <w:rsid w:val="00AB14BC"/>
    <w:rsid w:val="00AC096B"/>
    <w:rsid w:val="00AE137C"/>
    <w:rsid w:val="00AE30B0"/>
    <w:rsid w:val="00B0397C"/>
    <w:rsid w:val="00B11A1A"/>
    <w:rsid w:val="00B403CD"/>
    <w:rsid w:val="00B519D7"/>
    <w:rsid w:val="00B60525"/>
    <w:rsid w:val="00B75680"/>
    <w:rsid w:val="00B91F55"/>
    <w:rsid w:val="00B92E69"/>
    <w:rsid w:val="00B93C87"/>
    <w:rsid w:val="00BA0C8C"/>
    <w:rsid w:val="00BB413B"/>
    <w:rsid w:val="00BC12F0"/>
    <w:rsid w:val="00BC3B7F"/>
    <w:rsid w:val="00BD2778"/>
    <w:rsid w:val="00C11019"/>
    <w:rsid w:val="00C44682"/>
    <w:rsid w:val="00C73E3E"/>
    <w:rsid w:val="00C75E31"/>
    <w:rsid w:val="00C84172"/>
    <w:rsid w:val="00C905B8"/>
    <w:rsid w:val="00D009EA"/>
    <w:rsid w:val="00D40D69"/>
    <w:rsid w:val="00D45394"/>
    <w:rsid w:val="00D62FCB"/>
    <w:rsid w:val="00D64BD5"/>
    <w:rsid w:val="00D76247"/>
    <w:rsid w:val="00D90AFE"/>
    <w:rsid w:val="00D96E63"/>
    <w:rsid w:val="00DC661F"/>
    <w:rsid w:val="00DC6BD9"/>
    <w:rsid w:val="00DE4501"/>
    <w:rsid w:val="00E1437E"/>
    <w:rsid w:val="00E25D2A"/>
    <w:rsid w:val="00E37283"/>
    <w:rsid w:val="00E43CD1"/>
    <w:rsid w:val="00E815D1"/>
    <w:rsid w:val="00EC71D2"/>
    <w:rsid w:val="00ED4AA4"/>
    <w:rsid w:val="00EF7950"/>
    <w:rsid w:val="00F07E7E"/>
    <w:rsid w:val="00F24888"/>
    <w:rsid w:val="00F44726"/>
    <w:rsid w:val="00FA7A82"/>
    <w:rsid w:val="00FB3DFE"/>
    <w:rsid w:val="00FE651F"/>
    <w:rsid w:val="01284C10"/>
    <w:rsid w:val="01395070"/>
    <w:rsid w:val="014B08FF"/>
    <w:rsid w:val="0168325F"/>
    <w:rsid w:val="016C134C"/>
    <w:rsid w:val="018E53BB"/>
    <w:rsid w:val="01967DCC"/>
    <w:rsid w:val="019948FF"/>
    <w:rsid w:val="01A52705"/>
    <w:rsid w:val="01AA1AC9"/>
    <w:rsid w:val="01B36BD0"/>
    <w:rsid w:val="01D134FA"/>
    <w:rsid w:val="01DA23AF"/>
    <w:rsid w:val="01E62509"/>
    <w:rsid w:val="01F36FCC"/>
    <w:rsid w:val="02021905"/>
    <w:rsid w:val="02111B48"/>
    <w:rsid w:val="02313F99"/>
    <w:rsid w:val="024E68F9"/>
    <w:rsid w:val="025C7268"/>
    <w:rsid w:val="02702D13"/>
    <w:rsid w:val="02785724"/>
    <w:rsid w:val="027D2D3A"/>
    <w:rsid w:val="028265A2"/>
    <w:rsid w:val="0288500D"/>
    <w:rsid w:val="0297204E"/>
    <w:rsid w:val="029F0F02"/>
    <w:rsid w:val="029F74CA"/>
    <w:rsid w:val="02A23F5D"/>
    <w:rsid w:val="02BA5D3C"/>
    <w:rsid w:val="02D92666"/>
    <w:rsid w:val="02DF7AA4"/>
    <w:rsid w:val="02E86730"/>
    <w:rsid w:val="02E903CF"/>
    <w:rsid w:val="02F72AEC"/>
    <w:rsid w:val="030D41CD"/>
    <w:rsid w:val="03125B78"/>
    <w:rsid w:val="031B2C7F"/>
    <w:rsid w:val="03440AAD"/>
    <w:rsid w:val="03451AAA"/>
    <w:rsid w:val="03522419"/>
    <w:rsid w:val="0365214C"/>
    <w:rsid w:val="03667C72"/>
    <w:rsid w:val="03697A90"/>
    <w:rsid w:val="038F0F77"/>
    <w:rsid w:val="0397744C"/>
    <w:rsid w:val="03AC7D7B"/>
    <w:rsid w:val="03AF33C7"/>
    <w:rsid w:val="03B20153"/>
    <w:rsid w:val="03C52BEB"/>
    <w:rsid w:val="03EA08A3"/>
    <w:rsid w:val="040A4AA1"/>
    <w:rsid w:val="040B2A74"/>
    <w:rsid w:val="042C2C6A"/>
    <w:rsid w:val="04473600"/>
    <w:rsid w:val="044955CA"/>
    <w:rsid w:val="045F6B9B"/>
    <w:rsid w:val="0461636B"/>
    <w:rsid w:val="046A2717"/>
    <w:rsid w:val="04784101"/>
    <w:rsid w:val="047D34C5"/>
    <w:rsid w:val="047F723D"/>
    <w:rsid w:val="04826D2E"/>
    <w:rsid w:val="04874344"/>
    <w:rsid w:val="048900BC"/>
    <w:rsid w:val="04891E6A"/>
    <w:rsid w:val="048B7990"/>
    <w:rsid w:val="049251C3"/>
    <w:rsid w:val="04A10F62"/>
    <w:rsid w:val="04A4420B"/>
    <w:rsid w:val="04A96068"/>
    <w:rsid w:val="04E11CA6"/>
    <w:rsid w:val="04FB16CE"/>
    <w:rsid w:val="05184F9C"/>
    <w:rsid w:val="0564343C"/>
    <w:rsid w:val="058D4B01"/>
    <w:rsid w:val="05A52CD4"/>
    <w:rsid w:val="05C50C80"/>
    <w:rsid w:val="05CF2FDE"/>
    <w:rsid w:val="05DE7F94"/>
    <w:rsid w:val="05E25CD6"/>
    <w:rsid w:val="05EA6938"/>
    <w:rsid w:val="060E0879"/>
    <w:rsid w:val="061340E1"/>
    <w:rsid w:val="06163BD1"/>
    <w:rsid w:val="0624009C"/>
    <w:rsid w:val="062C6F51"/>
    <w:rsid w:val="06316315"/>
    <w:rsid w:val="064047AA"/>
    <w:rsid w:val="067526A6"/>
    <w:rsid w:val="067D77AC"/>
    <w:rsid w:val="067F1777"/>
    <w:rsid w:val="069B7C33"/>
    <w:rsid w:val="06A765D7"/>
    <w:rsid w:val="06B342AD"/>
    <w:rsid w:val="06C947A0"/>
    <w:rsid w:val="06D51397"/>
    <w:rsid w:val="06E15F8D"/>
    <w:rsid w:val="06EE4206"/>
    <w:rsid w:val="07397B77"/>
    <w:rsid w:val="07477E74"/>
    <w:rsid w:val="07937C68"/>
    <w:rsid w:val="07990616"/>
    <w:rsid w:val="07A20778"/>
    <w:rsid w:val="07B733C4"/>
    <w:rsid w:val="07C5765D"/>
    <w:rsid w:val="07ED349A"/>
    <w:rsid w:val="08092B10"/>
    <w:rsid w:val="085602B5"/>
    <w:rsid w:val="086329D2"/>
    <w:rsid w:val="087E15BA"/>
    <w:rsid w:val="0888779C"/>
    <w:rsid w:val="0892448F"/>
    <w:rsid w:val="08A40A20"/>
    <w:rsid w:val="08B80F70"/>
    <w:rsid w:val="08CE2E53"/>
    <w:rsid w:val="08D12A6B"/>
    <w:rsid w:val="08D51B22"/>
    <w:rsid w:val="08D538D0"/>
    <w:rsid w:val="08F024B8"/>
    <w:rsid w:val="08F655F4"/>
    <w:rsid w:val="09122521"/>
    <w:rsid w:val="091A3FB8"/>
    <w:rsid w:val="093C56FD"/>
    <w:rsid w:val="09541963"/>
    <w:rsid w:val="09732A37"/>
    <w:rsid w:val="097C116F"/>
    <w:rsid w:val="09971291"/>
    <w:rsid w:val="09A21F4E"/>
    <w:rsid w:val="09AC2C7C"/>
    <w:rsid w:val="09D15427"/>
    <w:rsid w:val="09D92E75"/>
    <w:rsid w:val="0A075837"/>
    <w:rsid w:val="0A08006A"/>
    <w:rsid w:val="0A210AF1"/>
    <w:rsid w:val="0A280703"/>
    <w:rsid w:val="0A2D5046"/>
    <w:rsid w:val="0A3D797F"/>
    <w:rsid w:val="0A4834A5"/>
    <w:rsid w:val="0A495578"/>
    <w:rsid w:val="0A4C5E14"/>
    <w:rsid w:val="0A5C3C67"/>
    <w:rsid w:val="0A726EFC"/>
    <w:rsid w:val="0A8F3F52"/>
    <w:rsid w:val="0A95202C"/>
    <w:rsid w:val="0A9607F5"/>
    <w:rsid w:val="0AAA48E8"/>
    <w:rsid w:val="0AAB0D8C"/>
    <w:rsid w:val="0AB1595C"/>
    <w:rsid w:val="0AB67731"/>
    <w:rsid w:val="0AC41E4E"/>
    <w:rsid w:val="0AD55E09"/>
    <w:rsid w:val="0AEE0C79"/>
    <w:rsid w:val="0B0C55A3"/>
    <w:rsid w:val="0B0D1F83"/>
    <w:rsid w:val="0B1C059C"/>
    <w:rsid w:val="0B270E55"/>
    <w:rsid w:val="0B344594"/>
    <w:rsid w:val="0B3F32C0"/>
    <w:rsid w:val="0B402762"/>
    <w:rsid w:val="0B4E1717"/>
    <w:rsid w:val="0B73117E"/>
    <w:rsid w:val="0B8769D7"/>
    <w:rsid w:val="0B9730BE"/>
    <w:rsid w:val="0BC1013B"/>
    <w:rsid w:val="0BCB2A5E"/>
    <w:rsid w:val="0BCF2F63"/>
    <w:rsid w:val="0BD32EFE"/>
    <w:rsid w:val="0BDA2FAB"/>
    <w:rsid w:val="0C3C77C2"/>
    <w:rsid w:val="0C43404D"/>
    <w:rsid w:val="0C450D6C"/>
    <w:rsid w:val="0C985340"/>
    <w:rsid w:val="0CA248BC"/>
    <w:rsid w:val="0CA75589"/>
    <w:rsid w:val="0CAF61E6"/>
    <w:rsid w:val="0CC9374C"/>
    <w:rsid w:val="0CCD48BE"/>
    <w:rsid w:val="0CDB31C5"/>
    <w:rsid w:val="0CDB522D"/>
    <w:rsid w:val="0CE75980"/>
    <w:rsid w:val="0CF462EF"/>
    <w:rsid w:val="0CF92A3E"/>
    <w:rsid w:val="0D0C53E6"/>
    <w:rsid w:val="0D1843F4"/>
    <w:rsid w:val="0D200E92"/>
    <w:rsid w:val="0D336E17"/>
    <w:rsid w:val="0D3A01A5"/>
    <w:rsid w:val="0D3F3A0E"/>
    <w:rsid w:val="0D592054"/>
    <w:rsid w:val="0D5A43A4"/>
    <w:rsid w:val="0D614AED"/>
    <w:rsid w:val="0D646FD0"/>
    <w:rsid w:val="0D851A87"/>
    <w:rsid w:val="0D925950"/>
    <w:rsid w:val="0DB735A4"/>
    <w:rsid w:val="0DC12675"/>
    <w:rsid w:val="0DD51251"/>
    <w:rsid w:val="0DE43658"/>
    <w:rsid w:val="0DED2C29"/>
    <w:rsid w:val="0DF071A5"/>
    <w:rsid w:val="0E0662D9"/>
    <w:rsid w:val="0E407A3D"/>
    <w:rsid w:val="0E4B725D"/>
    <w:rsid w:val="0E6C0832"/>
    <w:rsid w:val="0E7019A5"/>
    <w:rsid w:val="0E811E04"/>
    <w:rsid w:val="0E960DA4"/>
    <w:rsid w:val="0E990EFC"/>
    <w:rsid w:val="0EA04BD9"/>
    <w:rsid w:val="0EBE4E06"/>
    <w:rsid w:val="0EC35F79"/>
    <w:rsid w:val="0EE91E83"/>
    <w:rsid w:val="0EEF6D6E"/>
    <w:rsid w:val="0EF56A7A"/>
    <w:rsid w:val="0EFE5203"/>
    <w:rsid w:val="0F00663B"/>
    <w:rsid w:val="0F024CF3"/>
    <w:rsid w:val="0F0C791F"/>
    <w:rsid w:val="0F1A4EA2"/>
    <w:rsid w:val="0F323C80"/>
    <w:rsid w:val="0F386966"/>
    <w:rsid w:val="0F470958"/>
    <w:rsid w:val="0F6B0AEA"/>
    <w:rsid w:val="0F707EAE"/>
    <w:rsid w:val="0F957915"/>
    <w:rsid w:val="0FAC2EB1"/>
    <w:rsid w:val="0FB26719"/>
    <w:rsid w:val="0FB3426A"/>
    <w:rsid w:val="0FBD50BE"/>
    <w:rsid w:val="0FC05C73"/>
    <w:rsid w:val="0FE4264A"/>
    <w:rsid w:val="10044A9B"/>
    <w:rsid w:val="1008681F"/>
    <w:rsid w:val="10260EB5"/>
    <w:rsid w:val="104024BB"/>
    <w:rsid w:val="106F280D"/>
    <w:rsid w:val="107E158A"/>
    <w:rsid w:val="108B0D18"/>
    <w:rsid w:val="10BE10ED"/>
    <w:rsid w:val="10C36704"/>
    <w:rsid w:val="10CD1330"/>
    <w:rsid w:val="10D161C4"/>
    <w:rsid w:val="10D4446D"/>
    <w:rsid w:val="10D63B1F"/>
    <w:rsid w:val="10DB57FB"/>
    <w:rsid w:val="10F44B0F"/>
    <w:rsid w:val="114B56D0"/>
    <w:rsid w:val="116003F7"/>
    <w:rsid w:val="11665A0D"/>
    <w:rsid w:val="11755C50"/>
    <w:rsid w:val="11847C41"/>
    <w:rsid w:val="118F65E6"/>
    <w:rsid w:val="11A1491C"/>
    <w:rsid w:val="11B5111E"/>
    <w:rsid w:val="11C40985"/>
    <w:rsid w:val="11C72224"/>
    <w:rsid w:val="11D02E86"/>
    <w:rsid w:val="11DF756D"/>
    <w:rsid w:val="11F748B7"/>
    <w:rsid w:val="11FA6155"/>
    <w:rsid w:val="12260CF8"/>
    <w:rsid w:val="1235718D"/>
    <w:rsid w:val="12535865"/>
    <w:rsid w:val="12647A72"/>
    <w:rsid w:val="126857B5"/>
    <w:rsid w:val="12751C80"/>
    <w:rsid w:val="1288550F"/>
    <w:rsid w:val="128C7765"/>
    <w:rsid w:val="129F0AAB"/>
    <w:rsid w:val="12A2123C"/>
    <w:rsid w:val="12B24C82"/>
    <w:rsid w:val="12C16C73"/>
    <w:rsid w:val="12CD5618"/>
    <w:rsid w:val="12DB2E87"/>
    <w:rsid w:val="13023513"/>
    <w:rsid w:val="131775E8"/>
    <w:rsid w:val="13294F44"/>
    <w:rsid w:val="1334693B"/>
    <w:rsid w:val="13421B62"/>
    <w:rsid w:val="13541895"/>
    <w:rsid w:val="135B124E"/>
    <w:rsid w:val="13623155"/>
    <w:rsid w:val="13771000"/>
    <w:rsid w:val="13897791"/>
    <w:rsid w:val="13936861"/>
    <w:rsid w:val="13B3480E"/>
    <w:rsid w:val="13D22765"/>
    <w:rsid w:val="13D36C5E"/>
    <w:rsid w:val="13E04764"/>
    <w:rsid w:val="13F07810"/>
    <w:rsid w:val="141F1A80"/>
    <w:rsid w:val="14276FAA"/>
    <w:rsid w:val="142E6509"/>
    <w:rsid w:val="143454D8"/>
    <w:rsid w:val="143811B7"/>
    <w:rsid w:val="14537D9F"/>
    <w:rsid w:val="145558C5"/>
    <w:rsid w:val="145A737F"/>
    <w:rsid w:val="147321EF"/>
    <w:rsid w:val="14812B5E"/>
    <w:rsid w:val="14891A12"/>
    <w:rsid w:val="148E0DD7"/>
    <w:rsid w:val="14902DA1"/>
    <w:rsid w:val="14926B19"/>
    <w:rsid w:val="14956609"/>
    <w:rsid w:val="14D62EA9"/>
    <w:rsid w:val="14D727D0"/>
    <w:rsid w:val="14D7452C"/>
    <w:rsid w:val="150D1F93"/>
    <w:rsid w:val="15273705"/>
    <w:rsid w:val="1534197E"/>
    <w:rsid w:val="15521101"/>
    <w:rsid w:val="156F29B6"/>
    <w:rsid w:val="15712BD2"/>
    <w:rsid w:val="15714980"/>
    <w:rsid w:val="1574621E"/>
    <w:rsid w:val="15C14ABA"/>
    <w:rsid w:val="15D867AD"/>
    <w:rsid w:val="15EE4223"/>
    <w:rsid w:val="15F7693B"/>
    <w:rsid w:val="15FB249C"/>
    <w:rsid w:val="161517B0"/>
    <w:rsid w:val="161A5018"/>
    <w:rsid w:val="161C0D90"/>
    <w:rsid w:val="161E0F3C"/>
    <w:rsid w:val="161E145D"/>
    <w:rsid w:val="163A2FC4"/>
    <w:rsid w:val="163C4F8E"/>
    <w:rsid w:val="16436D08"/>
    <w:rsid w:val="16450281"/>
    <w:rsid w:val="164976AB"/>
    <w:rsid w:val="164B6F7F"/>
    <w:rsid w:val="165A18B8"/>
    <w:rsid w:val="16691AFB"/>
    <w:rsid w:val="167364D6"/>
    <w:rsid w:val="16783AEC"/>
    <w:rsid w:val="167A7865"/>
    <w:rsid w:val="168626AD"/>
    <w:rsid w:val="16871B76"/>
    <w:rsid w:val="16881F81"/>
    <w:rsid w:val="16923636"/>
    <w:rsid w:val="16BD4EA7"/>
    <w:rsid w:val="16BE1E47"/>
    <w:rsid w:val="16D36F75"/>
    <w:rsid w:val="16E16F3A"/>
    <w:rsid w:val="16E41182"/>
    <w:rsid w:val="16F45869"/>
    <w:rsid w:val="170B670F"/>
    <w:rsid w:val="17283764"/>
    <w:rsid w:val="17377504"/>
    <w:rsid w:val="173C4B1A"/>
    <w:rsid w:val="175D340E"/>
    <w:rsid w:val="175E0F34"/>
    <w:rsid w:val="175E6B6A"/>
    <w:rsid w:val="1768590F"/>
    <w:rsid w:val="176A436F"/>
    <w:rsid w:val="177249E0"/>
    <w:rsid w:val="17793FC0"/>
    <w:rsid w:val="178A7F7B"/>
    <w:rsid w:val="17936E30"/>
    <w:rsid w:val="17B07BF3"/>
    <w:rsid w:val="17B40B54"/>
    <w:rsid w:val="17C678CB"/>
    <w:rsid w:val="17D36241"/>
    <w:rsid w:val="17EB6C6C"/>
    <w:rsid w:val="17EC4792"/>
    <w:rsid w:val="181635BD"/>
    <w:rsid w:val="18291542"/>
    <w:rsid w:val="18365A0D"/>
    <w:rsid w:val="18381785"/>
    <w:rsid w:val="18420856"/>
    <w:rsid w:val="18534811"/>
    <w:rsid w:val="187A1D9E"/>
    <w:rsid w:val="187D53EA"/>
    <w:rsid w:val="188B3FAB"/>
    <w:rsid w:val="18A40BC9"/>
    <w:rsid w:val="18AC1CDC"/>
    <w:rsid w:val="18B76B4E"/>
    <w:rsid w:val="18BD045D"/>
    <w:rsid w:val="18DC0363"/>
    <w:rsid w:val="18E11E1D"/>
    <w:rsid w:val="18FB6DC4"/>
    <w:rsid w:val="18FD1A72"/>
    <w:rsid w:val="18FF22A3"/>
    <w:rsid w:val="19137AFC"/>
    <w:rsid w:val="192F4936"/>
    <w:rsid w:val="193E726F"/>
    <w:rsid w:val="194859F8"/>
    <w:rsid w:val="19792055"/>
    <w:rsid w:val="19AF1F1B"/>
    <w:rsid w:val="19CA465F"/>
    <w:rsid w:val="19D379B8"/>
    <w:rsid w:val="19D83220"/>
    <w:rsid w:val="19E26AD1"/>
    <w:rsid w:val="19FD4A34"/>
    <w:rsid w:val="1A07140F"/>
    <w:rsid w:val="1A0A7151"/>
    <w:rsid w:val="1A136006"/>
    <w:rsid w:val="1A2F1DF7"/>
    <w:rsid w:val="1A381F10"/>
    <w:rsid w:val="1A437ED6"/>
    <w:rsid w:val="1A473F02"/>
    <w:rsid w:val="1A584361"/>
    <w:rsid w:val="1A69031C"/>
    <w:rsid w:val="1A7A361D"/>
    <w:rsid w:val="1A82318C"/>
    <w:rsid w:val="1AB01AA7"/>
    <w:rsid w:val="1ACB068F"/>
    <w:rsid w:val="1ADA4D76"/>
    <w:rsid w:val="1AE23C2A"/>
    <w:rsid w:val="1AED4AA9"/>
    <w:rsid w:val="1AF75EF5"/>
    <w:rsid w:val="1B0B5973"/>
    <w:rsid w:val="1B133E17"/>
    <w:rsid w:val="1B177D78"/>
    <w:rsid w:val="1B2A7AAB"/>
    <w:rsid w:val="1B3E5305"/>
    <w:rsid w:val="1B4D72F6"/>
    <w:rsid w:val="1B544B28"/>
    <w:rsid w:val="1B66161C"/>
    <w:rsid w:val="1B770817"/>
    <w:rsid w:val="1B8371BB"/>
    <w:rsid w:val="1B903686"/>
    <w:rsid w:val="1BA01BB2"/>
    <w:rsid w:val="1BB455C7"/>
    <w:rsid w:val="1BE0460E"/>
    <w:rsid w:val="1BF80FCF"/>
    <w:rsid w:val="1C1553FF"/>
    <w:rsid w:val="1C166281"/>
    <w:rsid w:val="1C283304"/>
    <w:rsid w:val="1C3B7A96"/>
    <w:rsid w:val="1C641230"/>
    <w:rsid w:val="1C676ADD"/>
    <w:rsid w:val="1C705992"/>
    <w:rsid w:val="1C9978FC"/>
    <w:rsid w:val="1C9F0025"/>
    <w:rsid w:val="1CA27B15"/>
    <w:rsid w:val="1CAB5C51"/>
    <w:rsid w:val="1CAC2742"/>
    <w:rsid w:val="1CAC3B3D"/>
    <w:rsid w:val="1CBA4E5F"/>
    <w:rsid w:val="1CCC06EE"/>
    <w:rsid w:val="1CED18DB"/>
    <w:rsid w:val="1CF06AD2"/>
    <w:rsid w:val="1CFE11EF"/>
    <w:rsid w:val="1D022362"/>
    <w:rsid w:val="1D036806"/>
    <w:rsid w:val="1D0866CB"/>
    <w:rsid w:val="1D09129C"/>
    <w:rsid w:val="1D1E3640"/>
    <w:rsid w:val="1D3159D0"/>
    <w:rsid w:val="1D3C1D18"/>
    <w:rsid w:val="1D3D339A"/>
    <w:rsid w:val="1D3F7112"/>
    <w:rsid w:val="1D5277E1"/>
    <w:rsid w:val="1D530C7D"/>
    <w:rsid w:val="1D632B53"/>
    <w:rsid w:val="1D644DCB"/>
    <w:rsid w:val="1D6D0123"/>
    <w:rsid w:val="1D6F3E9B"/>
    <w:rsid w:val="1DA72630"/>
    <w:rsid w:val="1DC615E1"/>
    <w:rsid w:val="1DC835AB"/>
    <w:rsid w:val="1DCD2970"/>
    <w:rsid w:val="1DDC7057"/>
    <w:rsid w:val="1DE2466D"/>
    <w:rsid w:val="1DE960B7"/>
    <w:rsid w:val="1DEF77E3"/>
    <w:rsid w:val="1DFB74DD"/>
    <w:rsid w:val="1E110AAE"/>
    <w:rsid w:val="1E1E31CB"/>
    <w:rsid w:val="1E220F0E"/>
    <w:rsid w:val="1E25455A"/>
    <w:rsid w:val="1E3173A3"/>
    <w:rsid w:val="1E3D5D47"/>
    <w:rsid w:val="1E4D585F"/>
    <w:rsid w:val="1E562965"/>
    <w:rsid w:val="1E8821E9"/>
    <w:rsid w:val="1EA062D6"/>
    <w:rsid w:val="1EB458DE"/>
    <w:rsid w:val="1EC45B21"/>
    <w:rsid w:val="1EE2069D"/>
    <w:rsid w:val="1F046865"/>
    <w:rsid w:val="1F095C2A"/>
    <w:rsid w:val="1F396124"/>
    <w:rsid w:val="1F3A5DE3"/>
    <w:rsid w:val="1F5A0233"/>
    <w:rsid w:val="1F5A6485"/>
    <w:rsid w:val="1F5F074C"/>
    <w:rsid w:val="1F63358C"/>
    <w:rsid w:val="1F737547"/>
    <w:rsid w:val="1F95570F"/>
    <w:rsid w:val="1FD2426D"/>
    <w:rsid w:val="1FEB532F"/>
    <w:rsid w:val="2001472C"/>
    <w:rsid w:val="20014B53"/>
    <w:rsid w:val="20115428"/>
    <w:rsid w:val="20350899"/>
    <w:rsid w:val="203B19C0"/>
    <w:rsid w:val="20436F19"/>
    <w:rsid w:val="207B66B3"/>
    <w:rsid w:val="20803CC9"/>
    <w:rsid w:val="209B0B03"/>
    <w:rsid w:val="20A73065"/>
    <w:rsid w:val="20B16579"/>
    <w:rsid w:val="20BD316F"/>
    <w:rsid w:val="20C46ABB"/>
    <w:rsid w:val="20D504B9"/>
    <w:rsid w:val="20E06E5E"/>
    <w:rsid w:val="20FF5536"/>
    <w:rsid w:val="21020B82"/>
    <w:rsid w:val="21052AC9"/>
    <w:rsid w:val="210669F5"/>
    <w:rsid w:val="21182CA5"/>
    <w:rsid w:val="21224918"/>
    <w:rsid w:val="2126612C"/>
    <w:rsid w:val="2130749E"/>
    <w:rsid w:val="21366A7E"/>
    <w:rsid w:val="2139763B"/>
    <w:rsid w:val="214B166A"/>
    <w:rsid w:val="21553BAC"/>
    <w:rsid w:val="21690C01"/>
    <w:rsid w:val="2177331E"/>
    <w:rsid w:val="2197576F"/>
    <w:rsid w:val="2197751D"/>
    <w:rsid w:val="21983295"/>
    <w:rsid w:val="219C7306"/>
    <w:rsid w:val="219C7685"/>
    <w:rsid w:val="21A244F3"/>
    <w:rsid w:val="21A51C1A"/>
    <w:rsid w:val="21B6299C"/>
    <w:rsid w:val="21B87493"/>
    <w:rsid w:val="21BE0F4D"/>
    <w:rsid w:val="21D818E3"/>
    <w:rsid w:val="21E64000"/>
    <w:rsid w:val="21EB1616"/>
    <w:rsid w:val="221E7C3E"/>
    <w:rsid w:val="2237485C"/>
    <w:rsid w:val="223E3E3C"/>
    <w:rsid w:val="223F5AB8"/>
    <w:rsid w:val="224F429B"/>
    <w:rsid w:val="224F6049"/>
    <w:rsid w:val="22A16179"/>
    <w:rsid w:val="22B66D05"/>
    <w:rsid w:val="22BA5184"/>
    <w:rsid w:val="22F62969"/>
    <w:rsid w:val="22FD3CF7"/>
    <w:rsid w:val="23122DE5"/>
    <w:rsid w:val="231A178A"/>
    <w:rsid w:val="23393203"/>
    <w:rsid w:val="233D205C"/>
    <w:rsid w:val="234B73CC"/>
    <w:rsid w:val="2358717F"/>
    <w:rsid w:val="235F22BC"/>
    <w:rsid w:val="237613B4"/>
    <w:rsid w:val="23812232"/>
    <w:rsid w:val="239312F5"/>
    <w:rsid w:val="23980A4F"/>
    <w:rsid w:val="23A81EB5"/>
    <w:rsid w:val="23AD74CB"/>
    <w:rsid w:val="23C465C3"/>
    <w:rsid w:val="23CB5BA3"/>
    <w:rsid w:val="23FC5D5D"/>
    <w:rsid w:val="24044C11"/>
    <w:rsid w:val="240B41F2"/>
    <w:rsid w:val="24107A5A"/>
    <w:rsid w:val="24253506"/>
    <w:rsid w:val="24341EB9"/>
    <w:rsid w:val="24373239"/>
    <w:rsid w:val="24392B0D"/>
    <w:rsid w:val="244D65B8"/>
    <w:rsid w:val="245416F5"/>
    <w:rsid w:val="245B0CD5"/>
    <w:rsid w:val="245B7E1B"/>
    <w:rsid w:val="2480073C"/>
    <w:rsid w:val="24A32B10"/>
    <w:rsid w:val="24A501A2"/>
    <w:rsid w:val="24B44889"/>
    <w:rsid w:val="24B808B0"/>
    <w:rsid w:val="24DB5972"/>
    <w:rsid w:val="24F609FE"/>
    <w:rsid w:val="25021151"/>
    <w:rsid w:val="250274DC"/>
    <w:rsid w:val="250749B9"/>
    <w:rsid w:val="251009E1"/>
    <w:rsid w:val="251D41DD"/>
    <w:rsid w:val="25461985"/>
    <w:rsid w:val="255319AC"/>
    <w:rsid w:val="255816B9"/>
    <w:rsid w:val="25787665"/>
    <w:rsid w:val="25A22934"/>
    <w:rsid w:val="25A246E2"/>
    <w:rsid w:val="25A428FF"/>
    <w:rsid w:val="25C26B32"/>
    <w:rsid w:val="25CB1E8B"/>
    <w:rsid w:val="25CD5AD7"/>
    <w:rsid w:val="25D105C8"/>
    <w:rsid w:val="25E60A73"/>
    <w:rsid w:val="25F50CB6"/>
    <w:rsid w:val="25F56F08"/>
    <w:rsid w:val="2604634A"/>
    <w:rsid w:val="26062EC3"/>
    <w:rsid w:val="2609650F"/>
    <w:rsid w:val="260F621B"/>
    <w:rsid w:val="26211AAB"/>
    <w:rsid w:val="2633160E"/>
    <w:rsid w:val="264D6D44"/>
    <w:rsid w:val="26502390"/>
    <w:rsid w:val="265417DD"/>
    <w:rsid w:val="265C24B0"/>
    <w:rsid w:val="2685203A"/>
    <w:rsid w:val="2696426F"/>
    <w:rsid w:val="2697245B"/>
    <w:rsid w:val="26A024D9"/>
    <w:rsid w:val="26A338B2"/>
    <w:rsid w:val="26A64C5A"/>
    <w:rsid w:val="26A84A0A"/>
    <w:rsid w:val="26A85D28"/>
    <w:rsid w:val="26B172D2"/>
    <w:rsid w:val="26B50445"/>
    <w:rsid w:val="26B80661"/>
    <w:rsid w:val="26CD1546"/>
    <w:rsid w:val="26E641FB"/>
    <w:rsid w:val="26EC030B"/>
    <w:rsid w:val="26ED5E31"/>
    <w:rsid w:val="26F176CF"/>
    <w:rsid w:val="26FB67A0"/>
    <w:rsid w:val="270D0281"/>
    <w:rsid w:val="27221F7E"/>
    <w:rsid w:val="274517C9"/>
    <w:rsid w:val="274A6DDF"/>
    <w:rsid w:val="275807AF"/>
    <w:rsid w:val="2768712B"/>
    <w:rsid w:val="27871DE1"/>
    <w:rsid w:val="2790513A"/>
    <w:rsid w:val="27B90C4D"/>
    <w:rsid w:val="27CA2B44"/>
    <w:rsid w:val="28043B56"/>
    <w:rsid w:val="280B3CFB"/>
    <w:rsid w:val="280B656E"/>
    <w:rsid w:val="282633A8"/>
    <w:rsid w:val="28414686"/>
    <w:rsid w:val="285F4B0C"/>
    <w:rsid w:val="287265EE"/>
    <w:rsid w:val="28734E32"/>
    <w:rsid w:val="288051AE"/>
    <w:rsid w:val="288A7DDB"/>
    <w:rsid w:val="289C366A"/>
    <w:rsid w:val="28AF45D0"/>
    <w:rsid w:val="28B72697"/>
    <w:rsid w:val="28BB09C3"/>
    <w:rsid w:val="28CB1816"/>
    <w:rsid w:val="28D472A8"/>
    <w:rsid w:val="28DB23E5"/>
    <w:rsid w:val="28E13773"/>
    <w:rsid w:val="29226266"/>
    <w:rsid w:val="293D6BFB"/>
    <w:rsid w:val="294F2457"/>
    <w:rsid w:val="295B1778"/>
    <w:rsid w:val="29657F00"/>
    <w:rsid w:val="29665200"/>
    <w:rsid w:val="296672B1"/>
    <w:rsid w:val="297E7214"/>
    <w:rsid w:val="298365D8"/>
    <w:rsid w:val="29A273A6"/>
    <w:rsid w:val="29AF73CD"/>
    <w:rsid w:val="29D11A3A"/>
    <w:rsid w:val="29D357B2"/>
    <w:rsid w:val="29E67293"/>
    <w:rsid w:val="29FA0F90"/>
    <w:rsid w:val="2A046DA4"/>
    <w:rsid w:val="2A1F27A5"/>
    <w:rsid w:val="2A3E70CF"/>
    <w:rsid w:val="2A473AAA"/>
    <w:rsid w:val="2A5A558B"/>
    <w:rsid w:val="2A5E66E7"/>
    <w:rsid w:val="2A68414C"/>
    <w:rsid w:val="2A693A20"/>
    <w:rsid w:val="2A832D34"/>
    <w:rsid w:val="2A915A0E"/>
    <w:rsid w:val="2A9D36CA"/>
    <w:rsid w:val="2A9D3745"/>
    <w:rsid w:val="2AB23619"/>
    <w:rsid w:val="2AB2780B"/>
    <w:rsid w:val="2AB7478C"/>
    <w:rsid w:val="2ABE32E0"/>
    <w:rsid w:val="2ACD0453"/>
    <w:rsid w:val="2ACF41CB"/>
    <w:rsid w:val="2AEA0A59"/>
    <w:rsid w:val="2AFA4548"/>
    <w:rsid w:val="2B3E30FF"/>
    <w:rsid w:val="2B612949"/>
    <w:rsid w:val="2B7663F5"/>
    <w:rsid w:val="2B876854"/>
    <w:rsid w:val="2BB1633C"/>
    <w:rsid w:val="2BB313F7"/>
    <w:rsid w:val="2BBD2276"/>
    <w:rsid w:val="2BCF3D57"/>
    <w:rsid w:val="2BDD46C6"/>
    <w:rsid w:val="2BE5357A"/>
    <w:rsid w:val="2BE617CC"/>
    <w:rsid w:val="2C1125C1"/>
    <w:rsid w:val="2C210F6D"/>
    <w:rsid w:val="2C275941"/>
    <w:rsid w:val="2C4402A1"/>
    <w:rsid w:val="2C5F332D"/>
    <w:rsid w:val="2C7A3CC3"/>
    <w:rsid w:val="2C8763E0"/>
    <w:rsid w:val="2CA945A8"/>
    <w:rsid w:val="2CB73169"/>
    <w:rsid w:val="2CD258AD"/>
    <w:rsid w:val="2CD71115"/>
    <w:rsid w:val="2CE82102"/>
    <w:rsid w:val="2CEA709A"/>
    <w:rsid w:val="2D0A14EA"/>
    <w:rsid w:val="2D1660E1"/>
    <w:rsid w:val="2D1F486A"/>
    <w:rsid w:val="2D23435A"/>
    <w:rsid w:val="2D300825"/>
    <w:rsid w:val="2D4744ED"/>
    <w:rsid w:val="2D517119"/>
    <w:rsid w:val="2D5D3C4E"/>
    <w:rsid w:val="2D8E201B"/>
    <w:rsid w:val="2DA30746"/>
    <w:rsid w:val="2DB94CBF"/>
    <w:rsid w:val="2DC86CB0"/>
    <w:rsid w:val="2DE63220"/>
    <w:rsid w:val="2DEC6E42"/>
    <w:rsid w:val="2DF61A6F"/>
    <w:rsid w:val="2DFE0923"/>
    <w:rsid w:val="2E035D14"/>
    <w:rsid w:val="2E0A72C8"/>
    <w:rsid w:val="2E0E6A8A"/>
    <w:rsid w:val="2E1B7727"/>
    <w:rsid w:val="2E352597"/>
    <w:rsid w:val="2E4427DA"/>
    <w:rsid w:val="2E4647A4"/>
    <w:rsid w:val="2E50117F"/>
    <w:rsid w:val="2E786928"/>
    <w:rsid w:val="2E8A5B37"/>
    <w:rsid w:val="2E935510"/>
    <w:rsid w:val="2EE67D35"/>
    <w:rsid w:val="2EED4C20"/>
    <w:rsid w:val="2EFF2BA5"/>
    <w:rsid w:val="2F0506B8"/>
    <w:rsid w:val="2F0A3A24"/>
    <w:rsid w:val="2F0B779C"/>
    <w:rsid w:val="2F34284F"/>
    <w:rsid w:val="2F432A92"/>
    <w:rsid w:val="2F4A4EE0"/>
    <w:rsid w:val="2F536455"/>
    <w:rsid w:val="2F5729E1"/>
    <w:rsid w:val="2F735CB0"/>
    <w:rsid w:val="2F927A56"/>
    <w:rsid w:val="2F930C2B"/>
    <w:rsid w:val="2FA07EE4"/>
    <w:rsid w:val="2FA63021"/>
    <w:rsid w:val="2FBC1EE1"/>
    <w:rsid w:val="2FD04090"/>
    <w:rsid w:val="2FD31515"/>
    <w:rsid w:val="2FEA2971"/>
    <w:rsid w:val="2FF124EE"/>
    <w:rsid w:val="2FFE4C0B"/>
    <w:rsid w:val="30403541"/>
    <w:rsid w:val="30534F57"/>
    <w:rsid w:val="305F38FB"/>
    <w:rsid w:val="306233EC"/>
    <w:rsid w:val="30631D01"/>
    <w:rsid w:val="308360CB"/>
    <w:rsid w:val="308A649E"/>
    <w:rsid w:val="30977539"/>
    <w:rsid w:val="30980BBB"/>
    <w:rsid w:val="30C52318"/>
    <w:rsid w:val="30C776F3"/>
    <w:rsid w:val="30CB7EF2"/>
    <w:rsid w:val="30CE542D"/>
    <w:rsid w:val="30E402A4"/>
    <w:rsid w:val="30E43E01"/>
    <w:rsid w:val="30EB518F"/>
    <w:rsid w:val="30F32296"/>
    <w:rsid w:val="31175D92"/>
    <w:rsid w:val="311A0B44"/>
    <w:rsid w:val="312A17C7"/>
    <w:rsid w:val="312C15FD"/>
    <w:rsid w:val="31413001"/>
    <w:rsid w:val="3152520E"/>
    <w:rsid w:val="315A40C3"/>
    <w:rsid w:val="31A16195"/>
    <w:rsid w:val="31B637FA"/>
    <w:rsid w:val="31B82C24"/>
    <w:rsid w:val="31BB1005"/>
    <w:rsid w:val="31CA1248"/>
    <w:rsid w:val="31D200FD"/>
    <w:rsid w:val="31D40319"/>
    <w:rsid w:val="31F42769"/>
    <w:rsid w:val="32116E77"/>
    <w:rsid w:val="322A618B"/>
    <w:rsid w:val="323A4620"/>
    <w:rsid w:val="323F6B41"/>
    <w:rsid w:val="3240150B"/>
    <w:rsid w:val="32546D64"/>
    <w:rsid w:val="328C6723"/>
    <w:rsid w:val="32A47CEB"/>
    <w:rsid w:val="32B1065A"/>
    <w:rsid w:val="32EB3B6C"/>
    <w:rsid w:val="32F26CA9"/>
    <w:rsid w:val="33105381"/>
    <w:rsid w:val="33114C55"/>
    <w:rsid w:val="334D7931"/>
    <w:rsid w:val="335039CF"/>
    <w:rsid w:val="33727DEA"/>
    <w:rsid w:val="33760038"/>
    <w:rsid w:val="3390201E"/>
    <w:rsid w:val="33947D60"/>
    <w:rsid w:val="33AF6948"/>
    <w:rsid w:val="33BC1065"/>
    <w:rsid w:val="33C323F3"/>
    <w:rsid w:val="33C61EE3"/>
    <w:rsid w:val="33C65A3F"/>
    <w:rsid w:val="33CD760B"/>
    <w:rsid w:val="33D4015C"/>
    <w:rsid w:val="33DE547F"/>
    <w:rsid w:val="33F22CD8"/>
    <w:rsid w:val="34060532"/>
    <w:rsid w:val="34164C19"/>
    <w:rsid w:val="342015F4"/>
    <w:rsid w:val="34425A0E"/>
    <w:rsid w:val="344A1462"/>
    <w:rsid w:val="345E3ECA"/>
    <w:rsid w:val="348A2F11"/>
    <w:rsid w:val="34993154"/>
    <w:rsid w:val="349B511E"/>
    <w:rsid w:val="34A042EE"/>
    <w:rsid w:val="34C46423"/>
    <w:rsid w:val="35007112"/>
    <w:rsid w:val="351B1DBB"/>
    <w:rsid w:val="351F5D4F"/>
    <w:rsid w:val="35305866"/>
    <w:rsid w:val="353115DE"/>
    <w:rsid w:val="353C06AF"/>
    <w:rsid w:val="35651D20"/>
    <w:rsid w:val="3566572C"/>
    <w:rsid w:val="35702107"/>
    <w:rsid w:val="357B1FA8"/>
    <w:rsid w:val="358F4C83"/>
    <w:rsid w:val="35B446E9"/>
    <w:rsid w:val="35C81F43"/>
    <w:rsid w:val="35DF103A"/>
    <w:rsid w:val="35E02753"/>
    <w:rsid w:val="35FF348B"/>
    <w:rsid w:val="362178A5"/>
    <w:rsid w:val="36257395"/>
    <w:rsid w:val="3627310D"/>
    <w:rsid w:val="3636463B"/>
    <w:rsid w:val="363B44C3"/>
    <w:rsid w:val="364041CF"/>
    <w:rsid w:val="364A6DFC"/>
    <w:rsid w:val="364C2B74"/>
    <w:rsid w:val="364F7F6E"/>
    <w:rsid w:val="36592B9B"/>
    <w:rsid w:val="366652B8"/>
    <w:rsid w:val="367B0D63"/>
    <w:rsid w:val="36910587"/>
    <w:rsid w:val="36914A2B"/>
    <w:rsid w:val="369167D9"/>
    <w:rsid w:val="36A858D0"/>
    <w:rsid w:val="36A91D74"/>
    <w:rsid w:val="36AA789A"/>
    <w:rsid w:val="36AD2EE7"/>
    <w:rsid w:val="36E20DE2"/>
    <w:rsid w:val="36E7289C"/>
    <w:rsid w:val="37054AD1"/>
    <w:rsid w:val="3705678E"/>
    <w:rsid w:val="370F76FD"/>
    <w:rsid w:val="371511B8"/>
    <w:rsid w:val="37307DA0"/>
    <w:rsid w:val="373A29CC"/>
    <w:rsid w:val="37425D25"/>
    <w:rsid w:val="374260F0"/>
    <w:rsid w:val="37461371"/>
    <w:rsid w:val="376302F8"/>
    <w:rsid w:val="376D2DA2"/>
    <w:rsid w:val="37754C22"/>
    <w:rsid w:val="378123A9"/>
    <w:rsid w:val="378679C0"/>
    <w:rsid w:val="3787198A"/>
    <w:rsid w:val="378E2D18"/>
    <w:rsid w:val="37987968"/>
    <w:rsid w:val="37991DE9"/>
    <w:rsid w:val="37A2797E"/>
    <w:rsid w:val="37A46C12"/>
    <w:rsid w:val="37AE5168"/>
    <w:rsid w:val="37BA3B0D"/>
    <w:rsid w:val="37C130EE"/>
    <w:rsid w:val="37C52BDE"/>
    <w:rsid w:val="37C93D50"/>
    <w:rsid w:val="37D2523E"/>
    <w:rsid w:val="37E1109A"/>
    <w:rsid w:val="37E56DDC"/>
    <w:rsid w:val="3809239F"/>
    <w:rsid w:val="380D00E1"/>
    <w:rsid w:val="381274A5"/>
    <w:rsid w:val="38301749"/>
    <w:rsid w:val="38303DCF"/>
    <w:rsid w:val="38393E83"/>
    <w:rsid w:val="383E64EC"/>
    <w:rsid w:val="386A108F"/>
    <w:rsid w:val="38983E4E"/>
    <w:rsid w:val="38AD71CE"/>
    <w:rsid w:val="38B60778"/>
    <w:rsid w:val="38C06F01"/>
    <w:rsid w:val="38C67BD5"/>
    <w:rsid w:val="38D46734"/>
    <w:rsid w:val="39126EC4"/>
    <w:rsid w:val="39241B86"/>
    <w:rsid w:val="39382F3B"/>
    <w:rsid w:val="3949339B"/>
    <w:rsid w:val="3958538C"/>
    <w:rsid w:val="39616936"/>
    <w:rsid w:val="39763A64"/>
    <w:rsid w:val="39797168"/>
    <w:rsid w:val="39810D86"/>
    <w:rsid w:val="39C40C73"/>
    <w:rsid w:val="39CE641A"/>
    <w:rsid w:val="39D210D0"/>
    <w:rsid w:val="39D72754"/>
    <w:rsid w:val="39EA2D8B"/>
    <w:rsid w:val="39EC3D26"/>
    <w:rsid w:val="3A064DE8"/>
    <w:rsid w:val="3A0D6176"/>
    <w:rsid w:val="3A125E82"/>
    <w:rsid w:val="3A2B2AA0"/>
    <w:rsid w:val="3A2F07E2"/>
    <w:rsid w:val="3A305520"/>
    <w:rsid w:val="3A6A35C8"/>
    <w:rsid w:val="3A761B04"/>
    <w:rsid w:val="3A8328DC"/>
    <w:rsid w:val="3A836438"/>
    <w:rsid w:val="3A946897"/>
    <w:rsid w:val="3AAF722D"/>
    <w:rsid w:val="3AC802EF"/>
    <w:rsid w:val="3AE3337B"/>
    <w:rsid w:val="3AEF1D0C"/>
    <w:rsid w:val="3B0F5F1E"/>
    <w:rsid w:val="3B133C60"/>
    <w:rsid w:val="3B1479D8"/>
    <w:rsid w:val="3B194FEF"/>
    <w:rsid w:val="3B31058A"/>
    <w:rsid w:val="3B567FF1"/>
    <w:rsid w:val="3B820DE6"/>
    <w:rsid w:val="3B844B5E"/>
    <w:rsid w:val="3B9603ED"/>
    <w:rsid w:val="3BAB20EB"/>
    <w:rsid w:val="3BDF3B42"/>
    <w:rsid w:val="3BE15B0C"/>
    <w:rsid w:val="3BF375EE"/>
    <w:rsid w:val="3C371BD0"/>
    <w:rsid w:val="3C552056"/>
    <w:rsid w:val="3C616C4D"/>
    <w:rsid w:val="3C8C0310"/>
    <w:rsid w:val="3C921909"/>
    <w:rsid w:val="3C9E1C4F"/>
    <w:rsid w:val="3CA52FDE"/>
    <w:rsid w:val="3CAF1767"/>
    <w:rsid w:val="3CB7686D"/>
    <w:rsid w:val="3CC01BC6"/>
    <w:rsid w:val="3CC03974"/>
    <w:rsid w:val="3CED6733"/>
    <w:rsid w:val="3CF11D7F"/>
    <w:rsid w:val="3CFB2BFE"/>
    <w:rsid w:val="3D09356D"/>
    <w:rsid w:val="3D0E080C"/>
    <w:rsid w:val="3D197528"/>
    <w:rsid w:val="3D2959BD"/>
    <w:rsid w:val="3D4E5423"/>
    <w:rsid w:val="3D6F7148"/>
    <w:rsid w:val="3D8250CD"/>
    <w:rsid w:val="3D8B21D4"/>
    <w:rsid w:val="3D931088"/>
    <w:rsid w:val="3DA768E2"/>
    <w:rsid w:val="3DA96E02"/>
    <w:rsid w:val="3DBFFBF0"/>
    <w:rsid w:val="3DC454EF"/>
    <w:rsid w:val="3DCB6A74"/>
    <w:rsid w:val="3DCE3E6E"/>
    <w:rsid w:val="3DE511B8"/>
    <w:rsid w:val="3DE6740A"/>
    <w:rsid w:val="3DF2454E"/>
    <w:rsid w:val="3E0F771B"/>
    <w:rsid w:val="3E140565"/>
    <w:rsid w:val="3E203BE4"/>
    <w:rsid w:val="3E377C66"/>
    <w:rsid w:val="3E5E3444"/>
    <w:rsid w:val="3E7C00E1"/>
    <w:rsid w:val="3E824A11"/>
    <w:rsid w:val="3E854E75"/>
    <w:rsid w:val="3E9277BD"/>
    <w:rsid w:val="3EA352FB"/>
    <w:rsid w:val="3ED05677"/>
    <w:rsid w:val="3EF63F99"/>
    <w:rsid w:val="3F0C10F2"/>
    <w:rsid w:val="3F163D1F"/>
    <w:rsid w:val="3F171845"/>
    <w:rsid w:val="3F375A43"/>
    <w:rsid w:val="3F577E93"/>
    <w:rsid w:val="3F634A8A"/>
    <w:rsid w:val="3F6727CC"/>
    <w:rsid w:val="3F6E3B5B"/>
    <w:rsid w:val="3F79605C"/>
    <w:rsid w:val="3F7B211F"/>
    <w:rsid w:val="3F7D436F"/>
    <w:rsid w:val="3F917849"/>
    <w:rsid w:val="3FA05CDE"/>
    <w:rsid w:val="3FA23805"/>
    <w:rsid w:val="3FA7706D"/>
    <w:rsid w:val="3FB5178A"/>
    <w:rsid w:val="3FC65745"/>
    <w:rsid w:val="402E5885"/>
    <w:rsid w:val="404843AC"/>
    <w:rsid w:val="40AD06B3"/>
    <w:rsid w:val="40CD2B03"/>
    <w:rsid w:val="40E36EF3"/>
    <w:rsid w:val="40E901A0"/>
    <w:rsid w:val="410022C0"/>
    <w:rsid w:val="411B561D"/>
    <w:rsid w:val="411C75E7"/>
    <w:rsid w:val="412C5A7C"/>
    <w:rsid w:val="41494DE3"/>
    <w:rsid w:val="414A76CF"/>
    <w:rsid w:val="414C66FF"/>
    <w:rsid w:val="41652D3C"/>
    <w:rsid w:val="41682EF1"/>
    <w:rsid w:val="41685B7A"/>
    <w:rsid w:val="41792343"/>
    <w:rsid w:val="41CC2DBB"/>
    <w:rsid w:val="41D90C14"/>
    <w:rsid w:val="41EA4FEF"/>
    <w:rsid w:val="41F45E6E"/>
    <w:rsid w:val="420E40CE"/>
    <w:rsid w:val="42106E96"/>
    <w:rsid w:val="422624CB"/>
    <w:rsid w:val="4230334A"/>
    <w:rsid w:val="423D7815"/>
    <w:rsid w:val="423F17DF"/>
    <w:rsid w:val="42462B6D"/>
    <w:rsid w:val="42562684"/>
    <w:rsid w:val="42703746"/>
    <w:rsid w:val="42AF11ED"/>
    <w:rsid w:val="42B25F39"/>
    <w:rsid w:val="42BC2E2F"/>
    <w:rsid w:val="42D24401"/>
    <w:rsid w:val="42EA799C"/>
    <w:rsid w:val="42FE0D52"/>
    <w:rsid w:val="43252782"/>
    <w:rsid w:val="4328518F"/>
    <w:rsid w:val="4334739A"/>
    <w:rsid w:val="4340600B"/>
    <w:rsid w:val="4355293C"/>
    <w:rsid w:val="4356724C"/>
    <w:rsid w:val="43572B58"/>
    <w:rsid w:val="436D5ED7"/>
    <w:rsid w:val="43720088"/>
    <w:rsid w:val="43743CE6"/>
    <w:rsid w:val="43911BC6"/>
    <w:rsid w:val="439671DC"/>
    <w:rsid w:val="439711A6"/>
    <w:rsid w:val="43A044FF"/>
    <w:rsid w:val="43F108B7"/>
    <w:rsid w:val="44056110"/>
    <w:rsid w:val="44093E52"/>
    <w:rsid w:val="44352E99"/>
    <w:rsid w:val="444200F5"/>
    <w:rsid w:val="444529B0"/>
    <w:rsid w:val="445A46AE"/>
    <w:rsid w:val="446472DA"/>
    <w:rsid w:val="4466124E"/>
    <w:rsid w:val="446C618F"/>
    <w:rsid w:val="447119F7"/>
    <w:rsid w:val="4475773A"/>
    <w:rsid w:val="44B10046"/>
    <w:rsid w:val="44C77869"/>
    <w:rsid w:val="44EF6789"/>
    <w:rsid w:val="45054FDF"/>
    <w:rsid w:val="451C7BB5"/>
    <w:rsid w:val="451E1B7F"/>
    <w:rsid w:val="451F1453"/>
    <w:rsid w:val="452D3B70"/>
    <w:rsid w:val="452E1696"/>
    <w:rsid w:val="453E7B2C"/>
    <w:rsid w:val="45440EBA"/>
    <w:rsid w:val="45444586"/>
    <w:rsid w:val="45614516"/>
    <w:rsid w:val="456A6B72"/>
    <w:rsid w:val="457C5F26"/>
    <w:rsid w:val="45800144"/>
    <w:rsid w:val="458C3E37"/>
    <w:rsid w:val="45A7777B"/>
    <w:rsid w:val="45AF27D7"/>
    <w:rsid w:val="45B33B9B"/>
    <w:rsid w:val="45C02C36"/>
    <w:rsid w:val="45C6267D"/>
    <w:rsid w:val="45ED3300"/>
    <w:rsid w:val="45ED50AE"/>
    <w:rsid w:val="45F40516"/>
    <w:rsid w:val="460102A4"/>
    <w:rsid w:val="460348D1"/>
    <w:rsid w:val="461049EC"/>
    <w:rsid w:val="4614088C"/>
    <w:rsid w:val="461C6EB7"/>
    <w:rsid w:val="464216D6"/>
    <w:rsid w:val="46504C6F"/>
    <w:rsid w:val="4651388E"/>
    <w:rsid w:val="4654527A"/>
    <w:rsid w:val="466730B2"/>
    <w:rsid w:val="4682613E"/>
    <w:rsid w:val="469F45FA"/>
    <w:rsid w:val="46A95479"/>
    <w:rsid w:val="46AC31BB"/>
    <w:rsid w:val="46AC4F69"/>
    <w:rsid w:val="46C73B51"/>
    <w:rsid w:val="46C92DA7"/>
    <w:rsid w:val="46D958AA"/>
    <w:rsid w:val="46DC75FC"/>
    <w:rsid w:val="46E2098A"/>
    <w:rsid w:val="470D5A07"/>
    <w:rsid w:val="470E79D1"/>
    <w:rsid w:val="471E7C15"/>
    <w:rsid w:val="472D42FC"/>
    <w:rsid w:val="472E597E"/>
    <w:rsid w:val="47310DEC"/>
    <w:rsid w:val="47332F94"/>
    <w:rsid w:val="47372465"/>
    <w:rsid w:val="47376F28"/>
    <w:rsid w:val="473C62ED"/>
    <w:rsid w:val="47411B55"/>
    <w:rsid w:val="477F442B"/>
    <w:rsid w:val="478F28C0"/>
    <w:rsid w:val="47AA594C"/>
    <w:rsid w:val="47AB5220"/>
    <w:rsid w:val="47BE31A6"/>
    <w:rsid w:val="47DB78B4"/>
    <w:rsid w:val="480F3A01"/>
    <w:rsid w:val="481E3AAF"/>
    <w:rsid w:val="48207910"/>
    <w:rsid w:val="48253225"/>
    <w:rsid w:val="483B0352"/>
    <w:rsid w:val="483B08B4"/>
    <w:rsid w:val="484C255F"/>
    <w:rsid w:val="48592ECE"/>
    <w:rsid w:val="48711FC6"/>
    <w:rsid w:val="48724537"/>
    <w:rsid w:val="48895562"/>
    <w:rsid w:val="488B69F8"/>
    <w:rsid w:val="488F069E"/>
    <w:rsid w:val="489C351F"/>
    <w:rsid w:val="48BB76E5"/>
    <w:rsid w:val="48C90054"/>
    <w:rsid w:val="48D84455"/>
    <w:rsid w:val="48D87C06"/>
    <w:rsid w:val="48FA296C"/>
    <w:rsid w:val="48FF75D2"/>
    <w:rsid w:val="490270C2"/>
    <w:rsid w:val="49027548"/>
    <w:rsid w:val="49211C3E"/>
    <w:rsid w:val="4950590D"/>
    <w:rsid w:val="495105E0"/>
    <w:rsid w:val="495C67D2"/>
    <w:rsid w:val="49634005"/>
    <w:rsid w:val="496833C9"/>
    <w:rsid w:val="49886DB4"/>
    <w:rsid w:val="49970D05"/>
    <w:rsid w:val="49A91C65"/>
    <w:rsid w:val="49AD34D2"/>
    <w:rsid w:val="49DE368B"/>
    <w:rsid w:val="49EE703D"/>
    <w:rsid w:val="4A2D016F"/>
    <w:rsid w:val="4A2F038B"/>
    <w:rsid w:val="4A431F7F"/>
    <w:rsid w:val="4A6F4C2B"/>
    <w:rsid w:val="4A7D10F6"/>
    <w:rsid w:val="4A9C0758"/>
    <w:rsid w:val="4AA26FEC"/>
    <w:rsid w:val="4AA34422"/>
    <w:rsid w:val="4AB26488"/>
    <w:rsid w:val="4ABF170F"/>
    <w:rsid w:val="4AD827D0"/>
    <w:rsid w:val="4AEA53B9"/>
    <w:rsid w:val="4AEC627C"/>
    <w:rsid w:val="4AF84C20"/>
    <w:rsid w:val="4B157580"/>
    <w:rsid w:val="4B1C7C90"/>
    <w:rsid w:val="4B2257F9"/>
    <w:rsid w:val="4B2623E8"/>
    <w:rsid w:val="4B2E6D15"/>
    <w:rsid w:val="4B412124"/>
    <w:rsid w:val="4B50680B"/>
    <w:rsid w:val="4B5D2CD5"/>
    <w:rsid w:val="4B6D78CD"/>
    <w:rsid w:val="4B83098E"/>
    <w:rsid w:val="4B9761E7"/>
    <w:rsid w:val="4BD05255"/>
    <w:rsid w:val="4BDB2578"/>
    <w:rsid w:val="4BE60F1D"/>
    <w:rsid w:val="4BFE6267"/>
    <w:rsid w:val="4C1E06B7"/>
    <w:rsid w:val="4C2630C7"/>
    <w:rsid w:val="4C4579F1"/>
    <w:rsid w:val="4C515898"/>
    <w:rsid w:val="4C6E62A3"/>
    <w:rsid w:val="4CC56D84"/>
    <w:rsid w:val="4CEC4311"/>
    <w:rsid w:val="4CFB09F8"/>
    <w:rsid w:val="4D007DBC"/>
    <w:rsid w:val="4D07739D"/>
    <w:rsid w:val="4D0C6BFE"/>
    <w:rsid w:val="4D0E4287"/>
    <w:rsid w:val="4D5A127B"/>
    <w:rsid w:val="4D673998"/>
    <w:rsid w:val="4D77007F"/>
    <w:rsid w:val="4D8207D1"/>
    <w:rsid w:val="4D8C33FE"/>
    <w:rsid w:val="4D9D385D"/>
    <w:rsid w:val="4DA30E74"/>
    <w:rsid w:val="4DB43081"/>
    <w:rsid w:val="4DB52955"/>
    <w:rsid w:val="4DBA61BD"/>
    <w:rsid w:val="4DBB3CB6"/>
    <w:rsid w:val="4DEC481B"/>
    <w:rsid w:val="4E087FAC"/>
    <w:rsid w:val="4E127DA7"/>
    <w:rsid w:val="4E151645"/>
    <w:rsid w:val="4E165AE9"/>
    <w:rsid w:val="4E3E10AE"/>
    <w:rsid w:val="4E516261"/>
    <w:rsid w:val="4E5B79A0"/>
    <w:rsid w:val="4E7E368F"/>
    <w:rsid w:val="4E8862BB"/>
    <w:rsid w:val="4E946A0E"/>
    <w:rsid w:val="4E9702AC"/>
    <w:rsid w:val="4EC30EDE"/>
    <w:rsid w:val="4EC372F3"/>
    <w:rsid w:val="4ECC264C"/>
    <w:rsid w:val="4ED60DD5"/>
    <w:rsid w:val="4EF92D15"/>
    <w:rsid w:val="4EFF4E69"/>
    <w:rsid w:val="4F1B2C8C"/>
    <w:rsid w:val="4F244236"/>
    <w:rsid w:val="4F2558B8"/>
    <w:rsid w:val="4F544CA2"/>
    <w:rsid w:val="4F5A5BD2"/>
    <w:rsid w:val="4F5A7C58"/>
    <w:rsid w:val="4F9842DC"/>
    <w:rsid w:val="4F9B0FCB"/>
    <w:rsid w:val="4F9D18F3"/>
    <w:rsid w:val="4FB07878"/>
    <w:rsid w:val="4FB70C06"/>
    <w:rsid w:val="4FCB2904"/>
    <w:rsid w:val="4FCC3F86"/>
    <w:rsid w:val="4FD07F1A"/>
    <w:rsid w:val="4FD73056"/>
    <w:rsid w:val="4FE4386B"/>
    <w:rsid w:val="4FF43C08"/>
    <w:rsid w:val="4FF5172F"/>
    <w:rsid w:val="4FFA4F97"/>
    <w:rsid w:val="500C2E3A"/>
    <w:rsid w:val="502C7E07"/>
    <w:rsid w:val="50575F45"/>
    <w:rsid w:val="50586F25"/>
    <w:rsid w:val="50593A6B"/>
    <w:rsid w:val="506A1275"/>
    <w:rsid w:val="50B138A7"/>
    <w:rsid w:val="50B27620"/>
    <w:rsid w:val="50BB64D4"/>
    <w:rsid w:val="50BD1F39"/>
    <w:rsid w:val="50D50081"/>
    <w:rsid w:val="50F10148"/>
    <w:rsid w:val="50FC1EF9"/>
    <w:rsid w:val="510F6820"/>
    <w:rsid w:val="511107EA"/>
    <w:rsid w:val="511F2F07"/>
    <w:rsid w:val="513B13C3"/>
    <w:rsid w:val="513F5357"/>
    <w:rsid w:val="51404C2B"/>
    <w:rsid w:val="5167040A"/>
    <w:rsid w:val="516C3C72"/>
    <w:rsid w:val="516D233C"/>
    <w:rsid w:val="517D5E7F"/>
    <w:rsid w:val="519805C3"/>
    <w:rsid w:val="51B03B5F"/>
    <w:rsid w:val="51C63383"/>
    <w:rsid w:val="51E30784"/>
    <w:rsid w:val="51EB103B"/>
    <w:rsid w:val="51FD0C55"/>
    <w:rsid w:val="52102850"/>
    <w:rsid w:val="5224454D"/>
    <w:rsid w:val="525B1B56"/>
    <w:rsid w:val="526B3F2A"/>
    <w:rsid w:val="52701540"/>
    <w:rsid w:val="52843CD5"/>
    <w:rsid w:val="52854FEC"/>
    <w:rsid w:val="528D20F2"/>
    <w:rsid w:val="529214B7"/>
    <w:rsid w:val="52A35472"/>
    <w:rsid w:val="52B256B5"/>
    <w:rsid w:val="52B70F1D"/>
    <w:rsid w:val="52CA50F4"/>
    <w:rsid w:val="52D852D5"/>
    <w:rsid w:val="52DE46FC"/>
    <w:rsid w:val="530879CB"/>
    <w:rsid w:val="530F0D59"/>
    <w:rsid w:val="535350EA"/>
    <w:rsid w:val="537E1A3B"/>
    <w:rsid w:val="537F5EDF"/>
    <w:rsid w:val="5394125E"/>
    <w:rsid w:val="53987EBC"/>
    <w:rsid w:val="53A019B1"/>
    <w:rsid w:val="53A40EB9"/>
    <w:rsid w:val="53C63C53"/>
    <w:rsid w:val="53D0673A"/>
    <w:rsid w:val="53F561A1"/>
    <w:rsid w:val="53F66196"/>
    <w:rsid w:val="53F71F19"/>
    <w:rsid w:val="53FC471D"/>
    <w:rsid w:val="54324CFF"/>
    <w:rsid w:val="544F3B03"/>
    <w:rsid w:val="54547704"/>
    <w:rsid w:val="545A24A8"/>
    <w:rsid w:val="549332C4"/>
    <w:rsid w:val="54A13C33"/>
    <w:rsid w:val="54A43723"/>
    <w:rsid w:val="54A6749B"/>
    <w:rsid w:val="54B03E76"/>
    <w:rsid w:val="54B27BEE"/>
    <w:rsid w:val="54DD5EE3"/>
    <w:rsid w:val="54EA7388"/>
    <w:rsid w:val="54F40207"/>
    <w:rsid w:val="54FE1085"/>
    <w:rsid w:val="55052414"/>
    <w:rsid w:val="55256612"/>
    <w:rsid w:val="553C395C"/>
    <w:rsid w:val="55456CB4"/>
    <w:rsid w:val="554F7B33"/>
    <w:rsid w:val="55524F2D"/>
    <w:rsid w:val="557B0928"/>
    <w:rsid w:val="55821CB6"/>
    <w:rsid w:val="55A82D9F"/>
    <w:rsid w:val="55CB540B"/>
    <w:rsid w:val="55CF47D0"/>
    <w:rsid w:val="55D6790C"/>
    <w:rsid w:val="55D7082B"/>
    <w:rsid w:val="55E069DD"/>
    <w:rsid w:val="55F81F79"/>
    <w:rsid w:val="56075D18"/>
    <w:rsid w:val="560A5808"/>
    <w:rsid w:val="56141C33"/>
    <w:rsid w:val="562763BA"/>
    <w:rsid w:val="56336B0D"/>
    <w:rsid w:val="563C1E65"/>
    <w:rsid w:val="564009F8"/>
    <w:rsid w:val="565A678F"/>
    <w:rsid w:val="56772E9D"/>
    <w:rsid w:val="56B62522"/>
    <w:rsid w:val="56F3629C"/>
    <w:rsid w:val="56FA587C"/>
    <w:rsid w:val="57032983"/>
    <w:rsid w:val="570B5583"/>
    <w:rsid w:val="57286DB3"/>
    <w:rsid w:val="57392849"/>
    <w:rsid w:val="573B036F"/>
    <w:rsid w:val="57462870"/>
    <w:rsid w:val="574865E8"/>
    <w:rsid w:val="575B456D"/>
    <w:rsid w:val="575E405D"/>
    <w:rsid w:val="577B4C0F"/>
    <w:rsid w:val="577E025B"/>
    <w:rsid w:val="57A37CC2"/>
    <w:rsid w:val="57C53579"/>
    <w:rsid w:val="57E02CC4"/>
    <w:rsid w:val="57E9601D"/>
    <w:rsid w:val="57FD5624"/>
    <w:rsid w:val="580746F5"/>
    <w:rsid w:val="580B1D35"/>
    <w:rsid w:val="58150BC0"/>
    <w:rsid w:val="58220F38"/>
    <w:rsid w:val="58237473"/>
    <w:rsid w:val="5829466B"/>
    <w:rsid w:val="582D2ECA"/>
    <w:rsid w:val="585316E8"/>
    <w:rsid w:val="588B0E82"/>
    <w:rsid w:val="588E44CE"/>
    <w:rsid w:val="589E62EB"/>
    <w:rsid w:val="58A61818"/>
    <w:rsid w:val="58B5571B"/>
    <w:rsid w:val="58C148A4"/>
    <w:rsid w:val="58D06FBA"/>
    <w:rsid w:val="58DD0763"/>
    <w:rsid w:val="590A0F1B"/>
    <w:rsid w:val="59215342"/>
    <w:rsid w:val="59246BE1"/>
    <w:rsid w:val="5936284C"/>
    <w:rsid w:val="59376DAF"/>
    <w:rsid w:val="593A4CA4"/>
    <w:rsid w:val="596B480F"/>
    <w:rsid w:val="59875AED"/>
    <w:rsid w:val="598D4786"/>
    <w:rsid w:val="59B2243E"/>
    <w:rsid w:val="59B63CDD"/>
    <w:rsid w:val="59BB7545"/>
    <w:rsid w:val="59D620C4"/>
    <w:rsid w:val="59E22D24"/>
    <w:rsid w:val="59EF3692"/>
    <w:rsid w:val="5A2309DB"/>
    <w:rsid w:val="5A5359CF"/>
    <w:rsid w:val="5A5B4884"/>
    <w:rsid w:val="5A5F4374"/>
    <w:rsid w:val="5A663955"/>
    <w:rsid w:val="5A76346C"/>
    <w:rsid w:val="5A7C139D"/>
    <w:rsid w:val="5A7C4F26"/>
    <w:rsid w:val="5A8913F1"/>
    <w:rsid w:val="5AD05272"/>
    <w:rsid w:val="5AE623A0"/>
    <w:rsid w:val="5AE72A9B"/>
    <w:rsid w:val="5AF80C77"/>
    <w:rsid w:val="5B092532"/>
    <w:rsid w:val="5B0A0784"/>
    <w:rsid w:val="5B0D5B7E"/>
    <w:rsid w:val="5B2D7FCE"/>
    <w:rsid w:val="5B3651C4"/>
    <w:rsid w:val="5B800A46"/>
    <w:rsid w:val="5B90055D"/>
    <w:rsid w:val="5B94004E"/>
    <w:rsid w:val="5BC12002"/>
    <w:rsid w:val="5BD963A8"/>
    <w:rsid w:val="5BEF1728"/>
    <w:rsid w:val="5BFD3E45"/>
    <w:rsid w:val="5C164F06"/>
    <w:rsid w:val="5C1E636D"/>
    <w:rsid w:val="5C237623"/>
    <w:rsid w:val="5C3B496D"/>
    <w:rsid w:val="5C3E7FB9"/>
    <w:rsid w:val="5C49779D"/>
    <w:rsid w:val="5C4A2E02"/>
    <w:rsid w:val="5C4C26D6"/>
    <w:rsid w:val="5C533A65"/>
    <w:rsid w:val="5C6A0DAE"/>
    <w:rsid w:val="5C902F0B"/>
    <w:rsid w:val="5C950521"/>
    <w:rsid w:val="5CA61CC5"/>
    <w:rsid w:val="5CA72002"/>
    <w:rsid w:val="5CCB5CF1"/>
    <w:rsid w:val="5CD47089"/>
    <w:rsid w:val="5CEE60FC"/>
    <w:rsid w:val="5CF214D0"/>
    <w:rsid w:val="5CF35248"/>
    <w:rsid w:val="5CF50FC0"/>
    <w:rsid w:val="5D107BA8"/>
    <w:rsid w:val="5D1319DA"/>
    <w:rsid w:val="5D467A6D"/>
    <w:rsid w:val="5D8F31C2"/>
    <w:rsid w:val="5D947D71"/>
    <w:rsid w:val="5D99194B"/>
    <w:rsid w:val="5D9A50C1"/>
    <w:rsid w:val="5D9E3405"/>
    <w:rsid w:val="5DAF5613"/>
    <w:rsid w:val="5DCA244C"/>
    <w:rsid w:val="5DCA7D57"/>
    <w:rsid w:val="5DDD2180"/>
    <w:rsid w:val="5DEF3C61"/>
    <w:rsid w:val="5E0A2849"/>
    <w:rsid w:val="5E14191A"/>
    <w:rsid w:val="5E2C5A66"/>
    <w:rsid w:val="5E3972E5"/>
    <w:rsid w:val="5E3F6694"/>
    <w:rsid w:val="5E5341F0"/>
    <w:rsid w:val="5E563CE0"/>
    <w:rsid w:val="5E5D0BCB"/>
    <w:rsid w:val="5E6261E1"/>
    <w:rsid w:val="5E695530"/>
    <w:rsid w:val="5E774777"/>
    <w:rsid w:val="5E7A79CF"/>
    <w:rsid w:val="5E875C48"/>
    <w:rsid w:val="5E9C4600"/>
    <w:rsid w:val="5EAC6A18"/>
    <w:rsid w:val="5EF77271"/>
    <w:rsid w:val="5F0E45BB"/>
    <w:rsid w:val="5F142678"/>
    <w:rsid w:val="5F20356F"/>
    <w:rsid w:val="5F294F51"/>
    <w:rsid w:val="5F342CE9"/>
    <w:rsid w:val="5F3833E6"/>
    <w:rsid w:val="5F610B8F"/>
    <w:rsid w:val="5F6661A5"/>
    <w:rsid w:val="5F7D704B"/>
    <w:rsid w:val="5F812FDF"/>
    <w:rsid w:val="5F816B3B"/>
    <w:rsid w:val="5F87745E"/>
    <w:rsid w:val="5F990328"/>
    <w:rsid w:val="5FAB3BB8"/>
    <w:rsid w:val="5FBF1411"/>
    <w:rsid w:val="5FCF78A6"/>
    <w:rsid w:val="5FFA1A80"/>
    <w:rsid w:val="60193217"/>
    <w:rsid w:val="60575AEE"/>
    <w:rsid w:val="60634492"/>
    <w:rsid w:val="60714E01"/>
    <w:rsid w:val="608D150F"/>
    <w:rsid w:val="608E59B3"/>
    <w:rsid w:val="60932FCA"/>
    <w:rsid w:val="60D86C2E"/>
    <w:rsid w:val="60E16DC7"/>
    <w:rsid w:val="60E303C2"/>
    <w:rsid w:val="60E750C3"/>
    <w:rsid w:val="60F875EA"/>
    <w:rsid w:val="61167757"/>
    <w:rsid w:val="612B4FB0"/>
    <w:rsid w:val="61355E2F"/>
    <w:rsid w:val="6151078F"/>
    <w:rsid w:val="61557096"/>
    <w:rsid w:val="61700C15"/>
    <w:rsid w:val="61750921"/>
    <w:rsid w:val="617F354E"/>
    <w:rsid w:val="6185437C"/>
    <w:rsid w:val="61860438"/>
    <w:rsid w:val="619A1751"/>
    <w:rsid w:val="619F720E"/>
    <w:rsid w:val="61B52ACC"/>
    <w:rsid w:val="61D45A07"/>
    <w:rsid w:val="61E729D2"/>
    <w:rsid w:val="61EA6C19"/>
    <w:rsid w:val="61F421C0"/>
    <w:rsid w:val="61FD726F"/>
    <w:rsid w:val="622171F9"/>
    <w:rsid w:val="62317338"/>
    <w:rsid w:val="62407B32"/>
    <w:rsid w:val="627209BD"/>
    <w:rsid w:val="627925D2"/>
    <w:rsid w:val="62A74B0A"/>
    <w:rsid w:val="62A768B8"/>
    <w:rsid w:val="62C46226"/>
    <w:rsid w:val="62C523FB"/>
    <w:rsid w:val="62CB52E1"/>
    <w:rsid w:val="62D11B87"/>
    <w:rsid w:val="62F13FD7"/>
    <w:rsid w:val="62F37D50"/>
    <w:rsid w:val="6300421A"/>
    <w:rsid w:val="63103592"/>
    <w:rsid w:val="63350368"/>
    <w:rsid w:val="633778C5"/>
    <w:rsid w:val="636B1FDC"/>
    <w:rsid w:val="63846BFA"/>
    <w:rsid w:val="638B442C"/>
    <w:rsid w:val="638E7A78"/>
    <w:rsid w:val="639860B9"/>
    <w:rsid w:val="639D7CBB"/>
    <w:rsid w:val="63BA086D"/>
    <w:rsid w:val="63C9253A"/>
    <w:rsid w:val="63D00091"/>
    <w:rsid w:val="63F41FD1"/>
    <w:rsid w:val="63F773CC"/>
    <w:rsid w:val="641E3E83"/>
    <w:rsid w:val="642B52C7"/>
    <w:rsid w:val="64713A6A"/>
    <w:rsid w:val="647B624F"/>
    <w:rsid w:val="648F14D8"/>
    <w:rsid w:val="64947310"/>
    <w:rsid w:val="64A241DD"/>
    <w:rsid w:val="64BF74AD"/>
    <w:rsid w:val="64CC0858"/>
    <w:rsid w:val="64D12312"/>
    <w:rsid w:val="64D94D23"/>
    <w:rsid w:val="64DC4BF4"/>
    <w:rsid w:val="64EC4A56"/>
    <w:rsid w:val="64F41B5D"/>
    <w:rsid w:val="64F8164D"/>
    <w:rsid w:val="651B533C"/>
    <w:rsid w:val="652C579B"/>
    <w:rsid w:val="653E3F84"/>
    <w:rsid w:val="655B1BDC"/>
    <w:rsid w:val="658E1FB1"/>
    <w:rsid w:val="65AB796D"/>
    <w:rsid w:val="65C42D57"/>
    <w:rsid w:val="65E87914"/>
    <w:rsid w:val="65F242EE"/>
    <w:rsid w:val="660404C6"/>
    <w:rsid w:val="6606102C"/>
    <w:rsid w:val="661A55F3"/>
    <w:rsid w:val="66206A18"/>
    <w:rsid w:val="662E7EAC"/>
    <w:rsid w:val="663012BB"/>
    <w:rsid w:val="66342B59"/>
    <w:rsid w:val="66354F05"/>
    <w:rsid w:val="66501015"/>
    <w:rsid w:val="66540B05"/>
    <w:rsid w:val="666F1DE3"/>
    <w:rsid w:val="667967BE"/>
    <w:rsid w:val="667C005C"/>
    <w:rsid w:val="66A7157D"/>
    <w:rsid w:val="66AF2C9C"/>
    <w:rsid w:val="66D06D96"/>
    <w:rsid w:val="66D122FD"/>
    <w:rsid w:val="66F45E44"/>
    <w:rsid w:val="66FC791B"/>
    <w:rsid w:val="670A1B0C"/>
    <w:rsid w:val="67242BCD"/>
    <w:rsid w:val="672C3830"/>
    <w:rsid w:val="6732696D"/>
    <w:rsid w:val="673426E5"/>
    <w:rsid w:val="6746681E"/>
    <w:rsid w:val="674E19F8"/>
    <w:rsid w:val="679A2E90"/>
    <w:rsid w:val="67A55390"/>
    <w:rsid w:val="67A91325"/>
    <w:rsid w:val="67AB6E4B"/>
    <w:rsid w:val="67B215EE"/>
    <w:rsid w:val="67C47F0C"/>
    <w:rsid w:val="67C73559"/>
    <w:rsid w:val="67CA4DF7"/>
    <w:rsid w:val="67CB102B"/>
    <w:rsid w:val="67DD2D7C"/>
    <w:rsid w:val="67E20393"/>
    <w:rsid w:val="67EB5499"/>
    <w:rsid w:val="67F34959"/>
    <w:rsid w:val="67F87BB6"/>
    <w:rsid w:val="68294213"/>
    <w:rsid w:val="682965BB"/>
    <w:rsid w:val="683A4A13"/>
    <w:rsid w:val="683C3F47"/>
    <w:rsid w:val="683F7593"/>
    <w:rsid w:val="684352D5"/>
    <w:rsid w:val="68662D72"/>
    <w:rsid w:val="687436E1"/>
    <w:rsid w:val="688F22C8"/>
    <w:rsid w:val="689E3B8A"/>
    <w:rsid w:val="68B7537B"/>
    <w:rsid w:val="68B93CF2"/>
    <w:rsid w:val="68DC4DE2"/>
    <w:rsid w:val="68F44821"/>
    <w:rsid w:val="691C78D4"/>
    <w:rsid w:val="692E40F3"/>
    <w:rsid w:val="69362744"/>
    <w:rsid w:val="69567CE1"/>
    <w:rsid w:val="69603C65"/>
    <w:rsid w:val="69623EDE"/>
    <w:rsid w:val="696C085C"/>
    <w:rsid w:val="698D37AE"/>
    <w:rsid w:val="699B4C9D"/>
    <w:rsid w:val="69A1722F"/>
    <w:rsid w:val="69A62BA0"/>
    <w:rsid w:val="69B61AD7"/>
    <w:rsid w:val="69DB153D"/>
    <w:rsid w:val="69F262CB"/>
    <w:rsid w:val="69F85C4B"/>
    <w:rsid w:val="6A253A30"/>
    <w:rsid w:val="6A334ED5"/>
    <w:rsid w:val="6A3749C6"/>
    <w:rsid w:val="6A4964A7"/>
    <w:rsid w:val="6A682DD1"/>
    <w:rsid w:val="6A7D3FB6"/>
    <w:rsid w:val="6AA95198"/>
    <w:rsid w:val="6AB778B5"/>
    <w:rsid w:val="6ABC311D"/>
    <w:rsid w:val="6ADF0BB9"/>
    <w:rsid w:val="6AF705F9"/>
    <w:rsid w:val="6B064398"/>
    <w:rsid w:val="6B133AE7"/>
    <w:rsid w:val="6B170353"/>
    <w:rsid w:val="6B1D5E72"/>
    <w:rsid w:val="6B3E28C1"/>
    <w:rsid w:val="6B476E8A"/>
    <w:rsid w:val="6B4B046E"/>
    <w:rsid w:val="6B52582F"/>
    <w:rsid w:val="6B5259F4"/>
    <w:rsid w:val="6B7316A4"/>
    <w:rsid w:val="6B7B2FD8"/>
    <w:rsid w:val="6B7E4C5D"/>
    <w:rsid w:val="6BA047ED"/>
    <w:rsid w:val="6BBB1626"/>
    <w:rsid w:val="6BBC47BD"/>
    <w:rsid w:val="6BCFCE22"/>
    <w:rsid w:val="6BEC17E0"/>
    <w:rsid w:val="6C283F43"/>
    <w:rsid w:val="6C335661"/>
    <w:rsid w:val="6C4433CA"/>
    <w:rsid w:val="6C586513"/>
    <w:rsid w:val="6C7B05E2"/>
    <w:rsid w:val="6C8359F4"/>
    <w:rsid w:val="6CB0280D"/>
    <w:rsid w:val="6CBE13CE"/>
    <w:rsid w:val="6CC91B21"/>
    <w:rsid w:val="6CE150BD"/>
    <w:rsid w:val="6CF272CA"/>
    <w:rsid w:val="6D0B14CF"/>
    <w:rsid w:val="6D162FB8"/>
    <w:rsid w:val="6D4318D3"/>
    <w:rsid w:val="6D434595"/>
    <w:rsid w:val="6D4573FA"/>
    <w:rsid w:val="6D7970A3"/>
    <w:rsid w:val="6D7C6B93"/>
    <w:rsid w:val="6D8C327A"/>
    <w:rsid w:val="6D946ECB"/>
    <w:rsid w:val="6D9F3FE9"/>
    <w:rsid w:val="6DA700B4"/>
    <w:rsid w:val="6DB4076A"/>
    <w:rsid w:val="6DB77BCC"/>
    <w:rsid w:val="6DC9057F"/>
    <w:rsid w:val="6DC95F17"/>
    <w:rsid w:val="6DD8026E"/>
    <w:rsid w:val="6DFB148C"/>
    <w:rsid w:val="6E0F17B6"/>
    <w:rsid w:val="6E153270"/>
    <w:rsid w:val="6E190503"/>
    <w:rsid w:val="6E261E32"/>
    <w:rsid w:val="6E301E58"/>
    <w:rsid w:val="6E4B4EE4"/>
    <w:rsid w:val="6E6848B4"/>
    <w:rsid w:val="6E731D44"/>
    <w:rsid w:val="6E873A42"/>
    <w:rsid w:val="6E9D3265"/>
    <w:rsid w:val="6EC727D8"/>
    <w:rsid w:val="6ECE1671"/>
    <w:rsid w:val="6ED30A35"/>
    <w:rsid w:val="6ED722D3"/>
    <w:rsid w:val="6EE804F1"/>
    <w:rsid w:val="6EE80984"/>
    <w:rsid w:val="6F0D3F47"/>
    <w:rsid w:val="6F287F6F"/>
    <w:rsid w:val="6F2D283B"/>
    <w:rsid w:val="6F6A75EB"/>
    <w:rsid w:val="6F865AA7"/>
    <w:rsid w:val="6F8B1310"/>
    <w:rsid w:val="6F8F7052"/>
    <w:rsid w:val="6F96218E"/>
    <w:rsid w:val="6FB6638D"/>
    <w:rsid w:val="6FB865A9"/>
    <w:rsid w:val="6FC51CA8"/>
    <w:rsid w:val="6FE4739E"/>
    <w:rsid w:val="6FF670D1"/>
    <w:rsid w:val="6FFA819D"/>
    <w:rsid w:val="701E3F32"/>
    <w:rsid w:val="703B0F88"/>
    <w:rsid w:val="70531E2E"/>
    <w:rsid w:val="70634617"/>
    <w:rsid w:val="70636969"/>
    <w:rsid w:val="706C7393"/>
    <w:rsid w:val="707840A8"/>
    <w:rsid w:val="708B0396"/>
    <w:rsid w:val="70A408DB"/>
    <w:rsid w:val="70A97C9F"/>
    <w:rsid w:val="70AC5B69"/>
    <w:rsid w:val="70AE6490"/>
    <w:rsid w:val="70C366B0"/>
    <w:rsid w:val="70D56CE6"/>
    <w:rsid w:val="70D80585"/>
    <w:rsid w:val="70E36668"/>
    <w:rsid w:val="70E5442F"/>
    <w:rsid w:val="70F058CE"/>
    <w:rsid w:val="70F213F3"/>
    <w:rsid w:val="71072C18"/>
    <w:rsid w:val="711D674E"/>
    <w:rsid w:val="712026E3"/>
    <w:rsid w:val="7128150C"/>
    <w:rsid w:val="71397275"/>
    <w:rsid w:val="714F4CEB"/>
    <w:rsid w:val="715B3690"/>
    <w:rsid w:val="716122BB"/>
    <w:rsid w:val="716B31A7"/>
    <w:rsid w:val="71A768D5"/>
    <w:rsid w:val="71C132A7"/>
    <w:rsid w:val="71DB657E"/>
    <w:rsid w:val="71EA67C2"/>
    <w:rsid w:val="71FD64F5"/>
    <w:rsid w:val="72071122"/>
    <w:rsid w:val="720A29C0"/>
    <w:rsid w:val="720B63C0"/>
    <w:rsid w:val="72213E66"/>
    <w:rsid w:val="722C2936"/>
    <w:rsid w:val="72330169"/>
    <w:rsid w:val="724A3704"/>
    <w:rsid w:val="724F65E2"/>
    <w:rsid w:val="7275647C"/>
    <w:rsid w:val="72834520"/>
    <w:rsid w:val="728C1B45"/>
    <w:rsid w:val="72BD3ED6"/>
    <w:rsid w:val="72BF0364"/>
    <w:rsid w:val="72D27981"/>
    <w:rsid w:val="72D80D10"/>
    <w:rsid w:val="72F0605A"/>
    <w:rsid w:val="72F6676F"/>
    <w:rsid w:val="72F86CBC"/>
    <w:rsid w:val="72FB055A"/>
    <w:rsid w:val="73263829"/>
    <w:rsid w:val="732C59B5"/>
    <w:rsid w:val="73334198"/>
    <w:rsid w:val="7346211D"/>
    <w:rsid w:val="73465C7A"/>
    <w:rsid w:val="736425A4"/>
    <w:rsid w:val="73934B26"/>
    <w:rsid w:val="73A34E7A"/>
    <w:rsid w:val="73AF288C"/>
    <w:rsid w:val="73D83EF4"/>
    <w:rsid w:val="73E02686"/>
    <w:rsid w:val="73EF00BF"/>
    <w:rsid w:val="74024296"/>
    <w:rsid w:val="74117B3F"/>
    <w:rsid w:val="74152E80"/>
    <w:rsid w:val="742064CB"/>
    <w:rsid w:val="742862C6"/>
    <w:rsid w:val="742C4E6F"/>
    <w:rsid w:val="7443040B"/>
    <w:rsid w:val="744F272C"/>
    <w:rsid w:val="74602D6B"/>
    <w:rsid w:val="746B1DAF"/>
    <w:rsid w:val="746E1B45"/>
    <w:rsid w:val="748A428C"/>
    <w:rsid w:val="748F1AFC"/>
    <w:rsid w:val="749D7B1B"/>
    <w:rsid w:val="74B15375"/>
    <w:rsid w:val="74C4779E"/>
    <w:rsid w:val="74DA2B1D"/>
    <w:rsid w:val="74DB00EA"/>
    <w:rsid w:val="74F6547D"/>
    <w:rsid w:val="750924D8"/>
    <w:rsid w:val="75181898"/>
    <w:rsid w:val="751A116C"/>
    <w:rsid w:val="751B4EE4"/>
    <w:rsid w:val="752A3F99"/>
    <w:rsid w:val="752B3379"/>
    <w:rsid w:val="753164B5"/>
    <w:rsid w:val="75363ACC"/>
    <w:rsid w:val="753A7A60"/>
    <w:rsid w:val="7544268D"/>
    <w:rsid w:val="75660855"/>
    <w:rsid w:val="759E1D9D"/>
    <w:rsid w:val="759F78C3"/>
    <w:rsid w:val="75BA46FD"/>
    <w:rsid w:val="75C8506C"/>
    <w:rsid w:val="75D82CCE"/>
    <w:rsid w:val="75E225A7"/>
    <w:rsid w:val="75F41852"/>
    <w:rsid w:val="7629262A"/>
    <w:rsid w:val="764C6175"/>
    <w:rsid w:val="765E32DA"/>
    <w:rsid w:val="767945B8"/>
    <w:rsid w:val="76805946"/>
    <w:rsid w:val="76830F93"/>
    <w:rsid w:val="768E0063"/>
    <w:rsid w:val="769110C7"/>
    <w:rsid w:val="769B62DC"/>
    <w:rsid w:val="76B86E8E"/>
    <w:rsid w:val="76BC122C"/>
    <w:rsid w:val="76D13703"/>
    <w:rsid w:val="76D417EE"/>
    <w:rsid w:val="76F61765"/>
    <w:rsid w:val="77012625"/>
    <w:rsid w:val="7704694D"/>
    <w:rsid w:val="771542E1"/>
    <w:rsid w:val="77183DD1"/>
    <w:rsid w:val="77194CE2"/>
    <w:rsid w:val="771A5453"/>
    <w:rsid w:val="771B741D"/>
    <w:rsid w:val="77364257"/>
    <w:rsid w:val="77366005"/>
    <w:rsid w:val="774E15A1"/>
    <w:rsid w:val="775C3661"/>
    <w:rsid w:val="77871237"/>
    <w:rsid w:val="77911727"/>
    <w:rsid w:val="77E55F64"/>
    <w:rsid w:val="77EA18BC"/>
    <w:rsid w:val="77EE068E"/>
    <w:rsid w:val="780600CD"/>
    <w:rsid w:val="780D4FB8"/>
    <w:rsid w:val="782D565A"/>
    <w:rsid w:val="783A53EF"/>
    <w:rsid w:val="7840713B"/>
    <w:rsid w:val="786A065C"/>
    <w:rsid w:val="78704DF0"/>
    <w:rsid w:val="78B35B5F"/>
    <w:rsid w:val="78C15F64"/>
    <w:rsid w:val="78D12489"/>
    <w:rsid w:val="78D322D8"/>
    <w:rsid w:val="78D87374"/>
    <w:rsid w:val="78EC0CB4"/>
    <w:rsid w:val="78F46178"/>
    <w:rsid w:val="78F817C4"/>
    <w:rsid w:val="78FD6DDA"/>
    <w:rsid w:val="79200D1B"/>
    <w:rsid w:val="792C3F7A"/>
    <w:rsid w:val="79415644"/>
    <w:rsid w:val="79442C5B"/>
    <w:rsid w:val="795C2A94"/>
    <w:rsid w:val="79764DDF"/>
    <w:rsid w:val="797C4DD7"/>
    <w:rsid w:val="798E2128"/>
    <w:rsid w:val="798E3ED6"/>
    <w:rsid w:val="799D05BD"/>
    <w:rsid w:val="799F4335"/>
    <w:rsid w:val="79C3347E"/>
    <w:rsid w:val="79CD2C51"/>
    <w:rsid w:val="79CE0777"/>
    <w:rsid w:val="79F931E1"/>
    <w:rsid w:val="79FC1788"/>
    <w:rsid w:val="7A027492"/>
    <w:rsid w:val="7A0348C4"/>
    <w:rsid w:val="7A1220CC"/>
    <w:rsid w:val="7A1268B5"/>
    <w:rsid w:val="7A3C3932"/>
    <w:rsid w:val="7A4D5B40"/>
    <w:rsid w:val="7A575F57"/>
    <w:rsid w:val="7A5E5F9F"/>
    <w:rsid w:val="7A8772A3"/>
    <w:rsid w:val="7A884DCA"/>
    <w:rsid w:val="7AA15E8B"/>
    <w:rsid w:val="7AAD65DE"/>
    <w:rsid w:val="7AB11687"/>
    <w:rsid w:val="7AB931D5"/>
    <w:rsid w:val="7ACA7190"/>
    <w:rsid w:val="7ACD6C80"/>
    <w:rsid w:val="7ACF6635"/>
    <w:rsid w:val="7AEA5A84"/>
    <w:rsid w:val="7AF91823"/>
    <w:rsid w:val="7B034450"/>
    <w:rsid w:val="7B0F54EB"/>
    <w:rsid w:val="7B1A0118"/>
    <w:rsid w:val="7B1E128A"/>
    <w:rsid w:val="7B1EE665"/>
    <w:rsid w:val="7B2F54B5"/>
    <w:rsid w:val="7B354F51"/>
    <w:rsid w:val="7B3D7962"/>
    <w:rsid w:val="7B523868"/>
    <w:rsid w:val="7B5A6766"/>
    <w:rsid w:val="7B5B24DE"/>
    <w:rsid w:val="7B66335D"/>
    <w:rsid w:val="7B694BFB"/>
    <w:rsid w:val="7B7315D6"/>
    <w:rsid w:val="7BA47323"/>
    <w:rsid w:val="7BAB5214"/>
    <w:rsid w:val="7BAF03F7"/>
    <w:rsid w:val="7BBA0FB3"/>
    <w:rsid w:val="7BCE2CB0"/>
    <w:rsid w:val="7BD858DD"/>
    <w:rsid w:val="7BDA3403"/>
    <w:rsid w:val="7BDD38DF"/>
    <w:rsid w:val="7BEE5100"/>
    <w:rsid w:val="7BF904A3"/>
    <w:rsid w:val="7BFC15CB"/>
    <w:rsid w:val="7C180B2E"/>
    <w:rsid w:val="7C26131F"/>
    <w:rsid w:val="7C2720F2"/>
    <w:rsid w:val="7C3F770A"/>
    <w:rsid w:val="7C43714C"/>
    <w:rsid w:val="7C5A4544"/>
    <w:rsid w:val="7C647170"/>
    <w:rsid w:val="7C790E6E"/>
    <w:rsid w:val="7C887303"/>
    <w:rsid w:val="7C9712F4"/>
    <w:rsid w:val="7CA83501"/>
    <w:rsid w:val="7CB9570E"/>
    <w:rsid w:val="7CBB76D8"/>
    <w:rsid w:val="7CCD1A56"/>
    <w:rsid w:val="7CD10CAA"/>
    <w:rsid w:val="7CDE33C7"/>
    <w:rsid w:val="7CED7166"/>
    <w:rsid w:val="7D0C3A90"/>
    <w:rsid w:val="7D1D3EEF"/>
    <w:rsid w:val="7D1E3EA3"/>
    <w:rsid w:val="7D3354C1"/>
    <w:rsid w:val="7D3702E5"/>
    <w:rsid w:val="7D63567A"/>
    <w:rsid w:val="7D755AD9"/>
    <w:rsid w:val="7D8B70AB"/>
    <w:rsid w:val="7DA22646"/>
    <w:rsid w:val="7DAE4B47"/>
    <w:rsid w:val="7DAE6C72"/>
    <w:rsid w:val="7DB303AF"/>
    <w:rsid w:val="7DBB7264"/>
    <w:rsid w:val="7DC12ACC"/>
    <w:rsid w:val="7DCE51E9"/>
    <w:rsid w:val="7DD81917"/>
    <w:rsid w:val="7DDC1500"/>
    <w:rsid w:val="7DDE4768"/>
    <w:rsid w:val="7DE844FD"/>
    <w:rsid w:val="7DF05160"/>
    <w:rsid w:val="7DF54524"/>
    <w:rsid w:val="7DFF1847"/>
    <w:rsid w:val="7DFF35F5"/>
    <w:rsid w:val="7E0F7ABB"/>
    <w:rsid w:val="7E105802"/>
    <w:rsid w:val="7E2272E3"/>
    <w:rsid w:val="7E3712E7"/>
    <w:rsid w:val="7E505BFE"/>
    <w:rsid w:val="7E6B31AE"/>
    <w:rsid w:val="7E6E42D6"/>
    <w:rsid w:val="7E7F64E4"/>
    <w:rsid w:val="7EA146AC"/>
    <w:rsid w:val="7EB60008"/>
    <w:rsid w:val="7EC42148"/>
    <w:rsid w:val="7EDC30EB"/>
    <w:rsid w:val="7EEF2C4C"/>
    <w:rsid w:val="7EF8136D"/>
    <w:rsid w:val="7F182BC0"/>
    <w:rsid w:val="7F267F08"/>
    <w:rsid w:val="7F3FD8F5"/>
    <w:rsid w:val="7F4FF76D"/>
    <w:rsid w:val="7F565B5F"/>
    <w:rsid w:val="7F577294"/>
    <w:rsid w:val="7F5E259D"/>
    <w:rsid w:val="7F7F4E8D"/>
    <w:rsid w:val="7F870019"/>
    <w:rsid w:val="7F8738A2"/>
    <w:rsid w:val="7F961D37"/>
    <w:rsid w:val="7FAC4C99"/>
    <w:rsid w:val="7FB0104A"/>
    <w:rsid w:val="7FC3027E"/>
    <w:rsid w:val="7FC44AF6"/>
    <w:rsid w:val="7FDD1714"/>
    <w:rsid w:val="7FDF723A"/>
    <w:rsid w:val="7FEA3E31"/>
    <w:rsid w:val="7FF37189"/>
    <w:rsid w:val="B6DFD99A"/>
    <w:rsid w:val="BF47EA16"/>
    <w:rsid w:val="CFEF73C2"/>
    <w:rsid w:val="E74DD106"/>
    <w:rsid w:val="EAF9AAD5"/>
    <w:rsid w:val="EBFDE926"/>
    <w:rsid w:val="ECDCB5FD"/>
    <w:rsid w:val="EEF79D81"/>
    <w:rsid w:val="FBF59284"/>
    <w:rsid w:val="FD77ADB3"/>
    <w:rsid w:val="FEFDF03F"/>
    <w:rsid w:val="FEFF59ED"/>
    <w:rsid w:val="FF8F13CE"/>
    <w:rsid w:val="FFDAD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tabs>
        <w:tab w:val="left" w:pos="1830"/>
      </w:tabs>
      <w:spacing w:line="360" w:lineRule="auto"/>
      <w:ind w:left="1831" w:hanging="363"/>
      <w:outlineLvl w:val="0"/>
    </w:pPr>
    <w:rPr>
      <w:rFonts w:ascii="Arial" w:hAnsi="Arial" w:eastAsia="宋体"/>
      <w:b/>
      <w:sz w:val="36"/>
      <w:szCs w:val="20"/>
      <w:lang w:bidi="he-IL"/>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link w:val="33"/>
    <w:qFormat/>
    <w:uiPriority w:val="0"/>
    <w:pPr>
      <w:spacing w:after="120"/>
    </w:pPr>
  </w:style>
  <w:style w:type="paragraph" w:styleId="6">
    <w:name w:val="Plain Text"/>
    <w:basedOn w:val="1"/>
    <w:qFormat/>
    <w:uiPriority w:val="0"/>
    <w:rPr>
      <w:rFonts w:ascii="宋体" w:hAnsi="Courier New"/>
    </w:rPr>
  </w:style>
  <w:style w:type="paragraph" w:styleId="7">
    <w:name w:val="Balloon Text"/>
    <w:basedOn w:val="1"/>
    <w:link w:val="32"/>
    <w:qFormat/>
    <w:uiPriority w:val="0"/>
    <w:rPr>
      <w:sz w:val="18"/>
      <w:szCs w:val="18"/>
    </w:rPr>
  </w:style>
  <w:style w:type="paragraph" w:styleId="8">
    <w:name w:val="footer"/>
    <w:basedOn w:val="1"/>
    <w:link w:val="45"/>
    <w:qFormat/>
    <w:uiPriority w:val="99"/>
    <w:pPr>
      <w:tabs>
        <w:tab w:val="center" w:pos="4153"/>
        <w:tab w:val="right" w:pos="8306"/>
      </w:tabs>
      <w:snapToGrid w:val="0"/>
      <w:jc w:val="left"/>
    </w:pPr>
    <w:rPr>
      <w:sz w:val="18"/>
      <w:szCs w:val="20"/>
      <w:lang w:bidi="he-IL"/>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1"/>
    <w:next w:val="1"/>
    <w:qFormat/>
    <w:uiPriority w:val="39"/>
    <w:rPr>
      <w:rFonts w:eastAsia="黑体"/>
      <w:sz w:val="28"/>
    </w:rPr>
  </w:style>
  <w:style w:type="paragraph" w:styleId="11">
    <w:name w:val="index 1"/>
    <w:basedOn w:val="1"/>
    <w:next w:val="1"/>
    <w:semiHidden/>
    <w:qFormat/>
    <w:uiPriority w:val="0"/>
    <w:rPr>
      <w:rFonts w:eastAsia="仿宋_GB2312"/>
      <w:b/>
      <w:sz w:val="24"/>
      <w:szCs w:val="20"/>
    </w:rPr>
  </w:style>
  <w:style w:type="paragraph" w:styleId="12">
    <w:name w:val="toc 2"/>
    <w:basedOn w:val="13"/>
    <w:next w:val="13"/>
    <w:qFormat/>
    <w:uiPriority w:val="39"/>
    <w:pPr>
      <w:ind w:left="420"/>
    </w:pPr>
    <w:rPr>
      <w:rFonts w:eastAsia="仿宋_GB2312"/>
      <w:b/>
      <w:sz w:val="24"/>
    </w:rPr>
  </w:style>
  <w:style w:type="paragraph" w:styleId="13">
    <w:name w:val="index 2"/>
    <w:basedOn w:val="1"/>
    <w:next w:val="1"/>
    <w:qFormat/>
    <w:uiPriority w:val="0"/>
    <w:pPr>
      <w:ind w:left="200" w:leftChars="200"/>
    </w:pPr>
    <w:rPr>
      <w:szCs w:val="20"/>
    </w:r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w:basedOn w:val="5"/>
    <w:link w:val="34"/>
    <w:unhideWhenUsed/>
    <w:qFormat/>
    <w:uiPriority w:val="99"/>
    <w:pPr>
      <w:spacing w:line="400" w:lineRule="atLeast"/>
      <w:ind w:firstLine="426"/>
    </w:pPr>
    <w:rPr>
      <w:sz w:val="24"/>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Emphasis"/>
    <w:basedOn w:val="18"/>
    <w:qFormat/>
    <w:uiPriority w:val="0"/>
    <w:rPr>
      <w:color w:val="CC0000"/>
    </w:rPr>
  </w:style>
  <w:style w:type="character" w:styleId="22">
    <w:name w:val="Hyperlink"/>
    <w:qFormat/>
    <w:uiPriority w:val="99"/>
    <w:rPr>
      <w:color w:val="0000FF"/>
      <w:u w:val="single"/>
    </w:rPr>
  </w:style>
  <w:style w:type="character" w:styleId="23">
    <w:name w:val="HTML Cite"/>
    <w:basedOn w:val="18"/>
    <w:qFormat/>
    <w:uiPriority w:val="0"/>
    <w:rPr>
      <w:color w:val="008000"/>
    </w:rPr>
  </w:style>
  <w:style w:type="paragraph" w:customStyle="1" w:styleId="24">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customStyle="1" w:styleId="25">
    <w:name w:val="章标题"/>
    <w:basedOn w:val="1"/>
    <w:qFormat/>
    <w:uiPriority w:val="0"/>
    <w:pPr>
      <w:jc w:val="center"/>
    </w:pPr>
    <w:rPr>
      <w:rFonts w:ascii="宋体" w:hAnsi="宋体" w:eastAsia="黑体"/>
      <w:b/>
      <w:sz w:val="28"/>
      <w:szCs w:val="30"/>
    </w:rPr>
  </w:style>
  <w:style w:type="paragraph" w:customStyle="1" w:styleId="26">
    <w:name w:val="GW-正文"/>
    <w:basedOn w:val="1"/>
    <w:qFormat/>
    <w:uiPriority w:val="0"/>
    <w:pPr>
      <w:spacing w:line="360" w:lineRule="auto"/>
      <w:ind w:firstLine="200" w:firstLineChars="200"/>
      <w:contextualSpacing/>
    </w:pPr>
  </w:style>
  <w:style w:type="paragraph" w:customStyle="1" w:styleId="27">
    <w:name w:val="p0"/>
    <w:basedOn w:val="1"/>
    <w:qFormat/>
    <w:uiPriority w:val="0"/>
    <w:pPr>
      <w:widowControl/>
    </w:pPr>
    <w:rPr>
      <w:kern w:val="0"/>
      <w:szCs w:val="21"/>
    </w:rPr>
  </w:style>
  <w:style w:type="paragraph" w:customStyle="1" w:styleId="28">
    <w:name w:val="节标题"/>
    <w:basedOn w:val="1"/>
    <w:qFormat/>
    <w:uiPriority w:val="0"/>
    <w:pPr>
      <w:ind w:firstLine="1928" w:firstLineChars="800"/>
    </w:pPr>
    <w:rPr>
      <w:rFonts w:ascii="宋体" w:hAnsi="宋体" w:cs="Arial"/>
      <w:b/>
    </w:rPr>
  </w:style>
  <w:style w:type="paragraph" w:customStyle="1" w:styleId="29">
    <w:name w:val="D&amp;L"/>
    <w:basedOn w:val="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0">
    <w:name w:val="fontstyle01"/>
    <w:qFormat/>
    <w:uiPriority w:val="0"/>
    <w:rPr>
      <w:rFonts w:hint="eastAsia" w:ascii="宋体" w:hAnsi="宋体" w:eastAsia="宋体"/>
      <w:color w:val="000000"/>
      <w:sz w:val="24"/>
      <w:szCs w:val="24"/>
    </w:rPr>
  </w:style>
  <w:style w:type="character" w:customStyle="1" w:styleId="31">
    <w:name w:val="标题 2 Char"/>
    <w:link w:val="3"/>
    <w:qFormat/>
    <w:uiPriority w:val="0"/>
    <w:rPr>
      <w:rFonts w:ascii="Arial" w:hAnsi="Arial" w:eastAsia="黑体"/>
      <w:b/>
      <w:bCs/>
      <w:sz w:val="32"/>
      <w:szCs w:val="32"/>
    </w:rPr>
  </w:style>
  <w:style w:type="character" w:customStyle="1" w:styleId="32">
    <w:name w:val="批注框文本 Char"/>
    <w:basedOn w:val="18"/>
    <w:link w:val="7"/>
    <w:qFormat/>
    <w:uiPriority w:val="0"/>
    <w:rPr>
      <w:kern w:val="2"/>
      <w:sz w:val="18"/>
      <w:szCs w:val="18"/>
    </w:rPr>
  </w:style>
  <w:style w:type="character" w:customStyle="1" w:styleId="33">
    <w:name w:val="正文文本 Char"/>
    <w:basedOn w:val="18"/>
    <w:link w:val="5"/>
    <w:qFormat/>
    <w:uiPriority w:val="0"/>
    <w:rPr>
      <w:kern w:val="2"/>
      <w:sz w:val="21"/>
      <w:szCs w:val="24"/>
    </w:rPr>
  </w:style>
  <w:style w:type="character" w:customStyle="1" w:styleId="34">
    <w:name w:val="正文首行缩进 Char"/>
    <w:basedOn w:val="33"/>
    <w:link w:val="15"/>
    <w:qFormat/>
    <w:uiPriority w:val="99"/>
    <w:rPr>
      <w:kern w:val="2"/>
      <w:sz w:val="24"/>
      <w:szCs w:val="24"/>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c-icon13"/>
    <w:basedOn w:val="18"/>
    <w:qFormat/>
    <w:uiPriority w:val="0"/>
  </w:style>
  <w:style w:type="character" w:customStyle="1" w:styleId="37">
    <w:name w:val="c-icon14"/>
    <w:basedOn w:val="18"/>
    <w:qFormat/>
    <w:uiPriority w:val="0"/>
  </w:style>
  <w:style w:type="character" w:customStyle="1" w:styleId="38">
    <w:name w:val="hover18"/>
    <w:basedOn w:val="18"/>
    <w:qFormat/>
    <w:uiPriority w:val="0"/>
  </w:style>
  <w:style w:type="character" w:customStyle="1" w:styleId="39">
    <w:name w:val="hover19"/>
    <w:basedOn w:val="18"/>
    <w:qFormat/>
    <w:uiPriority w:val="0"/>
    <w:rPr>
      <w:color w:val="315EFB"/>
    </w:rPr>
  </w:style>
  <w:style w:type="character" w:customStyle="1" w:styleId="40">
    <w:name w:val="c-icon28"/>
    <w:basedOn w:val="18"/>
    <w:qFormat/>
    <w:uiPriority w:val="0"/>
  </w:style>
  <w:style w:type="character" w:customStyle="1" w:styleId="41">
    <w:name w:val="c-icon26"/>
    <w:basedOn w:val="18"/>
    <w:qFormat/>
    <w:uiPriority w:val="0"/>
  </w:style>
  <w:style w:type="paragraph" w:customStyle="1" w:styleId="42">
    <w:name w:val="列出段落2"/>
    <w:basedOn w:val="1"/>
    <w:qFormat/>
    <w:uiPriority w:val="34"/>
    <w:pPr>
      <w:ind w:firstLine="420" w:firstLineChars="200"/>
    </w:pPr>
    <w:rPr>
      <w:kern w:val="0"/>
      <w:sz w:val="20"/>
      <w:szCs w:val="20"/>
    </w:rPr>
  </w:style>
  <w:style w:type="character" w:customStyle="1" w:styleId="43">
    <w:name w:val="font41"/>
    <w:basedOn w:val="18"/>
    <w:qFormat/>
    <w:uiPriority w:val="0"/>
    <w:rPr>
      <w:rFonts w:hint="default" w:ascii="等线" w:hAnsi="等线" w:eastAsia="等线" w:cs="等线"/>
      <w:color w:val="000000"/>
      <w:sz w:val="22"/>
      <w:szCs w:val="22"/>
      <w:u w:val="none"/>
    </w:rPr>
  </w:style>
  <w:style w:type="character" w:customStyle="1" w:styleId="44">
    <w:name w:val="font01"/>
    <w:basedOn w:val="18"/>
    <w:qFormat/>
    <w:uiPriority w:val="0"/>
    <w:rPr>
      <w:rFonts w:ascii="DengXian ( 正文 )" w:hAnsi="DengXian ( 正文 )" w:eastAsia="DengXian ( 正文 )" w:cs="DengXian ( 正文 )"/>
      <w:color w:val="000000"/>
      <w:sz w:val="22"/>
      <w:szCs w:val="22"/>
      <w:u w:val="none"/>
    </w:rPr>
  </w:style>
  <w:style w:type="character" w:customStyle="1" w:styleId="45">
    <w:name w:val="页脚 Char"/>
    <w:link w:val="8"/>
    <w:qFormat/>
    <w:uiPriority w:val="99"/>
    <w:rPr>
      <w:rFonts w:ascii="Times New Roman" w:hAnsi="Times New Roman"/>
      <w:kern w:val="2"/>
      <w:sz w:val="18"/>
      <w:lang w:bidi="he-IL"/>
    </w:rPr>
  </w:style>
  <w:style w:type="paragraph" w:customStyle="1" w:styleId="4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47">
    <w:name w:val="样式 标题 2 + 宋体 五号 行距: 单倍行距"/>
    <w:basedOn w:val="3"/>
    <w:qFormat/>
    <w:uiPriority w:val="0"/>
    <w:pPr>
      <w:spacing w:line="240" w:lineRule="auto"/>
    </w:pPr>
    <w:rPr>
      <w:rFonts w:ascii="宋体" w:hAnsi="宋体" w:eastAsia="宋体"/>
      <w:sz w:val="21"/>
    </w:rPr>
  </w:style>
  <w:style w:type="character" w:customStyle="1" w:styleId="48">
    <w:name w:val="标题 2 Char1"/>
    <w:link w:val="3"/>
    <w:autoRedefine/>
    <w:qFormat/>
    <w:uiPriority w:val="0"/>
    <w:rPr>
      <w:rFonts w:ascii="Arial" w:hAnsi="Arial" w:eastAsia="黑体"/>
      <w:b/>
      <w:bCs/>
      <w:sz w:val="32"/>
      <w:szCs w:val="32"/>
    </w:rPr>
  </w:style>
  <w:style w:type="paragraph" w:customStyle="1" w:styleId="49">
    <w:name w:val="样式1"/>
    <w:basedOn w:val="1"/>
    <w:qFormat/>
    <w:uiPriority w:val="0"/>
    <w:pPr>
      <w:widowControl w:val="0"/>
      <w:ind w:firstLine="480" w:firstLineChars="200"/>
      <w:jc w:val="both"/>
    </w:pPr>
    <w:rPr>
      <w:rFonts w:asciiTheme="minorHAnsi" w:hAnsiTheme="minorHAnsi" w:eastAsiaTheme="minorEastAsia" w:cstheme="minorBidi"/>
      <w:kern w:val="2"/>
      <w:szCs w:val="22"/>
      <w:lang w:eastAsia="zh-CN" w:bidi="ar-SA"/>
    </w:rPr>
  </w:style>
  <w:style w:type="character" w:customStyle="1" w:styleId="50">
    <w:name w:val="标题 1 Char"/>
    <w:link w:val="2"/>
    <w:qFormat/>
    <w:uiPriority w:val="0"/>
    <w:rPr>
      <w:rFonts w:ascii="Arial" w:hAnsi="Arial" w:eastAsia="宋体"/>
      <w:b/>
      <w:sz w:val="36"/>
      <w:szCs w:val="20"/>
      <w:lang w:bidi="he-IL"/>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9115</Words>
  <Characters>9602</Characters>
  <Lines>130</Lines>
  <Paragraphs>36</Paragraphs>
  <TotalTime>0</TotalTime>
  <ScaleCrop>false</ScaleCrop>
  <LinksUpToDate>false</LinksUpToDate>
  <CharactersWithSpaces>9938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2020-02-04T00:14:00Z</dcterms:created>
  <dc:creator>Vincent</dc:creator>
  <cp:lastModifiedBy>Star</cp:lastModifiedBy>
  <cp:lastPrinted>2020-05-07T00:01:00Z</cp:lastPrinted>
  <dcterms:modified xsi:type="dcterms:W3CDTF">2026-03-27T02:12:34Z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BA89EA82BE2F465180199ECF239AEDAC_13</vt:lpwstr>
  </property>
  <property fmtid="{D5CDD505-2E9C-101B-9397-08002B2CF9AE}" pid="4" name="KSOTemplateDocerSaveRecord">
    <vt:lpwstr>eyJoZGlkIjoiNTU0ZmIwYTQ3NzlmZGUxZmU3Zjk0M2IyZTNmM2IxNjAiLCJ1c2VySWQiOiI0NzE1ODkwMDUifQ==</vt:lpwstr>
  </property>
</Properties>
</file>