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8E76">
      <w:pPr>
        <w:spacing w:line="480" w:lineRule="auto"/>
        <w:rPr>
          <w:rFonts w:ascii="华文中宋" w:hAnsi="华文中宋" w:eastAsia="华文中宋"/>
          <w:sz w:val="36"/>
          <w:highlight w:val="none"/>
        </w:rPr>
      </w:pPr>
      <w:bookmarkStart w:id="0" w:name="_Toc217996594"/>
      <w:bookmarkStart w:id="1" w:name="_Toc219467631"/>
      <w:bookmarkStart w:id="2" w:name="_Toc216702787"/>
      <w:bookmarkStart w:id="3" w:name="_Toc216619175"/>
      <w:bookmarkStart w:id="4" w:name="_Toc414445718"/>
      <w:bookmarkStart w:id="5" w:name="_Toc195921780"/>
    </w:p>
    <w:p w14:paraId="0F9A90D0">
      <w:pPr>
        <w:jc w:val="center"/>
        <w:rPr>
          <w:rFonts w:eastAsia="黑体"/>
          <w:b/>
          <w:bCs/>
          <w:sz w:val="84"/>
          <w:highlight w:val="none"/>
        </w:rPr>
      </w:pPr>
    </w:p>
    <w:p w14:paraId="315D5250">
      <w:pPr>
        <w:pStyle w:val="73"/>
        <w:rPr>
          <w:rFonts w:eastAsia="黑体"/>
          <w:b/>
          <w:bCs/>
          <w:sz w:val="84"/>
          <w:highlight w:val="none"/>
        </w:rPr>
      </w:pPr>
    </w:p>
    <w:p w14:paraId="64A07004">
      <w:pPr>
        <w:pStyle w:val="73"/>
        <w:rPr>
          <w:rFonts w:eastAsia="黑体"/>
          <w:b/>
          <w:bCs/>
          <w:sz w:val="84"/>
          <w:highlight w:val="none"/>
        </w:rPr>
      </w:pPr>
    </w:p>
    <w:p w14:paraId="62AAFCC4">
      <w:pPr>
        <w:jc w:val="center"/>
        <w:rPr>
          <w:rFonts w:hint="eastAsia" w:eastAsia="黑体"/>
          <w:b/>
          <w:bCs/>
          <w:sz w:val="48"/>
          <w:szCs w:val="48"/>
          <w:highlight w:val="none"/>
          <w:lang w:eastAsia="zh-CN"/>
        </w:rPr>
      </w:pPr>
      <w:r>
        <w:rPr>
          <w:rFonts w:eastAsia="黑体"/>
          <w:b/>
          <w:bCs/>
          <w:sz w:val="56"/>
          <w:szCs w:val="56"/>
          <w:highlight w:val="none"/>
        </w:rPr>
        <w:t>竞争性</w:t>
      </w:r>
      <w:r>
        <w:rPr>
          <w:rFonts w:hint="eastAsia" w:eastAsia="黑体"/>
          <w:b/>
          <w:bCs/>
          <w:sz w:val="56"/>
          <w:szCs w:val="56"/>
          <w:highlight w:val="none"/>
          <w:lang w:eastAsia="zh-CN"/>
        </w:rPr>
        <w:t>磋商</w:t>
      </w:r>
    </w:p>
    <w:p w14:paraId="0E981036">
      <w:pPr>
        <w:jc w:val="center"/>
        <w:rPr>
          <w:rFonts w:eastAsia="黑体"/>
          <w:b/>
          <w:bCs/>
          <w:sz w:val="48"/>
          <w:szCs w:val="48"/>
          <w:highlight w:val="none"/>
        </w:rPr>
      </w:pPr>
    </w:p>
    <w:p w14:paraId="5DEA92A3">
      <w:pPr>
        <w:jc w:val="center"/>
        <w:rPr>
          <w:rFonts w:eastAsia="黑体"/>
          <w:b/>
          <w:bCs/>
          <w:sz w:val="84"/>
          <w:highlight w:val="none"/>
        </w:rPr>
      </w:pPr>
      <w:r>
        <w:rPr>
          <w:rFonts w:hint="eastAsia" w:eastAsia="黑体"/>
          <w:b/>
          <w:bCs/>
          <w:sz w:val="84"/>
          <w:highlight w:val="none"/>
          <w:lang w:val="en-US" w:eastAsia="zh-CN"/>
        </w:rPr>
        <w:t>磋</w:t>
      </w:r>
      <w:r>
        <w:rPr>
          <w:rFonts w:hint="eastAsia" w:eastAsia="黑体"/>
          <w:b/>
          <w:bCs/>
          <w:sz w:val="84"/>
          <w:highlight w:val="none"/>
        </w:rPr>
        <w:t xml:space="preserve"> </w:t>
      </w:r>
      <w:r>
        <w:rPr>
          <w:rFonts w:hint="eastAsia" w:eastAsia="黑体"/>
          <w:b/>
          <w:bCs/>
          <w:sz w:val="84"/>
          <w:highlight w:val="none"/>
          <w:lang w:val="en-US" w:eastAsia="zh-CN"/>
        </w:rPr>
        <w:t>商</w:t>
      </w:r>
      <w:r>
        <w:rPr>
          <w:rFonts w:hint="eastAsia" w:eastAsia="黑体"/>
          <w:b/>
          <w:bCs/>
          <w:sz w:val="84"/>
          <w:highlight w:val="none"/>
        </w:rPr>
        <w:t xml:space="preserve"> 文 件</w:t>
      </w:r>
    </w:p>
    <w:p w14:paraId="74869506">
      <w:pPr>
        <w:adjustRightInd w:val="0"/>
        <w:jc w:val="center"/>
        <w:textAlignment w:val="baseline"/>
        <w:rPr>
          <w:b/>
          <w:bCs/>
          <w:sz w:val="36"/>
          <w:highlight w:val="none"/>
        </w:rPr>
      </w:pPr>
    </w:p>
    <w:p w14:paraId="3645CCC8">
      <w:pPr>
        <w:adjustRightInd w:val="0"/>
        <w:jc w:val="center"/>
        <w:textAlignment w:val="baseline"/>
        <w:rPr>
          <w:b/>
          <w:bCs/>
          <w:sz w:val="36"/>
          <w:highlight w:val="none"/>
        </w:rPr>
      </w:pPr>
      <w:r>
        <w:rPr>
          <w:rFonts w:hint="eastAsia"/>
          <w:b/>
          <w:bCs/>
          <w:sz w:val="36"/>
          <w:highlight w:val="none"/>
        </w:rPr>
        <w:t>（服务类）</w:t>
      </w:r>
    </w:p>
    <w:p w14:paraId="60B14A59">
      <w:pPr>
        <w:adjustRightInd w:val="0"/>
        <w:ind w:firstLine="1084" w:firstLineChars="300"/>
        <w:jc w:val="left"/>
        <w:textAlignment w:val="baseline"/>
        <w:rPr>
          <w:b/>
          <w:bCs/>
          <w:sz w:val="36"/>
          <w:highlight w:val="none"/>
        </w:rPr>
      </w:pPr>
    </w:p>
    <w:p w14:paraId="1E2CD4C8">
      <w:pPr>
        <w:adjustRightInd w:val="0"/>
        <w:jc w:val="left"/>
        <w:textAlignment w:val="baseline"/>
        <w:rPr>
          <w:rFonts w:hint="default" w:eastAsia="宋体"/>
          <w:b/>
          <w:bCs/>
          <w:sz w:val="32"/>
          <w:szCs w:val="32"/>
          <w:highlight w:val="none"/>
          <w:lang w:val="en-US" w:eastAsia="zh-CN"/>
        </w:rPr>
      </w:pPr>
      <w:r>
        <w:rPr>
          <w:rFonts w:hint="eastAsia"/>
          <w:b/>
          <w:bCs/>
          <w:sz w:val="32"/>
          <w:szCs w:val="32"/>
          <w:highlight w:val="none"/>
        </w:rPr>
        <w:t>项目编号：</w:t>
      </w:r>
      <w:r>
        <w:rPr>
          <w:rFonts w:hint="eastAsia"/>
          <w:b/>
          <w:bCs/>
          <w:sz w:val="32"/>
          <w:szCs w:val="32"/>
          <w:highlight w:val="none"/>
          <w:lang w:eastAsia="zh-CN"/>
        </w:rPr>
        <w:t>HY-ZB-202</w:t>
      </w:r>
      <w:r>
        <w:rPr>
          <w:rFonts w:hint="eastAsia"/>
          <w:b/>
          <w:bCs/>
          <w:sz w:val="32"/>
          <w:szCs w:val="32"/>
          <w:highlight w:val="none"/>
          <w:lang w:val="en-US" w:eastAsia="zh-CN"/>
        </w:rPr>
        <w:t>6004</w:t>
      </w:r>
    </w:p>
    <w:p w14:paraId="733802E6">
      <w:pPr>
        <w:adjustRightInd w:val="0"/>
        <w:jc w:val="left"/>
        <w:textAlignment w:val="baseline"/>
        <w:rPr>
          <w:rFonts w:hint="eastAsia" w:eastAsia="宋体"/>
          <w:b/>
          <w:bCs/>
          <w:sz w:val="32"/>
          <w:szCs w:val="32"/>
          <w:highlight w:val="none"/>
          <w:lang w:val="zh-CN" w:eastAsia="zh-CN"/>
        </w:rPr>
      </w:pPr>
      <w:r>
        <w:rPr>
          <w:rFonts w:hint="eastAsia"/>
          <w:b/>
          <w:bCs/>
          <w:sz w:val="32"/>
          <w:szCs w:val="32"/>
          <w:highlight w:val="none"/>
        </w:rPr>
        <w:t>项目名称：六安市叶集区人民医院被服等租赁洗涤服务项目</w:t>
      </w:r>
    </w:p>
    <w:p w14:paraId="0A114134">
      <w:pPr>
        <w:autoSpaceDE w:val="0"/>
        <w:autoSpaceDN w:val="0"/>
        <w:adjustRightInd w:val="0"/>
        <w:snapToGrid w:val="0"/>
        <w:spacing w:after="156" w:afterLines="50"/>
        <w:jc w:val="center"/>
        <w:rPr>
          <w:rFonts w:ascii="宋体" w:hAnsi="宋体" w:cs="黑体"/>
          <w:kern w:val="0"/>
          <w:sz w:val="32"/>
          <w:szCs w:val="32"/>
          <w:highlight w:val="none"/>
        </w:rPr>
      </w:pPr>
    </w:p>
    <w:p w14:paraId="0B8CA2C4">
      <w:pPr>
        <w:autoSpaceDE w:val="0"/>
        <w:autoSpaceDN w:val="0"/>
        <w:adjustRightInd w:val="0"/>
        <w:snapToGrid w:val="0"/>
        <w:spacing w:after="156" w:afterLines="50"/>
        <w:jc w:val="center"/>
        <w:rPr>
          <w:rFonts w:ascii="宋体" w:hAnsi="宋体" w:cs="黑体"/>
          <w:kern w:val="0"/>
          <w:sz w:val="32"/>
          <w:szCs w:val="32"/>
          <w:highlight w:val="none"/>
        </w:rPr>
      </w:pPr>
    </w:p>
    <w:p w14:paraId="4239983C">
      <w:pPr>
        <w:autoSpaceDE w:val="0"/>
        <w:autoSpaceDN w:val="0"/>
        <w:adjustRightInd w:val="0"/>
        <w:snapToGrid w:val="0"/>
        <w:spacing w:after="156" w:afterLines="50"/>
        <w:jc w:val="both"/>
        <w:rPr>
          <w:rFonts w:ascii="宋体" w:hAnsi="宋体" w:cs="黑体"/>
          <w:kern w:val="0"/>
          <w:sz w:val="32"/>
          <w:szCs w:val="32"/>
          <w:highlight w:val="none"/>
        </w:rPr>
      </w:pPr>
    </w:p>
    <w:p w14:paraId="5EA5DB34">
      <w:pPr>
        <w:autoSpaceDE w:val="0"/>
        <w:autoSpaceDN w:val="0"/>
        <w:adjustRightInd w:val="0"/>
        <w:snapToGrid w:val="0"/>
        <w:spacing w:after="156" w:afterLines="50"/>
        <w:jc w:val="center"/>
        <w:rPr>
          <w:rFonts w:ascii="宋体" w:hAnsi="宋体" w:cs="黑体"/>
          <w:kern w:val="0"/>
          <w:sz w:val="32"/>
          <w:szCs w:val="32"/>
          <w:highlight w:val="none"/>
        </w:rPr>
      </w:pPr>
    </w:p>
    <w:tbl>
      <w:tblPr>
        <w:tblStyle w:val="75"/>
        <w:tblW w:w="8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5712"/>
      </w:tblGrid>
      <w:tr w14:paraId="15C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3550AC87">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 xml:space="preserve">采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购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人：</w:t>
            </w:r>
          </w:p>
        </w:tc>
        <w:tc>
          <w:tcPr>
            <w:tcW w:w="5712" w:type="dxa"/>
          </w:tcPr>
          <w:p w14:paraId="67A76100">
            <w:pPr>
              <w:autoSpaceDE w:val="0"/>
              <w:autoSpaceDN w:val="0"/>
              <w:adjustRightInd w:val="0"/>
              <w:snapToGrid w:val="0"/>
              <w:spacing w:after="156" w:afterLines="50"/>
              <w:jc w:val="left"/>
              <w:rPr>
                <w:rFonts w:hint="eastAsia" w:ascii="宋体" w:hAnsi="宋体" w:eastAsia="宋体" w:cs="黑体"/>
                <w:kern w:val="0"/>
                <w:sz w:val="32"/>
                <w:szCs w:val="32"/>
                <w:highlight w:val="none"/>
                <w:lang w:eastAsia="zh-CN"/>
              </w:rPr>
            </w:pPr>
            <w:r>
              <w:rPr>
                <w:rFonts w:hint="eastAsia" w:ascii="宋体" w:hAnsi="宋体" w:cs="黑体"/>
                <w:kern w:val="0"/>
                <w:sz w:val="32"/>
                <w:szCs w:val="32"/>
                <w:highlight w:val="none"/>
                <w:lang w:eastAsia="zh-CN"/>
              </w:rPr>
              <w:t>六安市叶集区人民医院</w:t>
            </w:r>
          </w:p>
        </w:tc>
      </w:tr>
      <w:tr w14:paraId="6A10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7A35D3B8">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采购代理机构：</w:t>
            </w:r>
          </w:p>
        </w:tc>
        <w:tc>
          <w:tcPr>
            <w:tcW w:w="5712" w:type="dxa"/>
          </w:tcPr>
          <w:p w14:paraId="4D0C638C">
            <w:pPr>
              <w:autoSpaceDE w:val="0"/>
              <w:autoSpaceDN w:val="0"/>
              <w:adjustRightInd w:val="0"/>
              <w:snapToGrid w:val="0"/>
              <w:spacing w:after="156" w:afterLines="50"/>
              <w:jc w:val="left"/>
              <w:rPr>
                <w:rFonts w:ascii="宋体" w:hAnsi="宋体" w:cs="黑体"/>
                <w:kern w:val="0"/>
                <w:sz w:val="32"/>
                <w:szCs w:val="32"/>
                <w:highlight w:val="none"/>
              </w:rPr>
            </w:pPr>
            <w:r>
              <w:rPr>
                <w:rFonts w:hint="eastAsia" w:ascii="宋体" w:hAnsi="宋体" w:cs="黑体"/>
                <w:kern w:val="0"/>
                <w:sz w:val="32"/>
                <w:szCs w:val="32"/>
                <w:highlight w:val="none"/>
              </w:rPr>
              <w:t>六安弘跃商务代理有限公司</w:t>
            </w:r>
          </w:p>
        </w:tc>
      </w:tr>
    </w:tbl>
    <w:p w14:paraId="3966DD7C">
      <w:pPr>
        <w:autoSpaceDE w:val="0"/>
        <w:autoSpaceDN w:val="0"/>
        <w:adjustRightInd w:val="0"/>
        <w:snapToGrid w:val="0"/>
        <w:spacing w:after="156" w:afterLines="50"/>
        <w:jc w:val="center"/>
        <w:rPr>
          <w:rFonts w:ascii="宋体" w:hAnsi="宋体" w:cs="黑体"/>
          <w:kern w:val="0"/>
          <w:sz w:val="32"/>
          <w:szCs w:val="32"/>
          <w:highlight w:val="none"/>
        </w:rPr>
      </w:pPr>
    </w:p>
    <w:p w14:paraId="2E842B46">
      <w:pPr>
        <w:pStyle w:val="87"/>
        <w:jc w:val="center"/>
        <w:rPr>
          <w:rFonts w:hint="eastAsia" w:ascii="宋体" w:hAnsi="宋体" w:cs="黑体"/>
          <w:kern w:val="0"/>
          <w:sz w:val="32"/>
          <w:szCs w:val="32"/>
          <w:highlight w:val="none"/>
        </w:rPr>
        <w:sectPr>
          <w:pgSz w:w="11907" w:h="16839"/>
          <w:pgMar w:top="1147" w:right="1738" w:bottom="1380" w:left="1742" w:header="826" w:footer="1180" w:gutter="0"/>
          <w:pgBorders>
            <w:top w:val="none" w:sz="0" w:space="0"/>
            <w:left w:val="none" w:sz="0" w:space="0"/>
            <w:bottom w:val="none" w:sz="0" w:space="0"/>
            <w:right w:val="none" w:sz="0" w:space="0"/>
          </w:pgBorders>
          <w:cols w:space="720" w:num="1"/>
        </w:sectPr>
      </w:pPr>
      <w:r>
        <w:rPr>
          <w:rFonts w:hint="eastAsia" w:ascii="宋体" w:hAnsi="宋体" w:cs="黑体"/>
          <w:kern w:val="0"/>
          <w:sz w:val="32"/>
          <w:szCs w:val="32"/>
          <w:highlight w:val="none"/>
        </w:rPr>
        <w:t>202</w:t>
      </w:r>
      <w:r>
        <w:rPr>
          <w:rFonts w:hint="eastAsia" w:ascii="宋体" w:hAnsi="宋体" w:cs="黑体"/>
          <w:kern w:val="0"/>
          <w:sz w:val="32"/>
          <w:szCs w:val="32"/>
          <w:highlight w:val="none"/>
          <w:lang w:val="en-US" w:eastAsia="zh-CN"/>
        </w:rPr>
        <w:t>6</w:t>
      </w:r>
      <w:r>
        <w:rPr>
          <w:rFonts w:hint="eastAsia" w:ascii="宋体" w:hAnsi="宋体" w:cs="黑体"/>
          <w:kern w:val="0"/>
          <w:sz w:val="32"/>
          <w:szCs w:val="32"/>
          <w:highlight w:val="none"/>
        </w:rPr>
        <w:t>年</w:t>
      </w:r>
      <w:r>
        <w:rPr>
          <w:rFonts w:hint="eastAsia" w:ascii="宋体" w:hAnsi="宋体" w:cs="黑体"/>
          <w:kern w:val="0"/>
          <w:sz w:val="32"/>
          <w:szCs w:val="32"/>
          <w:highlight w:val="none"/>
          <w:lang w:val="en-US" w:eastAsia="zh-CN"/>
        </w:rPr>
        <w:t>1</w:t>
      </w:r>
      <w:r>
        <w:rPr>
          <w:rFonts w:hint="eastAsia" w:ascii="宋体" w:hAnsi="宋体" w:cs="黑体"/>
          <w:kern w:val="0"/>
          <w:sz w:val="32"/>
          <w:szCs w:val="32"/>
          <w:highlight w:val="none"/>
        </w:rPr>
        <w:t>月</w:t>
      </w:r>
    </w:p>
    <w:p w14:paraId="03F22A74">
      <w:pPr>
        <w:pStyle w:val="87"/>
        <w:rPr>
          <w:rFonts w:hint="eastAsia" w:ascii="宋体" w:hAnsi="宋体" w:cs="黑体"/>
          <w:kern w:val="0"/>
          <w:sz w:val="32"/>
          <w:szCs w:val="32"/>
          <w:highlight w:val="none"/>
        </w:rPr>
      </w:pPr>
    </w:p>
    <w:p w14:paraId="0A0E0507">
      <w:pPr>
        <w:pStyle w:val="87"/>
        <w:rPr>
          <w:highlight w:val="none"/>
        </w:rPr>
      </w:pPr>
    </w:p>
    <w:p w14:paraId="768E4A60">
      <w:pPr>
        <w:pStyle w:val="52"/>
        <w:rPr>
          <w:rFonts w:ascii="宋体" w:hAnsi="宋体" w:cs="黑体"/>
          <w:szCs w:val="32"/>
          <w:highlight w:val="none"/>
        </w:rPr>
      </w:pPr>
      <w:r>
        <w:rPr>
          <w:rFonts w:ascii="宋体" w:hAnsi="宋体" w:cs="黑体"/>
          <w:sz w:val="32"/>
          <w:szCs w:val="32"/>
          <w:highlight w:val="none"/>
        </w:rPr>
        <w:fldChar w:fldCharType="begin"/>
      </w:r>
      <w:r>
        <w:rPr>
          <w:rFonts w:ascii="宋体" w:hAnsi="宋体" w:cs="黑体"/>
          <w:sz w:val="32"/>
          <w:szCs w:val="32"/>
          <w:highlight w:val="none"/>
        </w:rPr>
        <w:instrText xml:space="preserve"> </w:instrText>
      </w:r>
      <w:r>
        <w:rPr>
          <w:rFonts w:hint="eastAsia" w:ascii="宋体" w:hAnsi="宋体" w:cs="黑体"/>
          <w:sz w:val="32"/>
          <w:szCs w:val="32"/>
          <w:highlight w:val="none"/>
        </w:rPr>
        <w:instrText xml:space="preserve">TOC \o "1-1" \p " " \h \z \u</w:instrText>
      </w:r>
      <w:r>
        <w:rPr>
          <w:rFonts w:ascii="宋体" w:hAnsi="宋体" w:cs="黑体"/>
          <w:sz w:val="32"/>
          <w:szCs w:val="32"/>
          <w:highlight w:val="none"/>
        </w:rPr>
        <w:instrText xml:space="preserve"> </w:instrText>
      </w:r>
      <w:r>
        <w:rPr>
          <w:rFonts w:ascii="宋体" w:hAnsi="宋体" w:cs="黑体"/>
          <w:sz w:val="32"/>
          <w:szCs w:val="32"/>
          <w:highlight w:val="none"/>
        </w:rPr>
        <w:fldChar w:fldCharType="separate"/>
      </w:r>
      <w:r>
        <w:rPr>
          <w:rFonts w:ascii="宋体" w:hAnsi="宋体" w:cs="黑体"/>
          <w:szCs w:val="32"/>
          <w:highlight w:val="none"/>
        </w:rPr>
        <w:fldChar w:fldCharType="begin"/>
      </w:r>
      <w:r>
        <w:rPr>
          <w:rFonts w:ascii="宋体" w:hAnsi="宋体" w:cs="黑体"/>
          <w:szCs w:val="32"/>
          <w:highlight w:val="none"/>
        </w:rPr>
        <w:instrText xml:space="preserve"> HYPERLINK \l _Toc29775 </w:instrText>
      </w:r>
      <w:r>
        <w:rPr>
          <w:rFonts w:ascii="宋体" w:hAnsi="宋体" w:cs="黑体"/>
          <w:szCs w:val="32"/>
          <w:highlight w:val="none"/>
        </w:rPr>
        <w:fldChar w:fldCharType="separate"/>
      </w:r>
      <w:r>
        <w:rPr>
          <w:rFonts w:hint="eastAsia" w:ascii="宋体" w:hAnsi="宋体" w:cs="黑体"/>
          <w:kern w:val="0"/>
          <w:szCs w:val="32"/>
          <w:highlight w:val="none"/>
        </w:rPr>
        <w:t>目录</w:t>
      </w:r>
      <w:r>
        <w:rPr>
          <w:highlight w:val="none"/>
        </w:rPr>
        <w:t xml:space="preserve"> </w:t>
      </w:r>
      <w:r>
        <w:rPr>
          <w:rFonts w:ascii="宋体" w:hAnsi="宋体" w:cs="黑体"/>
          <w:szCs w:val="32"/>
          <w:highlight w:val="none"/>
        </w:rPr>
        <w:fldChar w:fldCharType="end"/>
      </w:r>
    </w:p>
    <w:p w14:paraId="237F646F">
      <w:pPr>
        <w:rPr>
          <w:highlight w:val="none"/>
        </w:rPr>
      </w:pPr>
    </w:p>
    <w:p w14:paraId="165F7219">
      <w:pPr>
        <w:pStyle w:val="52"/>
        <w:ind w:firstLine="1446" w:firstLineChars="400"/>
        <w:jc w:val="both"/>
        <w:rPr>
          <w:highlight w:val="none"/>
        </w:rPr>
      </w:pPr>
      <w:r>
        <w:rPr>
          <w:highlight w:val="none"/>
        </w:rPr>
        <w:fldChar w:fldCharType="begin"/>
      </w:r>
      <w:r>
        <w:rPr>
          <w:highlight w:val="none"/>
        </w:rPr>
        <w:instrText xml:space="preserve"> HYPERLINK \l _Toc23201 </w:instrText>
      </w:r>
      <w:r>
        <w:rPr>
          <w:highlight w:val="none"/>
        </w:rPr>
        <w:fldChar w:fldCharType="separate"/>
      </w:r>
      <w:r>
        <w:rPr>
          <w:rFonts w:hint="eastAsia" w:ascii="宋体" w:hAnsi="宋体" w:cs="黑体"/>
          <w:kern w:val="0"/>
          <w:szCs w:val="32"/>
          <w:highlight w:val="none"/>
        </w:rPr>
        <w:t>第一章 竞争性磋商采购公告</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_Toc23201 \h </w:instrText>
      </w:r>
      <w:r>
        <w:rPr>
          <w:highlight w:val="none"/>
        </w:rPr>
        <w:fldChar w:fldCharType="separate"/>
      </w:r>
      <w:r>
        <w:rPr>
          <w:highlight w:val="none"/>
        </w:rPr>
        <w:t>2</w:t>
      </w:r>
      <w:r>
        <w:rPr>
          <w:highlight w:val="none"/>
        </w:rPr>
        <w:fldChar w:fldCharType="end"/>
      </w:r>
      <w:r>
        <w:rPr>
          <w:highlight w:val="none"/>
        </w:rPr>
        <w:fldChar w:fldCharType="end"/>
      </w:r>
    </w:p>
    <w:p w14:paraId="638B702A">
      <w:pPr>
        <w:pStyle w:val="52"/>
        <w:ind w:firstLine="1446" w:firstLineChars="400"/>
        <w:jc w:val="both"/>
        <w:rPr>
          <w:highlight w:val="none"/>
        </w:rPr>
      </w:pPr>
      <w:r>
        <w:rPr>
          <w:highlight w:val="none"/>
        </w:rPr>
        <w:fldChar w:fldCharType="begin"/>
      </w:r>
      <w:r>
        <w:rPr>
          <w:highlight w:val="none"/>
        </w:rPr>
        <w:instrText xml:space="preserve"> HYPERLINK \l _Toc5519 </w:instrText>
      </w:r>
      <w:r>
        <w:rPr>
          <w:highlight w:val="none"/>
        </w:rPr>
        <w:fldChar w:fldCharType="separate"/>
      </w:r>
      <w:r>
        <w:rPr>
          <w:rFonts w:hint="eastAsia" w:ascii="宋体" w:hAnsi="宋体" w:cs="黑体"/>
          <w:kern w:val="0"/>
          <w:szCs w:val="32"/>
          <w:highlight w:val="none"/>
        </w:rPr>
        <w:t>第二章</w:t>
      </w:r>
      <w:r>
        <w:rPr>
          <w:rFonts w:ascii="宋体" w:hAnsi="宋体" w:cs="黑体"/>
          <w:kern w:val="0"/>
          <w:szCs w:val="32"/>
          <w:highlight w:val="none"/>
        </w:rPr>
        <w:t xml:space="preserve"> </w:t>
      </w:r>
      <w:r>
        <w:rPr>
          <w:rFonts w:hint="eastAsia" w:ascii="宋体" w:hAnsi="宋体" w:cs="黑体"/>
          <w:kern w:val="0"/>
          <w:szCs w:val="32"/>
          <w:highlight w:val="none"/>
        </w:rPr>
        <w:t>供应商须知</w:t>
      </w:r>
      <w:r>
        <w:rPr>
          <w:highlight w:val="none"/>
        </w:rPr>
        <w:t xml:space="preserve"> </w:t>
      </w:r>
      <w:r>
        <w:rPr>
          <w:rFonts w:hint="eastAsia"/>
          <w:highlight w:val="none"/>
          <w:lang w:val="en-US" w:eastAsia="zh-CN"/>
        </w:rPr>
        <w:t xml:space="preserve">                 5</w:t>
      </w:r>
      <w:r>
        <w:rPr>
          <w:highlight w:val="none"/>
        </w:rPr>
        <w:fldChar w:fldCharType="end"/>
      </w:r>
    </w:p>
    <w:p w14:paraId="46EE2A01">
      <w:pPr>
        <w:pStyle w:val="52"/>
        <w:ind w:firstLine="1446" w:firstLineChars="400"/>
        <w:jc w:val="both"/>
        <w:rPr>
          <w:highlight w:val="none"/>
        </w:rPr>
      </w:pPr>
      <w:r>
        <w:rPr>
          <w:highlight w:val="none"/>
        </w:rPr>
        <w:fldChar w:fldCharType="begin"/>
      </w:r>
      <w:r>
        <w:rPr>
          <w:highlight w:val="none"/>
        </w:rPr>
        <w:instrText xml:space="preserve"> HYPERLINK \l _Toc29092 </w:instrText>
      </w:r>
      <w:r>
        <w:rPr>
          <w:highlight w:val="none"/>
        </w:rPr>
        <w:fldChar w:fldCharType="separate"/>
      </w:r>
      <w:r>
        <w:rPr>
          <w:rFonts w:hint="eastAsia" w:ascii="宋体" w:hAnsi="宋体" w:eastAsia="宋体" w:cs="黑体"/>
          <w:kern w:val="0"/>
          <w:szCs w:val="32"/>
          <w:highlight w:val="none"/>
          <w:lang w:val="en-US" w:eastAsia="zh-CN" w:bidi="ar-SA"/>
        </w:rPr>
        <w:t>第三章 评审办法和标准</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_Toc29092 \h </w:instrText>
      </w:r>
      <w:r>
        <w:rPr>
          <w:highlight w:val="none"/>
        </w:rPr>
        <w:fldChar w:fldCharType="separate"/>
      </w:r>
      <w:r>
        <w:rPr>
          <w:highlight w:val="none"/>
        </w:rPr>
        <w:t>16</w:t>
      </w:r>
      <w:r>
        <w:rPr>
          <w:highlight w:val="none"/>
        </w:rPr>
        <w:fldChar w:fldCharType="end"/>
      </w:r>
      <w:r>
        <w:rPr>
          <w:highlight w:val="none"/>
        </w:rPr>
        <w:fldChar w:fldCharType="end"/>
      </w:r>
    </w:p>
    <w:p w14:paraId="678A4871">
      <w:pPr>
        <w:pStyle w:val="52"/>
        <w:ind w:firstLine="1446" w:firstLineChars="400"/>
        <w:jc w:val="both"/>
        <w:rPr>
          <w:highlight w:val="none"/>
        </w:rPr>
      </w:pPr>
      <w:r>
        <w:rPr>
          <w:highlight w:val="none"/>
        </w:rPr>
        <w:fldChar w:fldCharType="begin"/>
      </w:r>
      <w:r>
        <w:rPr>
          <w:highlight w:val="none"/>
        </w:rPr>
        <w:instrText xml:space="preserve"> HYPERLINK \l _Toc14221 </w:instrText>
      </w:r>
      <w:r>
        <w:rPr>
          <w:highlight w:val="none"/>
        </w:rPr>
        <w:fldChar w:fldCharType="separate"/>
      </w:r>
      <w:r>
        <w:rPr>
          <w:rFonts w:hint="eastAsia" w:ascii="宋体" w:hAnsi="宋体" w:eastAsia="宋体" w:cs="黑体"/>
          <w:kern w:val="0"/>
          <w:szCs w:val="32"/>
          <w:highlight w:val="none"/>
          <w:lang w:val="en-US" w:eastAsia="zh-CN" w:bidi="ar-SA"/>
        </w:rPr>
        <w:t>第四章 合同条款</w:t>
      </w:r>
      <w:r>
        <w:rPr>
          <w:rFonts w:hint="eastAsia" w:hAnsi="宋体" w:cs="黑体"/>
          <w:kern w:val="0"/>
          <w:szCs w:val="32"/>
          <w:highlight w:val="none"/>
          <w:lang w:val="en-US" w:eastAsia="zh-CN" w:bidi="ar-SA"/>
        </w:rPr>
        <w:t xml:space="preserve">及格式             </w:t>
      </w:r>
      <w:r>
        <w:rPr>
          <w:highlight w:val="none"/>
        </w:rPr>
        <w:t xml:space="preserve"> </w:t>
      </w:r>
      <w:r>
        <w:rPr>
          <w:highlight w:val="none"/>
        </w:rPr>
        <w:fldChar w:fldCharType="begin"/>
      </w:r>
      <w:r>
        <w:rPr>
          <w:highlight w:val="none"/>
        </w:rPr>
        <w:instrText xml:space="preserve"> PAGEREF _Toc14221 \h </w:instrText>
      </w:r>
      <w:r>
        <w:rPr>
          <w:highlight w:val="none"/>
        </w:rPr>
        <w:fldChar w:fldCharType="separate"/>
      </w:r>
      <w:r>
        <w:rPr>
          <w:highlight w:val="none"/>
        </w:rPr>
        <w:t>21</w:t>
      </w:r>
      <w:r>
        <w:rPr>
          <w:highlight w:val="none"/>
        </w:rPr>
        <w:fldChar w:fldCharType="end"/>
      </w:r>
      <w:r>
        <w:rPr>
          <w:highlight w:val="none"/>
        </w:rPr>
        <w:fldChar w:fldCharType="end"/>
      </w:r>
    </w:p>
    <w:p w14:paraId="761F0693">
      <w:pPr>
        <w:pStyle w:val="52"/>
        <w:ind w:firstLine="1446" w:firstLineChars="400"/>
        <w:jc w:val="both"/>
        <w:rPr>
          <w:highlight w:val="none"/>
        </w:rPr>
      </w:pPr>
      <w:r>
        <w:rPr>
          <w:highlight w:val="none"/>
        </w:rPr>
        <w:fldChar w:fldCharType="begin"/>
      </w:r>
      <w:r>
        <w:rPr>
          <w:highlight w:val="none"/>
        </w:rPr>
        <w:instrText xml:space="preserve"> HYPERLINK \l _Toc16337 </w:instrText>
      </w:r>
      <w:r>
        <w:rPr>
          <w:highlight w:val="none"/>
        </w:rPr>
        <w:fldChar w:fldCharType="separate"/>
      </w:r>
      <w:r>
        <w:rPr>
          <w:rFonts w:hint="eastAsia" w:ascii="宋体" w:hAnsi="宋体" w:cs="黑体"/>
          <w:kern w:val="0"/>
          <w:szCs w:val="32"/>
          <w:highlight w:val="none"/>
        </w:rPr>
        <w:t>第五章 采购需求</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_Toc16337 \h </w:instrText>
      </w:r>
      <w:r>
        <w:rPr>
          <w:highlight w:val="none"/>
        </w:rPr>
        <w:fldChar w:fldCharType="separate"/>
      </w:r>
      <w:r>
        <w:rPr>
          <w:highlight w:val="none"/>
        </w:rPr>
        <w:t>34</w:t>
      </w:r>
      <w:r>
        <w:rPr>
          <w:highlight w:val="none"/>
        </w:rPr>
        <w:fldChar w:fldCharType="end"/>
      </w:r>
      <w:r>
        <w:rPr>
          <w:highlight w:val="none"/>
        </w:rPr>
        <w:fldChar w:fldCharType="end"/>
      </w:r>
    </w:p>
    <w:p w14:paraId="7875A579">
      <w:pPr>
        <w:pStyle w:val="52"/>
        <w:ind w:firstLine="1446" w:firstLineChars="400"/>
        <w:jc w:val="both"/>
        <w:rPr>
          <w:highlight w:val="none"/>
        </w:rPr>
      </w:pPr>
      <w:r>
        <w:rPr>
          <w:highlight w:val="none"/>
        </w:rPr>
        <w:fldChar w:fldCharType="begin"/>
      </w:r>
      <w:r>
        <w:rPr>
          <w:highlight w:val="none"/>
        </w:rPr>
        <w:instrText xml:space="preserve"> HYPERLINK \l _Toc16841 </w:instrText>
      </w:r>
      <w:r>
        <w:rPr>
          <w:highlight w:val="none"/>
        </w:rPr>
        <w:fldChar w:fldCharType="separate"/>
      </w:r>
      <w:r>
        <w:rPr>
          <w:rFonts w:hint="eastAsia" w:ascii="宋体" w:hAnsi="宋体" w:cs="黑体"/>
          <w:kern w:val="0"/>
          <w:szCs w:val="32"/>
          <w:highlight w:val="none"/>
        </w:rPr>
        <w:t>第六章 响应文件格式</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_Toc16841 \h </w:instrText>
      </w:r>
      <w:r>
        <w:rPr>
          <w:highlight w:val="none"/>
        </w:rPr>
        <w:fldChar w:fldCharType="separate"/>
      </w:r>
      <w:r>
        <w:rPr>
          <w:highlight w:val="none"/>
        </w:rPr>
        <w:t>38</w:t>
      </w:r>
      <w:r>
        <w:rPr>
          <w:highlight w:val="none"/>
        </w:rPr>
        <w:fldChar w:fldCharType="end"/>
      </w:r>
      <w:r>
        <w:rPr>
          <w:highlight w:val="none"/>
        </w:rPr>
        <w:fldChar w:fldCharType="end"/>
      </w:r>
    </w:p>
    <w:p w14:paraId="58D2CCE1">
      <w:pPr>
        <w:pStyle w:val="181"/>
        <w:rPr>
          <w:highlight w:val="none"/>
        </w:rPr>
      </w:pPr>
      <w:r>
        <w:rPr>
          <w:highlight w:val="none"/>
        </w:rPr>
        <w:fldChar w:fldCharType="end"/>
      </w:r>
      <w:bookmarkEnd w:id="0"/>
      <w:bookmarkEnd w:id="1"/>
      <w:bookmarkEnd w:id="2"/>
      <w:bookmarkEnd w:id="3"/>
      <w:bookmarkEnd w:id="4"/>
    </w:p>
    <w:p w14:paraId="4D39021B">
      <w:pPr>
        <w:pStyle w:val="181"/>
        <w:rPr>
          <w:highlight w:val="none"/>
        </w:rPr>
      </w:pPr>
    </w:p>
    <w:p w14:paraId="5385051C">
      <w:pPr>
        <w:pStyle w:val="181"/>
        <w:rPr>
          <w:highlight w:val="none"/>
        </w:rPr>
      </w:pPr>
    </w:p>
    <w:p w14:paraId="64724E0B">
      <w:pPr>
        <w:pStyle w:val="181"/>
        <w:rPr>
          <w:highlight w:val="none"/>
        </w:rPr>
      </w:pPr>
    </w:p>
    <w:p w14:paraId="74F7781A">
      <w:pPr>
        <w:pStyle w:val="181"/>
        <w:rPr>
          <w:highlight w:val="none"/>
        </w:rPr>
      </w:pPr>
    </w:p>
    <w:p w14:paraId="0C9AB0B9">
      <w:pPr>
        <w:pStyle w:val="181"/>
        <w:rPr>
          <w:highlight w:val="none"/>
        </w:rPr>
      </w:pPr>
    </w:p>
    <w:p w14:paraId="5DCCF31D">
      <w:pPr>
        <w:pStyle w:val="181"/>
        <w:rPr>
          <w:highlight w:val="none"/>
        </w:rPr>
      </w:pPr>
    </w:p>
    <w:p w14:paraId="5E3E728C">
      <w:pPr>
        <w:pStyle w:val="181"/>
        <w:rPr>
          <w:highlight w:val="none"/>
        </w:rPr>
      </w:pPr>
    </w:p>
    <w:p w14:paraId="32C4C9A5">
      <w:pPr>
        <w:pStyle w:val="181"/>
        <w:rPr>
          <w:highlight w:val="none"/>
        </w:rPr>
      </w:pPr>
    </w:p>
    <w:p w14:paraId="18D1FCF0">
      <w:pPr>
        <w:pStyle w:val="181"/>
        <w:rPr>
          <w:highlight w:val="none"/>
        </w:rPr>
      </w:pPr>
    </w:p>
    <w:p w14:paraId="1815876D">
      <w:pPr>
        <w:pStyle w:val="181"/>
        <w:rPr>
          <w:highlight w:val="none"/>
        </w:rPr>
      </w:pPr>
    </w:p>
    <w:p w14:paraId="6D558D10">
      <w:pPr>
        <w:pStyle w:val="181"/>
        <w:rPr>
          <w:highlight w:val="none"/>
        </w:rPr>
      </w:pPr>
    </w:p>
    <w:p w14:paraId="398F7970">
      <w:pPr>
        <w:pStyle w:val="181"/>
        <w:rPr>
          <w:highlight w:val="none"/>
        </w:rPr>
      </w:pPr>
    </w:p>
    <w:p w14:paraId="5C5F8E65">
      <w:pPr>
        <w:pStyle w:val="181"/>
        <w:rPr>
          <w:highlight w:val="none"/>
        </w:rPr>
      </w:pPr>
    </w:p>
    <w:p w14:paraId="5F6D017F">
      <w:pPr>
        <w:pStyle w:val="181"/>
        <w:rPr>
          <w:highlight w:val="none"/>
        </w:rPr>
      </w:pPr>
    </w:p>
    <w:p w14:paraId="6F97EE9B">
      <w:pPr>
        <w:pStyle w:val="181"/>
        <w:rPr>
          <w:highlight w:val="none"/>
        </w:rPr>
      </w:pPr>
    </w:p>
    <w:p w14:paraId="3DB4D0EB">
      <w:pPr>
        <w:pStyle w:val="181"/>
        <w:rPr>
          <w:highlight w:val="none"/>
        </w:rPr>
      </w:pPr>
    </w:p>
    <w:p w14:paraId="71AB2F92">
      <w:pPr>
        <w:pStyle w:val="181"/>
        <w:rPr>
          <w:highlight w:val="none"/>
        </w:rPr>
      </w:pPr>
    </w:p>
    <w:p w14:paraId="3EC2249A">
      <w:pPr>
        <w:pStyle w:val="181"/>
        <w:rPr>
          <w:highlight w:val="none"/>
        </w:rPr>
      </w:pPr>
    </w:p>
    <w:p w14:paraId="60D3E281">
      <w:pPr>
        <w:pStyle w:val="181"/>
        <w:tabs>
          <w:tab w:val="left" w:pos="2504"/>
          <w:tab w:val="clear" w:pos="720"/>
        </w:tabs>
        <w:rPr>
          <w:rFonts w:hint="eastAsia" w:eastAsia="宋体"/>
          <w:highlight w:val="none"/>
          <w:lang w:eastAsia="zh-CN"/>
        </w:rPr>
      </w:pPr>
      <w:r>
        <w:rPr>
          <w:rFonts w:hint="eastAsia"/>
          <w:highlight w:val="none"/>
          <w:lang w:eastAsia="zh-CN"/>
        </w:rPr>
        <w:tab/>
      </w:r>
    </w:p>
    <w:p w14:paraId="22090414">
      <w:pPr>
        <w:autoSpaceDE w:val="0"/>
        <w:autoSpaceDN w:val="0"/>
        <w:adjustRightInd w:val="0"/>
        <w:snapToGrid w:val="0"/>
        <w:spacing w:after="156" w:afterLines="50"/>
        <w:jc w:val="center"/>
        <w:outlineLvl w:val="0"/>
        <w:rPr>
          <w:rFonts w:hint="eastAsia" w:ascii="宋体" w:hAnsi="宋体" w:eastAsia="宋体" w:cs="黑体"/>
          <w:b/>
          <w:bCs/>
          <w:kern w:val="0"/>
          <w:sz w:val="32"/>
          <w:szCs w:val="32"/>
          <w:highlight w:val="none"/>
          <w:lang w:eastAsia="zh-CN"/>
        </w:rPr>
      </w:pPr>
      <w:bookmarkStart w:id="6" w:name="_Toc23201"/>
      <w:r>
        <w:rPr>
          <w:rFonts w:hint="eastAsia" w:ascii="宋体" w:hAnsi="宋体" w:cs="黑体"/>
          <w:b/>
          <w:bCs/>
          <w:kern w:val="0"/>
          <w:sz w:val="32"/>
          <w:szCs w:val="32"/>
          <w:highlight w:val="none"/>
        </w:rPr>
        <w:t>第一章  竞争性</w:t>
      </w:r>
      <w:r>
        <w:rPr>
          <w:rFonts w:hint="eastAsia" w:ascii="宋体" w:hAnsi="宋体" w:cs="黑体"/>
          <w:b/>
          <w:bCs/>
          <w:kern w:val="0"/>
          <w:sz w:val="32"/>
          <w:szCs w:val="32"/>
          <w:highlight w:val="none"/>
          <w:lang w:eastAsia="zh-CN"/>
        </w:rPr>
        <w:t>磋商</w:t>
      </w:r>
      <w:bookmarkEnd w:id="6"/>
      <w:r>
        <w:rPr>
          <w:rFonts w:hint="eastAsia" w:ascii="宋体" w:hAnsi="宋体" w:cs="黑体"/>
          <w:b/>
          <w:bCs/>
          <w:kern w:val="0"/>
          <w:sz w:val="32"/>
          <w:szCs w:val="32"/>
          <w:highlight w:val="none"/>
          <w:lang w:val="en-US" w:eastAsia="zh-CN"/>
        </w:rPr>
        <w:t>采购公告</w:t>
      </w:r>
    </w:p>
    <w:p w14:paraId="69460712">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ascii="宋体" w:hAnsi="宋体" w:cs="黑体"/>
          <w:kern w:val="0"/>
          <w:sz w:val="24"/>
          <w:highlight w:val="none"/>
        </w:rPr>
      </w:pPr>
      <w:r>
        <w:rPr>
          <w:rFonts w:hint="eastAsia" w:ascii="宋体" w:hAnsi="宋体" w:cs="黑体"/>
          <w:kern w:val="0"/>
          <w:sz w:val="24"/>
          <w:highlight w:val="none"/>
        </w:rPr>
        <w:t>受</w:t>
      </w:r>
      <w:r>
        <w:rPr>
          <w:rFonts w:hint="eastAsia" w:ascii="宋体" w:hAnsi="宋体" w:cs="黑体"/>
          <w:kern w:val="0"/>
          <w:sz w:val="24"/>
          <w:highlight w:val="none"/>
          <w:lang w:eastAsia="zh-CN"/>
        </w:rPr>
        <w:t>六安市叶集区人民医院</w:t>
      </w:r>
      <w:r>
        <w:rPr>
          <w:rFonts w:hint="eastAsia" w:ascii="宋体" w:hAnsi="宋体" w:cs="黑体"/>
          <w:kern w:val="0"/>
          <w:sz w:val="24"/>
          <w:highlight w:val="none"/>
        </w:rPr>
        <w:t>委托，六安弘跃商务代理有限公司对</w:t>
      </w:r>
      <w:r>
        <w:rPr>
          <w:rFonts w:hint="eastAsia" w:ascii="宋体" w:hAnsi="宋体" w:cs="黑体"/>
          <w:kern w:val="0"/>
          <w:sz w:val="24"/>
          <w:highlight w:val="none"/>
          <w:lang w:eastAsia="zh-CN"/>
        </w:rPr>
        <w:t>六安市叶集区人民医院被服等租赁洗涤服务项目</w:t>
      </w:r>
      <w:r>
        <w:rPr>
          <w:rFonts w:hint="eastAsia" w:ascii="宋体" w:hAnsi="宋体" w:cs="黑体"/>
          <w:kern w:val="0"/>
          <w:sz w:val="24"/>
          <w:highlight w:val="none"/>
        </w:rPr>
        <w:t>（项目编号：</w:t>
      </w:r>
      <w:r>
        <w:rPr>
          <w:rFonts w:hint="eastAsia" w:ascii="宋体" w:hAnsi="宋体" w:cs="黑体"/>
          <w:kern w:val="0"/>
          <w:sz w:val="24"/>
          <w:highlight w:val="none"/>
          <w:lang w:eastAsia="zh-CN"/>
        </w:rPr>
        <w:t>HY-ZB-202</w:t>
      </w:r>
      <w:r>
        <w:rPr>
          <w:rFonts w:hint="eastAsia" w:ascii="宋体" w:hAnsi="宋体" w:cs="黑体"/>
          <w:kern w:val="0"/>
          <w:sz w:val="24"/>
          <w:highlight w:val="none"/>
          <w:lang w:val="en-US" w:eastAsia="zh-CN"/>
        </w:rPr>
        <w:t>6</w:t>
      </w:r>
      <w:r>
        <w:rPr>
          <w:rFonts w:hint="eastAsia" w:ascii="宋体" w:hAnsi="宋体" w:cs="黑体"/>
          <w:kern w:val="0"/>
          <w:sz w:val="24"/>
          <w:highlight w:val="none"/>
          <w:lang w:eastAsia="zh-CN"/>
        </w:rPr>
        <w:t>0</w:t>
      </w:r>
      <w:r>
        <w:rPr>
          <w:rFonts w:hint="eastAsia" w:ascii="宋体" w:hAnsi="宋体" w:cs="黑体"/>
          <w:kern w:val="0"/>
          <w:sz w:val="24"/>
          <w:highlight w:val="none"/>
          <w:lang w:val="en-US" w:eastAsia="zh-CN"/>
        </w:rPr>
        <w:t>04</w:t>
      </w:r>
      <w:r>
        <w:rPr>
          <w:rFonts w:hint="eastAsia" w:ascii="宋体" w:hAnsi="宋体" w:cs="黑体"/>
          <w:kern w:val="0"/>
          <w:sz w:val="24"/>
          <w:highlight w:val="none"/>
        </w:rPr>
        <w:t>）以竞争性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采购方式组织采购，</w:t>
      </w:r>
      <w:r>
        <w:rPr>
          <w:rFonts w:hint="eastAsia" w:ascii="宋体" w:hAnsi="宋体" w:cs="黑体"/>
          <w:kern w:val="0"/>
          <w:sz w:val="24"/>
          <w:highlight w:val="none"/>
          <w:lang w:val="en-US" w:eastAsia="zh-CN"/>
        </w:rPr>
        <w:t>请</w:t>
      </w:r>
      <w:r>
        <w:rPr>
          <w:rFonts w:hint="eastAsia" w:ascii="宋体" w:hAnsi="宋体" w:cs="黑体"/>
          <w:kern w:val="0"/>
          <w:sz w:val="24"/>
          <w:highlight w:val="none"/>
        </w:rPr>
        <w:t>潜在供应商自行从六安市叶集区人民医院官网下载，并于202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2</w:t>
      </w:r>
      <w:r>
        <w:rPr>
          <w:rFonts w:hint="eastAsia" w:ascii="宋体" w:hAnsi="宋体" w:cs="黑体"/>
          <w:kern w:val="0"/>
          <w:sz w:val="24"/>
          <w:highlight w:val="none"/>
        </w:rPr>
        <w:t>月</w:t>
      </w:r>
      <w:r>
        <w:rPr>
          <w:rFonts w:hint="eastAsia" w:ascii="宋体" w:hAnsi="宋体" w:cs="黑体"/>
          <w:kern w:val="0"/>
          <w:sz w:val="24"/>
          <w:highlight w:val="none"/>
          <w:lang w:val="en-US" w:eastAsia="zh-CN"/>
        </w:rPr>
        <w:t>6</w:t>
      </w:r>
      <w:r>
        <w:rPr>
          <w:rFonts w:hint="eastAsia" w:ascii="宋体" w:hAnsi="宋体" w:cs="黑体"/>
          <w:kern w:val="0"/>
          <w:sz w:val="24"/>
          <w:highlight w:val="none"/>
        </w:rPr>
        <w:t>日10点00分（北京时间）前提交响应文件。</w:t>
      </w:r>
    </w:p>
    <w:p w14:paraId="4E009063">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240" w:lineRule="auto"/>
        <w:ind w:left="709" w:hanging="709"/>
        <w:textAlignment w:val="auto"/>
        <w:rPr>
          <w:rFonts w:hint="eastAsia" w:ascii="宋体" w:hAnsi="宋体" w:eastAsia="宋体" w:cs="宋体"/>
          <w:kern w:val="0"/>
          <w:sz w:val="24"/>
          <w:highlight w:val="none"/>
        </w:rPr>
      </w:pPr>
      <w:r>
        <w:rPr>
          <w:rFonts w:hint="eastAsia" w:ascii="宋体" w:hAnsi="宋体" w:cs="黑体"/>
          <w:kern w:val="0"/>
          <w:sz w:val="24"/>
          <w:highlight w:val="none"/>
        </w:rPr>
        <w:t>采购项目的名</w:t>
      </w:r>
      <w:r>
        <w:rPr>
          <w:rFonts w:hint="eastAsia" w:ascii="宋体" w:hAnsi="宋体" w:eastAsia="宋体" w:cs="宋体"/>
          <w:kern w:val="0"/>
          <w:sz w:val="24"/>
          <w:highlight w:val="none"/>
        </w:rPr>
        <w:t>称、预算金额及最高限价</w:t>
      </w:r>
    </w:p>
    <w:p w14:paraId="28A58DF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采购项目名称：</w:t>
      </w:r>
      <w:r>
        <w:rPr>
          <w:rFonts w:hint="eastAsia" w:ascii="宋体" w:hAnsi="宋体" w:eastAsia="宋体" w:cs="宋体"/>
          <w:sz w:val="24"/>
          <w:highlight w:val="none"/>
          <w:lang w:eastAsia="zh-CN"/>
        </w:rPr>
        <w:t>六安市叶集区人民医院被服等租赁洗涤服务项目</w:t>
      </w:r>
    </w:p>
    <w:p w14:paraId="26D80D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HY-ZB-202</w:t>
      </w:r>
      <w:r>
        <w:rPr>
          <w:rFonts w:hint="eastAsia" w:ascii="宋体" w:hAnsi="宋体" w:cs="宋体"/>
          <w:sz w:val="24"/>
          <w:highlight w:val="none"/>
          <w:lang w:val="en-US" w:eastAsia="zh-CN"/>
        </w:rPr>
        <w:t>6</w:t>
      </w:r>
      <w:r>
        <w:rPr>
          <w:rFonts w:hint="eastAsia" w:ascii="宋体" w:hAnsi="宋体" w:cs="宋体"/>
          <w:sz w:val="24"/>
          <w:highlight w:val="none"/>
          <w:lang w:eastAsia="zh-CN"/>
        </w:rPr>
        <w:t>0</w:t>
      </w:r>
      <w:r>
        <w:rPr>
          <w:rFonts w:hint="eastAsia" w:ascii="宋体" w:hAnsi="宋体" w:cs="宋体"/>
          <w:sz w:val="24"/>
          <w:highlight w:val="none"/>
          <w:lang w:val="en-US" w:eastAsia="zh-CN"/>
        </w:rPr>
        <w:t>04</w:t>
      </w:r>
    </w:p>
    <w:p w14:paraId="40E849D6">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预算金额：</w:t>
      </w:r>
      <w:r>
        <w:rPr>
          <w:rFonts w:hint="eastAsia" w:ascii="宋体" w:hAnsi="宋体" w:eastAsia="宋体" w:cs="宋体"/>
          <w:sz w:val="24"/>
          <w:highlight w:val="none"/>
          <w:lang w:val="en-US" w:eastAsia="zh-CN"/>
        </w:rPr>
        <w:t>479610.00元/年（三年合计1438830.00元）</w:t>
      </w:r>
    </w:p>
    <w:p w14:paraId="67919761">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kern w:val="0"/>
          <w:sz w:val="24"/>
          <w:highlight w:val="none"/>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单价不高于3.60元/床位日，总价不高于479610.00元/年（三年合计1438830.00元）</w:t>
      </w:r>
    </w:p>
    <w:p w14:paraId="5F2D2401">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709" w:hanging="709"/>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p w14:paraId="5D3AA73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firstLine="720" w:firstLineChars="300"/>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标段（包别）划分：</w:t>
      </w:r>
      <w:r>
        <w:rPr>
          <w:rFonts w:hint="eastAsia" w:ascii="宋体" w:hAnsi="宋体" w:cs="宋体"/>
          <w:kern w:val="0"/>
          <w:sz w:val="24"/>
          <w:highlight w:val="none"/>
          <w:lang w:val="en-US" w:eastAsia="zh-CN"/>
        </w:rPr>
        <w:t>一</w:t>
      </w:r>
      <w:r>
        <w:rPr>
          <w:rFonts w:hint="eastAsia" w:ascii="宋体" w:hAnsi="宋体" w:eastAsia="宋体" w:cs="宋体"/>
          <w:kern w:val="0"/>
          <w:sz w:val="24"/>
          <w:highlight w:val="none"/>
        </w:rPr>
        <w:t>个标段</w:t>
      </w:r>
    </w:p>
    <w:p w14:paraId="427517EC">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239" w:leftChars="114"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服务期：</w:t>
      </w:r>
      <w:r>
        <w:rPr>
          <w:rFonts w:hint="eastAsia" w:ascii="宋体" w:hAnsi="宋体" w:cs="宋体"/>
          <w:kern w:val="0"/>
          <w:sz w:val="24"/>
          <w:highlight w:val="none"/>
          <w:lang w:val="en-US" w:eastAsia="zh-CN"/>
        </w:rPr>
        <w:t>本项目服务期限暂定为三年，服务合同一年一签一考核（招标人根据考核情况【季度】，考核合格续签下一年度合同，否则不予续签）。</w:t>
      </w:r>
    </w:p>
    <w:p w14:paraId="649CC0DB">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708" w:leftChars="337"/>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服务地点：</w:t>
      </w:r>
      <w:r>
        <w:rPr>
          <w:rFonts w:hint="eastAsia" w:ascii="宋体" w:hAnsi="宋体" w:eastAsia="宋体" w:cs="宋体"/>
          <w:sz w:val="24"/>
          <w:highlight w:val="none"/>
          <w:lang w:eastAsia="zh-CN"/>
        </w:rPr>
        <w:t>六安市叶集区人民医院</w:t>
      </w:r>
    </w:p>
    <w:p w14:paraId="0B14A3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239" w:leftChars="114"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供应商必须对</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文件要求的服务内所有服务进行响应，否则作为无效响应文件处理。</w:t>
      </w:r>
    </w:p>
    <w:p w14:paraId="50B4A28D">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lang w:val="en-US" w:eastAsia="zh-CN"/>
        </w:rPr>
      </w:pPr>
      <w:r>
        <w:rPr>
          <w:rFonts w:hint="eastAsia" w:ascii="宋体" w:hAnsi="宋体" w:eastAsia="宋体" w:cs="黑体"/>
          <w:kern w:val="0"/>
          <w:sz w:val="24"/>
          <w:highlight w:val="none"/>
          <w:lang w:val="en-US" w:eastAsia="zh-CN"/>
        </w:rPr>
        <w:t>项目内容：主要为六安市叶集区人民医院被服等租赁洗涤服务，具体内容详见采购需求。</w:t>
      </w:r>
    </w:p>
    <w:p w14:paraId="1B96ADAC">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rPr>
      </w:pPr>
      <w:r>
        <w:rPr>
          <w:rFonts w:hint="eastAsia" w:ascii="宋体" w:hAnsi="宋体" w:eastAsia="宋体" w:cs="黑体"/>
          <w:kern w:val="0"/>
          <w:sz w:val="24"/>
          <w:highlight w:val="none"/>
          <w:lang w:val="en-US" w:eastAsia="zh-CN"/>
        </w:rPr>
        <w:t xml:space="preserve"> </w:t>
      </w:r>
      <w:r>
        <w:rPr>
          <w:rFonts w:hint="eastAsia" w:ascii="宋体" w:hAnsi="宋体" w:eastAsia="宋体" w:cs="黑体"/>
          <w:kern w:val="0"/>
          <w:sz w:val="24"/>
          <w:highlight w:val="none"/>
        </w:rPr>
        <w:t>供应商资格要求</w:t>
      </w:r>
    </w:p>
    <w:p w14:paraId="6B2622D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1、符合《中华人民共和国政府采购法》第二十二条规定；</w:t>
      </w:r>
    </w:p>
    <w:p w14:paraId="353BFD11">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2、具有独立法人资格，并具有有效的营业执照；</w:t>
      </w:r>
    </w:p>
    <w:p w14:paraId="705A0853">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3、供应商在投标时存在以下不良信用记录情形之一的，不得推荐为中标候选供应商，不得确定为成交供应商：</w:t>
      </w:r>
    </w:p>
    <w:p w14:paraId="6C75C4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(1）供应商被人民法院列入失信被执行人的；</w:t>
      </w:r>
    </w:p>
    <w:p w14:paraId="3C62992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(2）供应商被市场监督管理部门列入企业经营异常名录的；</w:t>
      </w:r>
    </w:p>
    <w:p w14:paraId="7BD54D5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(3）供应商被税务部门列入重大税收违法案件当事人名单的；</w:t>
      </w:r>
    </w:p>
    <w:p w14:paraId="78C5A4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(4）供应商被政府采购监管部门列入政府采购严重违法失信行为记录名单的。</w:t>
      </w:r>
    </w:p>
    <w:p w14:paraId="518B0C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4、单位负责人为同一人或者存在控股、管理关系的不同单位，不得同时参加本项目的磋商。</w:t>
      </w:r>
    </w:p>
    <w:p w14:paraId="71DACEF4">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5、本项目的特定资格要求：/</w:t>
      </w:r>
    </w:p>
    <w:p w14:paraId="07330CD9">
      <w:pPr>
        <w:pStyle w:val="2"/>
        <w:ind w:left="0" w:leftChars="0" w:firstLine="720" w:firstLineChars="300"/>
        <w:rPr>
          <w:rFonts w:hint="eastAsia" w:eastAsia="宋体"/>
          <w:highlight w:val="none"/>
          <w:lang w:val="en-US" w:eastAsia="zh-CN"/>
        </w:rPr>
      </w:pPr>
      <w:r>
        <w:rPr>
          <w:rFonts w:hint="eastAsia" w:cs="宋体"/>
          <w:kern w:val="0"/>
          <w:sz w:val="24"/>
          <w:highlight w:val="none"/>
          <w:lang w:val="en-US" w:eastAsia="zh-CN"/>
        </w:rPr>
        <w:t>6、本项目不接受联合体。</w:t>
      </w:r>
    </w:p>
    <w:p w14:paraId="267D7A0B">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textAlignment w:val="auto"/>
        <w:rPr>
          <w:rFonts w:ascii="宋体" w:hAnsi="宋体" w:cs="黑体"/>
          <w:kern w:val="0"/>
          <w:sz w:val="24"/>
          <w:highlight w:val="none"/>
        </w:rPr>
      </w:pPr>
      <w:r>
        <w:rPr>
          <w:rFonts w:hint="eastAsia" w:ascii="宋体" w:hAnsi="宋体" w:cs="黑体"/>
          <w:kern w:val="0"/>
          <w:sz w:val="24"/>
          <w:highlight w:val="none"/>
          <w:lang w:val="en-US" w:eastAsia="zh-CN"/>
        </w:rPr>
        <w:t>六、</w:t>
      </w:r>
      <w:r>
        <w:rPr>
          <w:rFonts w:hint="eastAsia" w:ascii="宋体" w:hAnsi="宋体" w:cs="黑体"/>
          <w:kern w:val="0"/>
          <w:sz w:val="24"/>
          <w:highlight w:val="none"/>
        </w:rPr>
        <w:t>获取</w:t>
      </w:r>
      <w:r>
        <w:rPr>
          <w:rFonts w:hint="eastAsia" w:ascii="宋体" w:hAnsi="宋体" w:cs="黑体"/>
          <w:kern w:val="0"/>
          <w:sz w:val="24"/>
          <w:highlight w:val="none"/>
          <w:lang w:eastAsia="zh-CN"/>
        </w:rPr>
        <w:t>磋商</w:t>
      </w:r>
      <w:r>
        <w:rPr>
          <w:rFonts w:hint="eastAsia" w:ascii="宋体" w:hAnsi="宋体" w:cs="黑体"/>
          <w:kern w:val="0"/>
          <w:sz w:val="24"/>
          <w:highlight w:val="none"/>
        </w:rPr>
        <w:t>文件的时间期限、地点、方式及售价</w:t>
      </w:r>
    </w:p>
    <w:p w14:paraId="45E335FE">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eastAsia="宋体" w:cs="黑体"/>
          <w:kern w:val="0"/>
          <w:sz w:val="24"/>
          <w:highlight w:val="none"/>
          <w:lang w:val="en-US" w:eastAsia="zh-CN"/>
        </w:rPr>
      </w:pPr>
      <w:r>
        <w:rPr>
          <w:rFonts w:hint="eastAsia" w:ascii="宋体" w:hAnsi="宋体" w:cs="黑体"/>
          <w:kern w:val="0"/>
          <w:sz w:val="24"/>
          <w:highlight w:val="none"/>
        </w:rPr>
        <w:t>1、时间：202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1</w:t>
      </w:r>
      <w:r>
        <w:rPr>
          <w:rFonts w:hint="eastAsia" w:ascii="宋体" w:hAnsi="宋体" w:cs="黑体"/>
          <w:kern w:val="0"/>
          <w:sz w:val="24"/>
          <w:highlight w:val="none"/>
        </w:rPr>
        <w:t>月</w:t>
      </w:r>
      <w:r>
        <w:rPr>
          <w:rFonts w:hint="eastAsia" w:ascii="宋体" w:hAnsi="宋体" w:cs="黑体"/>
          <w:kern w:val="0"/>
          <w:sz w:val="24"/>
          <w:highlight w:val="none"/>
          <w:lang w:val="en-US" w:eastAsia="zh-CN"/>
        </w:rPr>
        <w:t>27</w:t>
      </w:r>
      <w:r>
        <w:rPr>
          <w:rFonts w:hint="eastAsia" w:ascii="宋体" w:hAnsi="宋体" w:cs="黑体"/>
          <w:kern w:val="0"/>
          <w:sz w:val="24"/>
          <w:highlight w:val="none"/>
        </w:rPr>
        <w:t>日至202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2</w:t>
      </w:r>
      <w:r>
        <w:rPr>
          <w:rFonts w:hint="eastAsia" w:ascii="宋体" w:hAnsi="宋体" w:cs="黑体"/>
          <w:kern w:val="0"/>
          <w:sz w:val="24"/>
          <w:highlight w:val="none"/>
        </w:rPr>
        <w:t>月</w:t>
      </w:r>
      <w:r>
        <w:rPr>
          <w:rFonts w:hint="eastAsia" w:ascii="宋体" w:hAnsi="宋体" w:cs="黑体"/>
          <w:kern w:val="0"/>
          <w:sz w:val="24"/>
          <w:highlight w:val="none"/>
          <w:lang w:val="en-US" w:eastAsia="zh-CN"/>
        </w:rPr>
        <w:t>6</w:t>
      </w:r>
      <w:r>
        <w:rPr>
          <w:rFonts w:hint="eastAsia" w:ascii="宋体" w:hAnsi="宋体" w:cs="黑体"/>
          <w:kern w:val="0"/>
          <w:sz w:val="24"/>
          <w:highlight w:val="none"/>
        </w:rPr>
        <w:t>日</w:t>
      </w:r>
      <w:r>
        <w:rPr>
          <w:rFonts w:hint="eastAsia" w:ascii="宋体" w:hAnsi="宋体" w:cs="黑体"/>
          <w:kern w:val="0"/>
          <w:sz w:val="24"/>
          <w:highlight w:val="none"/>
          <w:lang w:val="en-US" w:eastAsia="zh-CN"/>
        </w:rPr>
        <w:t>10时00分前</w:t>
      </w:r>
      <w:r>
        <w:rPr>
          <w:rFonts w:hint="eastAsia" w:ascii="宋体" w:hAnsi="宋体" w:cs="黑体"/>
          <w:kern w:val="0"/>
          <w:sz w:val="24"/>
          <w:highlight w:val="none"/>
        </w:rPr>
        <w:t>（自公告发布之日起至开标时间前）</w:t>
      </w:r>
    </w:p>
    <w:p w14:paraId="40AB25AA">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lang w:val="en-US" w:eastAsia="zh-CN"/>
        </w:rPr>
        <w:t>2</w:t>
      </w:r>
      <w:r>
        <w:rPr>
          <w:rFonts w:hint="eastAsia" w:ascii="宋体" w:hAnsi="宋体" w:cs="黑体"/>
          <w:kern w:val="0"/>
          <w:sz w:val="24"/>
          <w:highlight w:val="none"/>
        </w:rPr>
        <w:t>、方式：六安市叶集区人民医院官网，由供应商自行从公告发布网站下载。</w:t>
      </w:r>
    </w:p>
    <w:p w14:paraId="07B05506">
      <w:pPr>
        <w:pStyle w:val="2"/>
        <w:ind w:left="0" w:leftChars="0" w:firstLine="0" w:firstLineChars="0"/>
        <w:rPr>
          <w:rFonts w:hint="default" w:eastAsia="宋体"/>
          <w:highlight w:val="none"/>
          <w:lang w:val="en-US" w:eastAsia="zh-CN"/>
        </w:rPr>
      </w:pPr>
      <w:r>
        <w:rPr>
          <w:rFonts w:hint="eastAsia" w:cs="黑体"/>
          <w:kern w:val="0"/>
          <w:sz w:val="24"/>
          <w:highlight w:val="none"/>
          <w:lang w:val="en-US" w:eastAsia="zh-CN"/>
        </w:rPr>
        <w:t xml:space="preserve">    3、磋商文件价格：0元整</w:t>
      </w:r>
    </w:p>
    <w:p w14:paraId="64038917">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textAlignment w:val="auto"/>
        <w:rPr>
          <w:rFonts w:ascii="宋体" w:hAnsi="宋体" w:cs="黑体"/>
          <w:kern w:val="0"/>
          <w:sz w:val="24"/>
          <w:highlight w:val="none"/>
        </w:rPr>
      </w:pPr>
      <w:r>
        <w:rPr>
          <w:rFonts w:hint="eastAsia" w:ascii="宋体" w:hAnsi="宋体" w:cs="黑体"/>
          <w:kern w:val="0"/>
          <w:sz w:val="24"/>
          <w:highlight w:val="none"/>
          <w:lang w:val="en-US" w:eastAsia="zh-CN"/>
        </w:rPr>
        <w:t>七、</w:t>
      </w:r>
      <w:r>
        <w:rPr>
          <w:rFonts w:hint="eastAsia" w:ascii="宋体" w:hAnsi="宋体" w:cs="黑体"/>
          <w:kern w:val="0"/>
          <w:sz w:val="24"/>
          <w:highlight w:val="none"/>
        </w:rPr>
        <w:t>响应文件首次递交截止时间、</w:t>
      </w:r>
      <w:r>
        <w:rPr>
          <w:rFonts w:hint="eastAsia" w:ascii="宋体" w:hAnsi="宋体" w:cs="黑体"/>
          <w:kern w:val="0"/>
          <w:sz w:val="24"/>
          <w:highlight w:val="none"/>
          <w:lang w:eastAsia="zh-CN"/>
        </w:rPr>
        <w:t>磋商</w:t>
      </w:r>
      <w:r>
        <w:rPr>
          <w:rFonts w:hint="eastAsia" w:ascii="宋体" w:hAnsi="宋体" w:cs="黑体"/>
          <w:kern w:val="0"/>
          <w:sz w:val="24"/>
          <w:highlight w:val="none"/>
        </w:rPr>
        <w:t>时间及地点</w:t>
      </w:r>
    </w:p>
    <w:p w14:paraId="32C42E04">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ascii="宋体" w:hAnsi="宋体" w:cs="黑体"/>
          <w:kern w:val="0"/>
          <w:sz w:val="24"/>
          <w:highlight w:val="none"/>
          <w:lang w:val="en-US" w:eastAsia="zh-CN"/>
        </w:rPr>
        <w:t>1、</w:t>
      </w:r>
      <w:r>
        <w:rPr>
          <w:rFonts w:hint="eastAsia" w:ascii="宋体" w:hAnsi="宋体" w:cs="黑体"/>
          <w:kern w:val="0"/>
          <w:sz w:val="24"/>
          <w:highlight w:val="none"/>
        </w:rPr>
        <w:t>响应文件首次递交</w:t>
      </w:r>
      <w:r>
        <w:rPr>
          <w:rFonts w:hint="eastAsia"/>
          <w:sz w:val="24"/>
          <w:highlight w:val="none"/>
        </w:rPr>
        <w:t>截止时间：</w:t>
      </w:r>
      <w:r>
        <w:rPr>
          <w:rFonts w:hint="eastAsia"/>
          <w:sz w:val="24"/>
          <w:highlight w:val="none"/>
          <w:lang w:val="en-US" w:eastAsia="zh-CN"/>
        </w:rPr>
        <w:t>2026</w:t>
      </w:r>
      <w:r>
        <w:rPr>
          <w:rFonts w:hint="eastAsia"/>
          <w:sz w:val="24"/>
          <w:highlight w:val="none"/>
        </w:rPr>
        <w:t>年</w:t>
      </w:r>
      <w:r>
        <w:rPr>
          <w:rFonts w:hint="eastAsia"/>
          <w:sz w:val="24"/>
          <w:highlight w:val="none"/>
          <w:lang w:val="en-US" w:eastAsia="zh-CN"/>
        </w:rPr>
        <w:t>2</w:t>
      </w:r>
      <w:r>
        <w:rPr>
          <w:rFonts w:hint="eastAsia"/>
          <w:sz w:val="24"/>
          <w:highlight w:val="none"/>
        </w:rPr>
        <w:t>月</w:t>
      </w:r>
      <w:r>
        <w:rPr>
          <w:rFonts w:hint="eastAsia"/>
          <w:sz w:val="24"/>
          <w:highlight w:val="none"/>
          <w:lang w:val="en-US" w:eastAsia="zh-CN"/>
        </w:rPr>
        <w:t>6</w:t>
      </w:r>
      <w:r>
        <w:rPr>
          <w:rFonts w:hint="eastAsia"/>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00</w:t>
      </w:r>
      <w:r>
        <w:rPr>
          <w:rFonts w:hint="eastAsia"/>
          <w:sz w:val="24"/>
          <w:highlight w:val="none"/>
        </w:rPr>
        <w:t>分；</w:t>
      </w:r>
    </w:p>
    <w:p w14:paraId="456374DB">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highlight w:val="none"/>
          <w:lang w:val="en-US" w:eastAsia="zh-CN"/>
        </w:rPr>
        <w:t>2、</w:t>
      </w:r>
      <w:r>
        <w:rPr>
          <w:rFonts w:hint="eastAsia"/>
          <w:sz w:val="24"/>
          <w:highlight w:val="none"/>
          <w:lang w:eastAsia="zh-CN"/>
        </w:rPr>
        <w:t>磋商</w:t>
      </w:r>
      <w:r>
        <w:rPr>
          <w:rFonts w:hint="eastAsia"/>
          <w:sz w:val="24"/>
          <w:highlight w:val="none"/>
        </w:rPr>
        <w:t>时间：为</w:t>
      </w:r>
      <w:r>
        <w:rPr>
          <w:rFonts w:hint="eastAsia"/>
          <w:sz w:val="24"/>
          <w:highlight w:val="none"/>
          <w:lang w:eastAsia="zh-CN"/>
        </w:rPr>
        <w:t>磋商</w:t>
      </w:r>
      <w:r>
        <w:rPr>
          <w:rFonts w:hint="eastAsia"/>
          <w:sz w:val="24"/>
          <w:highlight w:val="none"/>
        </w:rPr>
        <w:t>小组通知时间。</w:t>
      </w:r>
    </w:p>
    <w:p w14:paraId="1A0426E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3、</w:t>
      </w:r>
      <w:r>
        <w:rPr>
          <w:rFonts w:hint="eastAsia" w:ascii="宋体" w:hAnsi="宋体" w:cs="黑体"/>
          <w:kern w:val="0"/>
          <w:sz w:val="24"/>
          <w:highlight w:val="none"/>
        </w:rPr>
        <w:t>响应文件首次递交</w:t>
      </w:r>
      <w:r>
        <w:rPr>
          <w:rFonts w:hint="eastAsia"/>
          <w:sz w:val="24"/>
          <w:highlight w:val="none"/>
        </w:rPr>
        <w:t>和</w:t>
      </w:r>
      <w:r>
        <w:rPr>
          <w:rFonts w:hint="eastAsia"/>
          <w:sz w:val="24"/>
          <w:highlight w:val="none"/>
          <w:lang w:eastAsia="zh-CN"/>
        </w:rPr>
        <w:t>磋商</w:t>
      </w:r>
      <w:r>
        <w:rPr>
          <w:rFonts w:hint="eastAsia"/>
          <w:sz w:val="24"/>
          <w:highlight w:val="none"/>
        </w:rPr>
        <w:t>地点：</w:t>
      </w:r>
      <w:r>
        <w:rPr>
          <w:rFonts w:hint="eastAsia" w:ascii="宋体" w:hAnsi="宋体" w:cs="黑体"/>
          <w:kern w:val="0"/>
          <w:sz w:val="24"/>
          <w:highlight w:val="none"/>
        </w:rPr>
        <w:t>六安市叶集区人民医院</w:t>
      </w:r>
      <w:r>
        <w:rPr>
          <w:rFonts w:hint="eastAsia" w:ascii="宋体" w:hAnsi="宋体" w:cs="黑体"/>
          <w:kern w:val="0"/>
          <w:sz w:val="24"/>
          <w:highlight w:val="none"/>
          <w:lang w:val="en-US" w:eastAsia="zh-CN"/>
        </w:rPr>
        <w:t>住院部10楼小</w:t>
      </w:r>
      <w:r>
        <w:rPr>
          <w:rFonts w:hint="eastAsia" w:ascii="宋体" w:hAnsi="宋体" w:cs="黑体"/>
          <w:kern w:val="0"/>
          <w:sz w:val="24"/>
          <w:highlight w:val="none"/>
        </w:rPr>
        <w:t>会议室</w:t>
      </w:r>
    </w:p>
    <w:p w14:paraId="650693A9">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八、其它事项说明</w:t>
      </w:r>
    </w:p>
    <w:p w14:paraId="3CBFB63D">
      <w:pPr>
        <w:keepNext w:val="0"/>
        <w:keepLines w:val="0"/>
        <w:pageBreakBefore w:val="0"/>
        <w:widowControl w:val="0"/>
        <w:numPr>
          <w:ilvl w:val="0"/>
          <w:numId w:val="2"/>
        </w:numPr>
        <w:tabs>
          <w:tab w:val="left" w:pos="709"/>
        </w:tabs>
        <w:kinsoku/>
        <w:wordWrap/>
        <w:overflowPunct/>
        <w:topLinePunct w:val="0"/>
        <w:autoSpaceDE w:val="0"/>
        <w:autoSpaceDN w:val="0"/>
        <w:bidi w:val="0"/>
        <w:adjustRightInd w:val="0"/>
        <w:snapToGrid w:val="0"/>
        <w:spacing w:after="156" w:afterLines="50" w:line="24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本项目需落实的节能环保、中小微型企业扶持等相关政府采购政策详见招标文件。</w:t>
      </w:r>
    </w:p>
    <w:p w14:paraId="4111C73F">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lang w:val="en-US" w:eastAsia="zh-CN"/>
        </w:rPr>
        <w:t xml:space="preserve">    </w:t>
      </w:r>
      <w:r>
        <w:rPr>
          <w:rFonts w:hint="eastAsia"/>
          <w:color w:val="auto"/>
          <w:highlight w:val="none"/>
          <w:lang w:val="en-US" w:eastAsia="zh-CN"/>
        </w:rPr>
        <w:t>2、本项目每个投标人仅确定一名授权委托人参加开标会议，授权委托人需出示本人二代居民身份证原件（不能出示二代身份证的，应提供户籍所在地公安机关出具的证明原件）、有效的授权委托书原件，凡不能出示上述有效证件或到场人员与证件载明的人员不一致或未出席开标会议者，投标文件不予接受，投标资格无效。</w:t>
      </w:r>
    </w:p>
    <w:p w14:paraId="6F3D0106">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5C8D5358">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highlight w:val="none"/>
        </w:rPr>
      </w:pPr>
      <w:r>
        <w:rPr>
          <w:rFonts w:hint="eastAsia" w:ascii="宋体" w:hAnsi="宋体" w:cs="黑体"/>
          <w:kern w:val="0"/>
          <w:sz w:val="24"/>
          <w:highlight w:val="none"/>
          <w:lang w:val="en-US" w:eastAsia="zh-CN"/>
        </w:rPr>
        <w:t>九、</w:t>
      </w:r>
      <w:r>
        <w:rPr>
          <w:rFonts w:hint="eastAsia" w:ascii="宋体" w:hAnsi="宋体" w:cs="黑体"/>
          <w:kern w:val="0"/>
          <w:sz w:val="24"/>
          <w:highlight w:val="none"/>
        </w:rPr>
        <w:t>采购人及其委托的采购代理机构的名称、地址和联系方法</w:t>
      </w:r>
    </w:p>
    <w:p w14:paraId="6009CFA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eastAsia="宋体"/>
          <w:sz w:val="24"/>
          <w:highlight w:val="none"/>
          <w:lang w:eastAsia="zh-CN"/>
        </w:rPr>
      </w:pPr>
      <w:r>
        <w:rPr>
          <w:rFonts w:hint="eastAsia"/>
          <w:sz w:val="24"/>
          <w:highlight w:val="none"/>
        </w:rPr>
        <w:t>采 购 人：</w:t>
      </w:r>
      <w:r>
        <w:rPr>
          <w:rFonts w:hint="eastAsia"/>
          <w:sz w:val="24"/>
          <w:highlight w:val="none"/>
          <w:lang w:eastAsia="zh-CN"/>
        </w:rPr>
        <w:t>六安市叶集区人民医院</w:t>
      </w:r>
    </w:p>
    <w:p w14:paraId="0C4917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highlight w:val="none"/>
        </w:rPr>
      </w:pPr>
      <w:r>
        <w:rPr>
          <w:rFonts w:hint="eastAsia"/>
          <w:sz w:val="24"/>
          <w:highlight w:val="none"/>
        </w:rPr>
        <w:t>地    址：六安市叶集区兴叶大道与民强北路交叉口</w:t>
      </w:r>
    </w:p>
    <w:p w14:paraId="0B2F1CC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联 系 人：</w:t>
      </w:r>
      <w:r>
        <w:rPr>
          <w:rFonts w:hint="eastAsia"/>
          <w:sz w:val="24"/>
          <w:highlight w:val="none"/>
          <w:lang w:val="en-US" w:eastAsia="zh-CN"/>
        </w:rPr>
        <w:t>程先生</w:t>
      </w:r>
    </w:p>
    <w:p w14:paraId="552B441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电    话：</w:t>
      </w:r>
      <w:r>
        <w:rPr>
          <w:rFonts w:hint="eastAsia"/>
          <w:sz w:val="24"/>
          <w:highlight w:val="none"/>
          <w:lang w:eastAsia="zh-CN"/>
        </w:rPr>
        <w:t>0564-6488125</w:t>
      </w:r>
    </w:p>
    <w:p w14:paraId="59A8126A">
      <w:pPr>
        <w:keepNext w:val="0"/>
        <w:keepLines w:val="0"/>
        <w:pageBreakBefore w:val="0"/>
        <w:widowControl w:val="0"/>
        <w:kinsoku/>
        <w:wordWrap/>
        <w:overflowPunct/>
        <w:topLinePunct w:val="0"/>
        <w:bidi w:val="0"/>
        <w:spacing w:line="360" w:lineRule="auto"/>
        <w:ind w:left="420" w:firstLine="739" w:firstLineChars="308"/>
        <w:textAlignment w:val="auto"/>
        <w:rPr>
          <w:sz w:val="24"/>
          <w:highlight w:val="none"/>
        </w:rPr>
      </w:pPr>
    </w:p>
    <w:p w14:paraId="11364158">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 xml:space="preserve">采购代理机构：六安弘跃商务代理有限公司 </w:t>
      </w:r>
    </w:p>
    <w:p w14:paraId="4446FA50">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址：安徽省六安市叶集区纬二路云端家居广场1幢415-416室</w:t>
      </w:r>
    </w:p>
    <w:p w14:paraId="456A3DB2">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联 系 人：孙先生</w:t>
      </w:r>
    </w:p>
    <w:p w14:paraId="23324A3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r>
        <w:rPr>
          <w:rFonts w:hint="eastAsia"/>
          <w:sz w:val="24"/>
          <w:highlight w:val="none"/>
        </w:rPr>
        <w:t>电    话：15005641678</w:t>
      </w:r>
    </w:p>
    <w:p w14:paraId="3651AE5D">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076FF68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3EDBE86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43E45C92">
      <w:pPr>
        <w:keepNext w:val="0"/>
        <w:keepLines w:val="0"/>
        <w:pageBreakBefore w:val="0"/>
        <w:widowControl w:val="0"/>
        <w:kinsoku/>
        <w:wordWrap/>
        <w:overflowPunct/>
        <w:topLinePunct w:val="0"/>
        <w:bidi w:val="0"/>
        <w:spacing w:line="360" w:lineRule="auto"/>
        <w:ind w:firstLine="960" w:firstLineChars="300"/>
        <w:jc w:val="both"/>
        <w:textAlignment w:val="auto"/>
        <w:rPr>
          <w:rFonts w:ascii="宋体" w:hAnsi="宋体" w:cs="黑体"/>
          <w:kern w:val="0"/>
          <w:sz w:val="32"/>
          <w:szCs w:val="32"/>
          <w:highlight w:val="none"/>
        </w:rPr>
      </w:pPr>
      <w:r>
        <w:rPr>
          <w:rFonts w:ascii="宋体" w:hAnsi="宋体" w:cs="黑体"/>
          <w:kern w:val="0"/>
          <w:sz w:val="32"/>
          <w:szCs w:val="32"/>
          <w:highlight w:val="none"/>
        </w:rPr>
        <w:br w:type="page"/>
      </w:r>
      <w:bookmarkStart w:id="7" w:name="_Toc5519"/>
      <w:r>
        <w:rPr>
          <w:rFonts w:hint="eastAsia" w:ascii="宋体" w:hAnsi="宋体" w:cs="黑体"/>
          <w:kern w:val="0"/>
          <w:sz w:val="32"/>
          <w:szCs w:val="32"/>
          <w:highlight w:val="none"/>
        </w:rPr>
        <w:t>第二章</w:t>
      </w:r>
      <w:r>
        <w:rPr>
          <w:rFonts w:ascii="宋体" w:hAnsi="宋体" w:cs="黑体"/>
          <w:kern w:val="0"/>
          <w:sz w:val="32"/>
          <w:szCs w:val="32"/>
          <w:highlight w:val="none"/>
        </w:rPr>
        <w:t xml:space="preserve"> </w:t>
      </w:r>
      <w:r>
        <w:rPr>
          <w:rFonts w:hint="eastAsia" w:ascii="宋体" w:hAnsi="宋体" w:cs="黑体"/>
          <w:kern w:val="0"/>
          <w:sz w:val="32"/>
          <w:szCs w:val="32"/>
          <w:highlight w:val="none"/>
        </w:rPr>
        <w:t>供应商须知</w:t>
      </w:r>
      <w:bookmarkEnd w:id="5"/>
      <w:bookmarkEnd w:id="7"/>
    </w:p>
    <w:p w14:paraId="05BC87BA">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hint="eastAsia" w:ascii="宋体" w:hAnsi="宋体" w:cs="黑体"/>
          <w:kern w:val="0"/>
          <w:sz w:val="28"/>
          <w:szCs w:val="28"/>
          <w:highlight w:val="none"/>
        </w:rPr>
        <w:t>（一）供应商须知前附表</w:t>
      </w:r>
    </w:p>
    <w:tbl>
      <w:tblPr>
        <w:tblStyle w:val="7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14:paraId="4E2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8" w:type="dxa"/>
            <w:vAlign w:val="center"/>
          </w:tcPr>
          <w:p w14:paraId="00C6591C">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条款号</w:t>
            </w:r>
          </w:p>
        </w:tc>
        <w:tc>
          <w:tcPr>
            <w:tcW w:w="2515" w:type="dxa"/>
            <w:vAlign w:val="center"/>
          </w:tcPr>
          <w:p w14:paraId="0BD9015A">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w:t>
            </w:r>
            <w:r>
              <w:rPr>
                <w:rFonts w:ascii="宋体" w:hAnsi="宋体" w:cs="仿宋_GB2312"/>
                <w:kern w:val="0"/>
                <w:sz w:val="24"/>
                <w:highlight w:val="none"/>
              </w:rPr>
              <w:t xml:space="preserve"> </w:t>
            </w:r>
            <w:r>
              <w:rPr>
                <w:rFonts w:hint="eastAsia" w:ascii="宋体" w:hAnsi="宋体" w:cs="仿宋_GB2312"/>
                <w:kern w:val="0"/>
                <w:sz w:val="24"/>
                <w:highlight w:val="none"/>
              </w:rPr>
              <w:t>款</w:t>
            </w:r>
            <w:r>
              <w:rPr>
                <w:rFonts w:ascii="宋体" w:hAnsi="宋体" w:cs="仿宋_GB2312"/>
                <w:kern w:val="0"/>
                <w:sz w:val="24"/>
                <w:highlight w:val="none"/>
              </w:rPr>
              <w:t xml:space="preserve"> </w:t>
            </w:r>
            <w:r>
              <w:rPr>
                <w:rFonts w:hint="eastAsia" w:ascii="宋体" w:hAnsi="宋体" w:cs="仿宋_GB2312"/>
                <w:kern w:val="0"/>
                <w:sz w:val="24"/>
                <w:highlight w:val="none"/>
              </w:rPr>
              <w:t>名</w:t>
            </w:r>
            <w:r>
              <w:rPr>
                <w:rFonts w:ascii="宋体" w:hAnsi="宋体" w:cs="仿宋_GB2312"/>
                <w:kern w:val="0"/>
                <w:sz w:val="24"/>
                <w:highlight w:val="none"/>
              </w:rPr>
              <w:t xml:space="preserve"> </w:t>
            </w:r>
            <w:r>
              <w:rPr>
                <w:rFonts w:hint="eastAsia" w:ascii="宋体" w:hAnsi="宋体" w:cs="仿宋_GB2312"/>
                <w:kern w:val="0"/>
                <w:sz w:val="24"/>
                <w:highlight w:val="none"/>
              </w:rPr>
              <w:t>称</w:t>
            </w:r>
          </w:p>
        </w:tc>
        <w:tc>
          <w:tcPr>
            <w:tcW w:w="5675" w:type="dxa"/>
            <w:vAlign w:val="center"/>
          </w:tcPr>
          <w:p w14:paraId="4702BE1F">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编</w:t>
            </w:r>
            <w:r>
              <w:rPr>
                <w:rFonts w:ascii="宋体" w:hAnsi="宋体" w:cs="仿宋_GB2312"/>
                <w:kern w:val="0"/>
                <w:sz w:val="24"/>
                <w:highlight w:val="none"/>
              </w:rPr>
              <w:t xml:space="preserve"> </w:t>
            </w:r>
            <w:r>
              <w:rPr>
                <w:rFonts w:hint="eastAsia" w:ascii="宋体" w:hAnsi="宋体" w:cs="仿宋_GB2312"/>
                <w:kern w:val="0"/>
                <w:sz w:val="24"/>
                <w:highlight w:val="none"/>
              </w:rPr>
              <w:t>列</w:t>
            </w:r>
            <w:r>
              <w:rPr>
                <w:rFonts w:ascii="宋体" w:hAnsi="宋体" w:cs="仿宋_GB2312"/>
                <w:kern w:val="0"/>
                <w:sz w:val="24"/>
                <w:highlight w:val="none"/>
              </w:rPr>
              <w:t xml:space="preserve"> </w:t>
            </w:r>
            <w:r>
              <w:rPr>
                <w:rFonts w:hint="eastAsia" w:ascii="宋体" w:hAnsi="宋体" w:cs="仿宋_GB2312"/>
                <w:kern w:val="0"/>
                <w:sz w:val="24"/>
                <w:highlight w:val="none"/>
              </w:rPr>
              <w:t>内</w:t>
            </w:r>
            <w:r>
              <w:rPr>
                <w:rFonts w:ascii="宋体" w:hAnsi="宋体" w:cs="仿宋_GB2312"/>
                <w:kern w:val="0"/>
                <w:sz w:val="24"/>
                <w:highlight w:val="none"/>
              </w:rPr>
              <w:t xml:space="preserve"> </w:t>
            </w:r>
            <w:r>
              <w:rPr>
                <w:rFonts w:hint="eastAsia" w:ascii="宋体" w:hAnsi="宋体" w:cs="仿宋_GB2312"/>
                <w:kern w:val="0"/>
                <w:sz w:val="24"/>
                <w:highlight w:val="none"/>
              </w:rPr>
              <w:t>容</w:t>
            </w:r>
          </w:p>
        </w:tc>
      </w:tr>
      <w:tr w14:paraId="774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C33728B">
            <w:pPr>
              <w:autoSpaceDE w:val="0"/>
              <w:autoSpaceDN w:val="0"/>
              <w:adjustRightInd w:val="0"/>
              <w:snapToGrid w:val="0"/>
              <w:jc w:val="center"/>
              <w:rPr>
                <w:rFonts w:ascii="宋体" w:hAnsi="宋体" w:cs="TimesNewRomanPSMT"/>
                <w:kern w:val="0"/>
                <w:sz w:val="20"/>
                <w:szCs w:val="20"/>
                <w:highlight w:val="none"/>
              </w:rPr>
            </w:pPr>
            <w:r>
              <w:rPr>
                <w:highlight w:val="none"/>
              </w:rPr>
              <w:fldChar w:fldCharType="begin"/>
            </w:r>
            <w:r>
              <w:rPr>
                <w:highlight w:val="none"/>
              </w:rPr>
              <w:instrText xml:space="preserve"> REF _Ref527101463 \r \h  \* MERGEFORMAT </w:instrText>
            </w:r>
            <w:r>
              <w:rPr>
                <w:highlight w:val="none"/>
              </w:rPr>
              <w:fldChar w:fldCharType="separate"/>
            </w:r>
            <w:r>
              <w:rPr>
                <w:rFonts w:ascii="宋体" w:hAnsi="宋体" w:cs="TimesNewRomanPSMT"/>
                <w:kern w:val="0"/>
                <w:sz w:val="20"/>
                <w:szCs w:val="20"/>
                <w:highlight w:val="none"/>
              </w:rPr>
              <w:t>1.7</w:t>
            </w:r>
            <w:r>
              <w:rPr>
                <w:highlight w:val="none"/>
              </w:rPr>
              <w:fldChar w:fldCharType="end"/>
            </w:r>
          </w:p>
        </w:tc>
        <w:tc>
          <w:tcPr>
            <w:tcW w:w="2515" w:type="dxa"/>
            <w:vAlign w:val="center"/>
          </w:tcPr>
          <w:p w14:paraId="6AF92F4B">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分包</w:t>
            </w:r>
          </w:p>
        </w:tc>
        <w:tc>
          <w:tcPr>
            <w:tcW w:w="5675" w:type="dxa"/>
            <w:vAlign w:val="center"/>
          </w:tcPr>
          <w:p w14:paraId="49D8CDD5">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不允许</w:t>
            </w:r>
          </w:p>
          <w:p w14:paraId="169CF09C">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允  许：</w:t>
            </w:r>
          </w:p>
          <w:p w14:paraId="5AB29984">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分包内容要求：</w:t>
            </w:r>
          </w:p>
          <w:p w14:paraId="03E0034A">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分包金额要求：</w:t>
            </w:r>
          </w:p>
          <w:p w14:paraId="639E5FC7">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分包人应具有的资质：</w:t>
            </w:r>
          </w:p>
        </w:tc>
      </w:tr>
      <w:tr w14:paraId="1E8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33FA45A">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_Ref527657954 \r \h  \* MERGEFORMAT </w:instrText>
            </w:r>
            <w:r>
              <w:rPr>
                <w:highlight w:val="none"/>
              </w:rPr>
              <w:fldChar w:fldCharType="separate"/>
            </w:r>
            <w:r>
              <w:rPr>
                <w:highlight w:val="none"/>
              </w:rPr>
              <w:t>1.12.1</w:t>
            </w:r>
            <w:r>
              <w:rPr>
                <w:highlight w:val="none"/>
              </w:rPr>
              <w:fldChar w:fldCharType="end"/>
            </w:r>
          </w:p>
        </w:tc>
        <w:tc>
          <w:tcPr>
            <w:tcW w:w="2515" w:type="dxa"/>
            <w:vAlign w:val="center"/>
          </w:tcPr>
          <w:p w14:paraId="5B44A5F5">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踏勘现场</w:t>
            </w:r>
          </w:p>
        </w:tc>
        <w:tc>
          <w:tcPr>
            <w:tcW w:w="5675" w:type="dxa"/>
            <w:vAlign w:val="center"/>
          </w:tcPr>
          <w:p w14:paraId="345EA7AB">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不组织</w:t>
            </w:r>
          </w:p>
          <w:p w14:paraId="3C6B9778">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组  织：</w:t>
            </w:r>
          </w:p>
          <w:p w14:paraId="2C2C2D5E">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踏勘时间：</w:t>
            </w:r>
          </w:p>
          <w:p w14:paraId="7DB15C86">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集合地点：</w:t>
            </w:r>
          </w:p>
        </w:tc>
      </w:tr>
      <w:tr w14:paraId="643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FE6735B">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_Ref527101604 \r \h  \* MERGEFORMAT </w:instrText>
            </w:r>
            <w:r>
              <w:rPr>
                <w:highlight w:val="none"/>
              </w:rPr>
              <w:fldChar w:fldCharType="separate"/>
            </w:r>
            <w:r>
              <w:rPr>
                <w:rFonts w:ascii="宋体" w:hAnsi="宋体" w:cs="仿宋_GB2312"/>
                <w:kern w:val="0"/>
                <w:sz w:val="20"/>
                <w:szCs w:val="20"/>
                <w:highlight w:val="none"/>
              </w:rPr>
              <w:t>2.2.2</w:t>
            </w:r>
            <w:r>
              <w:rPr>
                <w:highlight w:val="none"/>
              </w:rPr>
              <w:fldChar w:fldCharType="end"/>
            </w:r>
          </w:p>
        </w:tc>
        <w:tc>
          <w:tcPr>
            <w:tcW w:w="2515" w:type="dxa"/>
            <w:vAlign w:val="center"/>
          </w:tcPr>
          <w:p w14:paraId="7B730F6B">
            <w:pPr>
              <w:autoSpaceDE w:val="0"/>
              <w:autoSpaceDN w:val="0"/>
              <w:adjustRightInd w:val="0"/>
              <w:snapToGrid w:val="0"/>
              <w:jc w:val="left"/>
              <w:rPr>
                <w:rFonts w:ascii="宋体" w:hAnsi="宋体" w:cs="仿宋_GB2312"/>
                <w:kern w:val="0"/>
                <w:sz w:val="24"/>
                <w:highlight w:val="none"/>
              </w:rPr>
            </w:pPr>
            <w:bookmarkStart w:id="8" w:name="_Toc20949"/>
            <w:bookmarkStart w:id="9" w:name="_Toc26077"/>
            <w:r>
              <w:rPr>
                <w:rFonts w:hint="eastAsia" w:ascii="宋体" w:hAnsi="宋体" w:cs="仿宋_GB2312"/>
                <w:kern w:val="0"/>
                <w:sz w:val="24"/>
                <w:highlight w:val="none"/>
              </w:rPr>
              <w:t>采购人发出修改文件时间</w:t>
            </w:r>
            <w:bookmarkEnd w:id="8"/>
            <w:bookmarkEnd w:id="9"/>
          </w:p>
        </w:tc>
        <w:tc>
          <w:tcPr>
            <w:tcW w:w="5675" w:type="dxa"/>
            <w:vAlign w:val="center"/>
          </w:tcPr>
          <w:p w14:paraId="3B781925">
            <w:pPr>
              <w:autoSpaceDE w:val="0"/>
              <w:autoSpaceDN w:val="0"/>
              <w:adjustRightInd w:val="0"/>
              <w:snapToGrid w:val="0"/>
              <w:jc w:val="left"/>
              <w:rPr>
                <w:rFonts w:ascii="宋体" w:hAnsi="宋体" w:cs="仿宋_GB2312"/>
                <w:kern w:val="0"/>
                <w:sz w:val="24"/>
                <w:highlight w:val="none"/>
              </w:rPr>
            </w:pPr>
            <w:r>
              <w:rPr>
                <w:rFonts w:ascii="宋体" w:hAnsi="宋体" w:cs="仿宋_GB2312"/>
                <w:kern w:val="0"/>
                <w:sz w:val="24"/>
                <w:highlight w:val="none"/>
              </w:rPr>
              <w:t>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2</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3</w:t>
            </w:r>
            <w:r>
              <w:rPr>
                <w:rFonts w:hint="eastAsia" w:ascii="宋体" w:hAnsi="宋体" w:cs="仿宋_GB2312"/>
                <w:kern w:val="0"/>
                <w:sz w:val="24"/>
                <w:highlight w:val="none"/>
              </w:rPr>
              <w:t>日</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tc>
      </w:tr>
      <w:tr w14:paraId="34B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5B02969">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cs="TimesNewRomanPSMT"/>
                <w:kern w:val="0"/>
                <w:sz w:val="20"/>
                <w:szCs w:val="21"/>
                <w:highlight w:val="none"/>
              </w:rPr>
              <w:t>2.3</w:t>
            </w:r>
            <w:r>
              <w:rPr>
                <w:highlight w:val="none"/>
              </w:rPr>
              <w:fldChar w:fldCharType="end"/>
            </w:r>
          </w:p>
        </w:tc>
        <w:tc>
          <w:tcPr>
            <w:tcW w:w="2515" w:type="dxa"/>
            <w:vAlign w:val="center"/>
          </w:tcPr>
          <w:p w14:paraId="46307452">
            <w:pPr>
              <w:autoSpaceDE w:val="0"/>
              <w:autoSpaceDN w:val="0"/>
              <w:adjustRightInd w:val="0"/>
              <w:snapToGrid w:val="0"/>
              <w:outlineLvl w:val="0"/>
              <w:rPr>
                <w:rFonts w:ascii="宋体" w:hAnsi="宋体" w:cs="仿宋_GB2312"/>
                <w:kern w:val="0"/>
                <w:sz w:val="24"/>
                <w:highlight w:val="none"/>
              </w:rPr>
            </w:pPr>
            <w:r>
              <w:rPr>
                <w:rFonts w:hint="eastAsia" w:ascii="宋体" w:hAnsi="宋体" w:cs="仿宋_GB2312"/>
                <w:kern w:val="0"/>
                <w:sz w:val="24"/>
                <w:highlight w:val="none"/>
              </w:rPr>
              <w:t>投标人提出质疑截止时间和方式</w:t>
            </w:r>
          </w:p>
        </w:tc>
        <w:tc>
          <w:tcPr>
            <w:tcW w:w="5675" w:type="dxa"/>
            <w:vAlign w:val="center"/>
          </w:tcPr>
          <w:p w14:paraId="70DF81BB">
            <w:pPr>
              <w:autoSpaceDE w:val="0"/>
              <w:autoSpaceDN w:val="0"/>
              <w:adjustRightInd w:val="0"/>
              <w:snapToGrid w:val="0"/>
              <w:outlineLvl w:val="0"/>
              <w:rPr>
                <w:rFonts w:hint="eastAsia" w:ascii="宋体" w:hAnsi="宋体" w:cs="仿宋_GB2312"/>
                <w:kern w:val="0"/>
                <w:sz w:val="24"/>
                <w:highlight w:val="none"/>
              </w:rPr>
            </w:pPr>
            <w:r>
              <w:rPr>
                <w:rFonts w:hint="eastAsia" w:ascii="宋体" w:hAnsi="宋体" w:cs="仿宋_GB2312"/>
                <w:kern w:val="0"/>
                <w:sz w:val="24"/>
                <w:highlight w:val="none"/>
              </w:rPr>
              <w:t>时间：截止时间为202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1</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30</w:t>
            </w:r>
            <w:bookmarkStart w:id="125" w:name="_GoBack"/>
            <w:bookmarkEnd w:id="125"/>
            <w:r>
              <w:rPr>
                <w:rFonts w:hint="eastAsia" w:ascii="宋体" w:hAnsi="宋体" w:cs="仿宋_GB2312"/>
                <w:kern w:val="0"/>
                <w:sz w:val="24"/>
                <w:highlight w:val="none"/>
              </w:rPr>
              <w:t>日17时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p w14:paraId="4421E4BF">
            <w:pPr>
              <w:autoSpaceDE w:val="0"/>
              <w:autoSpaceDN w:val="0"/>
              <w:adjustRightInd w:val="0"/>
              <w:snapToGrid w:val="0"/>
              <w:ind w:left="27" w:leftChars="13"/>
              <w:rPr>
                <w:rFonts w:hint="eastAsia" w:ascii="宋体" w:hAnsi="宋体" w:cs="仿宋_GB2312"/>
                <w:kern w:val="0"/>
                <w:sz w:val="24"/>
                <w:highlight w:val="none"/>
              </w:rPr>
            </w:pPr>
            <w:r>
              <w:rPr>
                <w:rFonts w:hint="eastAsia" w:ascii="宋体" w:hAnsi="宋体" w:cs="仿宋_GB2312"/>
                <w:kern w:val="0"/>
                <w:sz w:val="24"/>
                <w:highlight w:val="none"/>
              </w:rPr>
              <w:t>形式：通</w:t>
            </w:r>
            <w:r>
              <w:rPr>
                <w:rFonts w:hint="eastAsia" w:ascii="宋体" w:hAnsi="宋体" w:cs="仿宋_GB2312"/>
                <w:color w:val="FF0000"/>
                <w:kern w:val="0"/>
                <w:sz w:val="24"/>
                <w:highlight w:val="none"/>
              </w:rPr>
              <w:t>过</w:t>
            </w:r>
            <w:r>
              <w:rPr>
                <w:rFonts w:hint="eastAsia" w:ascii="宋体" w:hAnsi="宋体" w:cs="仿宋_GB2312"/>
                <w:color w:val="FF0000"/>
                <w:kern w:val="0"/>
                <w:sz w:val="24"/>
                <w:highlight w:val="none"/>
                <w:lang w:val="en-US" w:eastAsia="zh-CN"/>
              </w:rPr>
              <w:t>417152466</w:t>
            </w:r>
            <w:r>
              <w:rPr>
                <w:rFonts w:hint="eastAsia" w:ascii="宋体" w:hAnsi="宋体" w:cs="仿宋_GB2312"/>
                <w:color w:val="FF0000"/>
                <w:kern w:val="0"/>
                <w:sz w:val="24"/>
                <w:highlight w:val="none"/>
              </w:rPr>
              <w:t>@qq.com</w:t>
            </w:r>
            <w:r>
              <w:rPr>
                <w:rFonts w:hint="eastAsia" w:ascii="宋体" w:hAnsi="宋体" w:cs="仿宋_GB2312"/>
                <w:kern w:val="0"/>
                <w:sz w:val="24"/>
                <w:highlight w:val="none"/>
              </w:rPr>
              <w:t>邮箱提交相关需澄清问题</w:t>
            </w:r>
            <w:r>
              <w:rPr>
                <w:rFonts w:hint="eastAsia" w:ascii="宋体" w:hAnsi="宋体" w:cs="仿宋_GB2312"/>
                <w:kern w:val="0"/>
                <w:sz w:val="24"/>
                <w:highlight w:val="none"/>
              </w:rPr>
              <w:br w:type="textWrapping"/>
            </w:r>
          </w:p>
          <w:p w14:paraId="4AA22B0D">
            <w:pPr>
              <w:pStyle w:val="2"/>
              <w:rPr>
                <w:rFonts w:hint="eastAsia" w:ascii="宋体" w:hAnsi="宋体" w:cs="仿宋_GB2312"/>
                <w:kern w:val="0"/>
                <w:sz w:val="24"/>
                <w:highlight w:val="none"/>
              </w:rPr>
            </w:pPr>
          </w:p>
          <w:p w14:paraId="409F34E8">
            <w:pPr>
              <w:pStyle w:val="73"/>
              <w:rPr>
                <w:rFonts w:hint="eastAsia" w:ascii="宋体" w:hAnsi="宋体" w:cs="仿宋_GB2312"/>
                <w:kern w:val="0"/>
                <w:sz w:val="24"/>
                <w:highlight w:val="none"/>
              </w:rPr>
            </w:pPr>
          </w:p>
          <w:p w14:paraId="1D43A949">
            <w:pPr>
              <w:pStyle w:val="73"/>
              <w:rPr>
                <w:rFonts w:hint="eastAsia" w:ascii="宋体" w:hAnsi="宋体" w:cs="仿宋_GB2312"/>
                <w:kern w:val="0"/>
                <w:sz w:val="24"/>
                <w:highlight w:val="none"/>
              </w:rPr>
            </w:pPr>
          </w:p>
        </w:tc>
      </w:tr>
      <w:tr w14:paraId="547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3A54F20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_Ref527102185 \r \h  \* MERGEFORMAT </w:instrText>
            </w:r>
            <w:r>
              <w:rPr>
                <w:highlight w:val="none"/>
              </w:rPr>
              <w:fldChar w:fldCharType="separate"/>
            </w:r>
            <w:r>
              <w:rPr>
                <w:rFonts w:ascii="宋体" w:hAnsi="宋体" w:cs="TimesNewRomanPSMT"/>
                <w:kern w:val="0"/>
                <w:sz w:val="20"/>
                <w:szCs w:val="21"/>
                <w:highlight w:val="none"/>
              </w:rPr>
              <w:t>3.6.1</w:t>
            </w:r>
            <w:r>
              <w:rPr>
                <w:highlight w:val="none"/>
              </w:rPr>
              <w:fldChar w:fldCharType="end"/>
            </w:r>
          </w:p>
        </w:tc>
        <w:tc>
          <w:tcPr>
            <w:tcW w:w="2515" w:type="dxa"/>
            <w:vAlign w:val="center"/>
          </w:tcPr>
          <w:p w14:paraId="75DF6441">
            <w:pPr>
              <w:autoSpaceDE w:val="0"/>
              <w:autoSpaceDN w:val="0"/>
              <w:adjustRightInd w:val="0"/>
              <w:snapToGrid w:val="0"/>
              <w:outlineLvl w:val="0"/>
              <w:rPr>
                <w:rFonts w:ascii="宋体" w:hAnsi="宋体" w:cs="仿宋_GB2312"/>
                <w:kern w:val="0"/>
                <w:sz w:val="24"/>
                <w:highlight w:val="none"/>
              </w:rPr>
            </w:pPr>
            <w:bookmarkStart w:id="10" w:name="_Toc62925516"/>
            <w:bookmarkStart w:id="11" w:name="_Toc195921788"/>
            <w:bookmarkStart w:id="12" w:name="_Toc30728"/>
            <w:bookmarkStart w:id="13" w:name="_Toc62925381"/>
            <w:r>
              <w:rPr>
                <w:rFonts w:hint="eastAsia" w:ascii="宋体" w:hAnsi="宋体" w:cs="仿宋_GB2312"/>
                <w:kern w:val="0"/>
                <w:sz w:val="24"/>
                <w:highlight w:val="none"/>
              </w:rPr>
              <w:t>响应文件有效期</w:t>
            </w:r>
            <w:bookmarkEnd w:id="10"/>
            <w:bookmarkEnd w:id="11"/>
            <w:bookmarkEnd w:id="12"/>
            <w:bookmarkEnd w:id="13"/>
          </w:p>
        </w:tc>
        <w:tc>
          <w:tcPr>
            <w:tcW w:w="5675" w:type="dxa"/>
            <w:vAlign w:val="center"/>
          </w:tcPr>
          <w:p w14:paraId="26F5142D">
            <w:pPr>
              <w:autoSpaceDE w:val="0"/>
              <w:autoSpaceDN w:val="0"/>
              <w:adjustRightInd w:val="0"/>
              <w:snapToGrid w:val="0"/>
              <w:ind w:left="27" w:leftChars="13"/>
              <w:rPr>
                <w:rFonts w:ascii="宋体" w:hAnsi="宋体" w:cs="TimesNewRomanPSMT"/>
                <w:kern w:val="0"/>
                <w:sz w:val="24"/>
                <w:highlight w:val="none"/>
              </w:rPr>
            </w:pPr>
            <w:r>
              <w:rPr>
                <w:rFonts w:hint="eastAsia" w:ascii="宋体" w:hAnsi="宋体" w:cs="TimesNewRomanPSMT"/>
                <w:kern w:val="0"/>
                <w:sz w:val="24"/>
                <w:highlight w:val="none"/>
              </w:rPr>
              <w:t>响应文件提交截止日后30天</w:t>
            </w:r>
          </w:p>
        </w:tc>
      </w:tr>
      <w:tr w14:paraId="1EC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A6139BD">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TimesNewRomanPSMT"/>
                <w:kern w:val="0"/>
                <w:sz w:val="20"/>
                <w:szCs w:val="21"/>
                <w:highlight w:val="none"/>
              </w:rPr>
              <w:t>3.7.1</w:t>
            </w:r>
            <w:r>
              <w:rPr>
                <w:highlight w:val="none"/>
              </w:rPr>
              <w:fldChar w:fldCharType="end"/>
            </w:r>
          </w:p>
        </w:tc>
        <w:tc>
          <w:tcPr>
            <w:tcW w:w="2515" w:type="dxa"/>
            <w:vAlign w:val="center"/>
          </w:tcPr>
          <w:p w14:paraId="33DB03E8">
            <w:pPr>
              <w:autoSpaceDE w:val="0"/>
              <w:autoSpaceDN w:val="0"/>
              <w:adjustRightInd w:val="0"/>
              <w:snapToGrid w:val="0"/>
              <w:outlineLvl w:val="0"/>
              <w:rPr>
                <w:rFonts w:ascii="宋体" w:hAnsi="宋体" w:cs="仿宋_GB2312"/>
                <w:kern w:val="0"/>
                <w:sz w:val="24"/>
                <w:highlight w:val="none"/>
              </w:rPr>
            </w:pPr>
            <w:bookmarkStart w:id="14" w:name="_Toc62925517"/>
            <w:bookmarkStart w:id="15" w:name="_Toc195921789"/>
            <w:bookmarkStart w:id="16" w:name="_Toc23607"/>
            <w:bookmarkStart w:id="17" w:name="_Toc62925382"/>
            <w:r>
              <w:rPr>
                <w:rFonts w:hint="eastAsia" w:ascii="宋体" w:hAnsi="宋体" w:cs="仿宋_GB2312"/>
                <w:kern w:val="0"/>
                <w:sz w:val="24"/>
                <w:highlight w:val="none"/>
                <w:lang w:eastAsia="zh-CN"/>
              </w:rPr>
              <w:t>磋商</w:t>
            </w:r>
            <w:r>
              <w:rPr>
                <w:rFonts w:hint="eastAsia" w:ascii="宋体" w:hAnsi="宋体" w:cs="仿宋_GB2312"/>
                <w:kern w:val="0"/>
                <w:sz w:val="24"/>
                <w:highlight w:val="none"/>
              </w:rPr>
              <w:t>保证金</w:t>
            </w:r>
            <w:bookmarkEnd w:id="14"/>
            <w:bookmarkEnd w:id="15"/>
            <w:bookmarkEnd w:id="16"/>
            <w:bookmarkEnd w:id="17"/>
          </w:p>
        </w:tc>
        <w:tc>
          <w:tcPr>
            <w:tcW w:w="5675" w:type="dxa"/>
            <w:vAlign w:val="center"/>
          </w:tcPr>
          <w:p w14:paraId="29CB14E6">
            <w:pPr>
              <w:autoSpaceDE w:val="0"/>
              <w:autoSpaceDN w:val="0"/>
              <w:adjustRightInd w:val="0"/>
              <w:snapToGrid w:val="0"/>
              <w:rPr>
                <w:rFonts w:ascii="宋体" w:hAnsi="宋体" w:cs="TimesNewRomanPSMT"/>
                <w:kern w:val="0"/>
                <w:sz w:val="24"/>
                <w:highlight w:val="none"/>
              </w:rPr>
            </w:pPr>
            <w:r>
              <w:rPr>
                <w:rFonts w:hint="eastAsia" w:ascii="宋体" w:hAnsi="宋体" w:cs="TimesNewRomanPSMT"/>
                <w:kern w:val="0"/>
                <w:sz w:val="24"/>
                <w:highlight w:val="none"/>
              </w:rPr>
              <w:t>无</w:t>
            </w:r>
          </w:p>
        </w:tc>
      </w:tr>
      <w:tr w14:paraId="1EE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6CE9AC1">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_Ref527102437 \r \h  \* MERGEFORMAT </w:instrText>
            </w:r>
            <w:r>
              <w:rPr>
                <w:highlight w:val="none"/>
              </w:rPr>
              <w:fldChar w:fldCharType="separate"/>
            </w:r>
            <w:r>
              <w:rPr>
                <w:rFonts w:ascii="宋体" w:hAnsi="宋体" w:cs="TimesNewRomanPSMT"/>
                <w:kern w:val="0"/>
                <w:sz w:val="20"/>
                <w:szCs w:val="21"/>
                <w:highlight w:val="none"/>
              </w:rPr>
              <w:t>3.8.2</w:t>
            </w:r>
            <w:r>
              <w:rPr>
                <w:highlight w:val="none"/>
              </w:rPr>
              <w:fldChar w:fldCharType="end"/>
            </w:r>
          </w:p>
        </w:tc>
        <w:tc>
          <w:tcPr>
            <w:tcW w:w="2515" w:type="dxa"/>
            <w:vAlign w:val="center"/>
          </w:tcPr>
          <w:p w14:paraId="5BCE2790">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响应文件副本份数</w:t>
            </w:r>
          </w:p>
        </w:tc>
        <w:tc>
          <w:tcPr>
            <w:tcW w:w="5675" w:type="dxa"/>
            <w:vAlign w:val="center"/>
          </w:tcPr>
          <w:p w14:paraId="563AD48A">
            <w:pPr>
              <w:autoSpaceDE w:val="0"/>
              <w:autoSpaceDN w:val="0"/>
              <w:adjustRightInd w:val="0"/>
              <w:snapToGrid w:val="0"/>
              <w:spacing w:after="156"/>
              <w:rPr>
                <w:rFonts w:hint="eastAsia" w:ascii="宋体" w:hAnsi="宋体" w:eastAsia="宋体" w:cs="仿宋_GB2312"/>
                <w:b/>
                <w:kern w:val="0"/>
                <w:sz w:val="24"/>
                <w:highlight w:val="none"/>
                <w:lang w:eastAsia="zh-CN"/>
              </w:rPr>
            </w:pPr>
            <w:r>
              <w:rPr>
                <w:rFonts w:hint="eastAsia" w:ascii="宋体" w:hAnsi="宋体" w:cs="仿宋_GB2312"/>
                <w:kern w:val="0"/>
                <w:sz w:val="24"/>
                <w:highlight w:val="none"/>
                <w:lang w:val="en-US" w:eastAsia="zh-CN"/>
              </w:rPr>
              <w:t>三</w:t>
            </w:r>
            <w:r>
              <w:rPr>
                <w:rFonts w:hint="eastAsia" w:ascii="宋体" w:hAnsi="宋体" w:cs="仿宋_GB2312"/>
                <w:kern w:val="0"/>
                <w:sz w:val="24"/>
                <w:highlight w:val="none"/>
              </w:rPr>
              <w:t>份（一正二副）</w:t>
            </w:r>
          </w:p>
        </w:tc>
      </w:tr>
      <w:tr w14:paraId="02FC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6A37D652">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_Ref527102466 \r \h  \* MERGEFORMAT </w:instrText>
            </w:r>
            <w:r>
              <w:rPr>
                <w:highlight w:val="none"/>
              </w:rPr>
              <w:fldChar w:fldCharType="separate"/>
            </w:r>
            <w:r>
              <w:rPr>
                <w:rFonts w:ascii="宋体" w:hAnsi="宋体" w:cs="TimesNewRomanPSMT"/>
                <w:kern w:val="0"/>
                <w:sz w:val="20"/>
                <w:szCs w:val="21"/>
                <w:highlight w:val="none"/>
              </w:rPr>
              <w:t>3.8.4</w:t>
            </w:r>
            <w:r>
              <w:rPr>
                <w:highlight w:val="none"/>
              </w:rPr>
              <w:fldChar w:fldCharType="end"/>
            </w:r>
          </w:p>
        </w:tc>
        <w:tc>
          <w:tcPr>
            <w:tcW w:w="2515" w:type="dxa"/>
            <w:vAlign w:val="center"/>
          </w:tcPr>
          <w:p w14:paraId="6B640E49">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装订要求</w:t>
            </w:r>
          </w:p>
        </w:tc>
        <w:tc>
          <w:tcPr>
            <w:tcW w:w="5675" w:type="dxa"/>
            <w:vAlign w:val="center"/>
          </w:tcPr>
          <w:p w14:paraId="72E7E008">
            <w:pPr>
              <w:autoSpaceDE w:val="0"/>
              <w:autoSpaceDN w:val="0"/>
              <w:adjustRightInd w:val="0"/>
              <w:snapToGrid w:val="0"/>
              <w:rPr>
                <w:rFonts w:ascii="宋体" w:hAnsi="宋体" w:cs="仿宋_GB2312"/>
                <w:i/>
                <w:kern w:val="0"/>
                <w:sz w:val="24"/>
                <w:highlight w:val="none"/>
              </w:rPr>
            </w:pPr>
            <w:r>
              <w:rPr>
                <w:rFonts w:hint="eastAsia" w:ascii="宋体" w:hAnsi="宋体" w:cs="仿宋_GB2312"/>
                <w:kern w:val="0"/>
                <w:sz w:val="24"/>
                <w:highlight w:val="none"/>
              </w:rPr>
              <w:t>应</w:t>
            </w:r>
            <w:r>
              <w:rPr>
                <w:rFonts w:hint="eastAsia" w:ascii="宋体" w:hAnsi="宋体" w:cs="仿宋_GB2312"/>
                <w:kern w:val="0"/>
                <w:sz w:val="24"/>
                <w:highlight w:val="none"/>
                <w:lang w:val="en-US" w:eastAsia="zh-CN"/>
              </w:rPr>
              <w:t>胶装</w:t>
            </w:r>
            <w:r>
              <w:rPr>
                <w:rFonts w:hint="eastAsia" w:ascii="宋体" w:hAnsi="宋体" w:cs="仿宋_GB2312"/>
                <w:kern w:val="0"/>
                <w:sz w:val="24"/>
                <w:highlight w:val="none"/>
              </w:rPr>
              <w:t>订成册，不得采用活页方式</w:t>
            </w:r>
          </w:p>
        </w:tc>
      </w:tr>
      <w:tr w14:paraId="5281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542930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_Ref527102501 \r \h  \* MERGEFORMAT </w:instrText>
            </w:r>
            <w:r>
              <w:rPr>
                <w:highlight w:val="none"/>
              </w:rPr>
              <w:fldChar w:fldCharType="separate"/>
            </w:r>
            <w:r>
              <w:rPr>
                <w:rFonts w:ascii="宋体" w:hAnsi="宋体" w:cs="TimesNewRomanPSMT"/>
                <w:kern w:val="0"/>
                <w:sz w:val="20"/>
                <w:szCs w:val="21"/>
                <w:highlight w:val="none"/>
              </w:rPr>
              <w:t>4.1.2</w:t>
            </w:r>
            <w:r>
              <w:rPr>
                <w:highlight w:val="none"/>
              </w:rPr>
              <w:fldChar w:fldCharType="end"/>
            </w:r>
          </w:p>
        </w:tc>
        <w:tc>
          <w:tcPr>
            <w:tcW w:w="2515" w:type="dxa"/>
            <w:vAlign w:val="center"/>
          </w:tcPr>
          <w:p w14:paraId="0F95C68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封套上写明</w:t>
            </w:r>
          </w:p>
        </w:tc>
        <w:tc>
          <w:tcPr>
            <w:tcW w:w="5675" w:type="dxa"/>
            <w:vAlign w:val="center"/>
          </w:tcPr>
          <w:p w14:paraId="2657069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采购人名称：</w:t>
            </w:r>
          </w:p>
          <w:p w14:paraId="22FD85AE">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项目编号：</w:t>
            </w:r>
          </w:p>
          <w:p w14:paraId="3668A057">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（项目名称）</w:t>
            </w: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 xml:space="preserve">包响应文件在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r>
              <w:rPr>
                <w:rFonts w:ascii="宋体" w:hAnsi="宋体" w:cs="仿宋_GB2312"/>
                <w:kern w:val="0"/>
                <w:sz w:val="24"/>
                <w:highlight w:val="none"/>
              </w:rPr>
              <w:t xml:space="preserve"> </w:t>
            </w:r>
            <w:r>
              <w:rPr>
                <w:rFonts w:hint="eastAsia" w:ascii="宋体" w:hAnsi="宋体" w:cs="仿宋_GB2312"/>
                <w:kern w:val="0"/>
                <w:sz w:val="24"/>
                <w:highlight w:val="none"/>
              </w:rPr>
              <w:t>时</w:t>
            </w:r>
            <w:r>
              <w:rPr>
                <w:rFonts w:ascii="宋体" w:hAnsi="宋体" w:cs="仿宋_GB2312"/>
                <w:kern w:val="0"/>
                <w:sz w:val="24"/>
                <w:highlight w:val="none"/>
              </w:rPr>
              <w:t xml:space="preserve"> </w:t>
            </w:r>
            <w:r>
              <w:rPr>
                <w:rFonts w:hint="eastAsia" w:ascii="宋体" w:hAnsi="宋体" w:cs="仿宋_GB2312"/>
                <w:kern w:val="0"/>
                <w:sz w:val="24"/>
                <w:highlight w:val="none"/>
              </w:rPr>
              <w:t>分前不得开启</w:t>
            </w:r>
          </w:p>
          <w:p w14:paraId="435084FC">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供应商名称：</w:t>
            </w:r>
          </w:p>
        </w:tc>
      </w:tr>
      <w:tr w14:paraId="7B4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4C74E6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_Ref527102573 \r \h  \* MERGEFORMAT </w:instrText>
            </w:r>
            <w:r>
              <w:rPr>
                <w:highlight w:val="none"/>
              </w:rPr>
              <w:fldChar w:fldCharType="separate"/>
            </w:r>
            <w:r>
              <w:rPr>
                <w:rFonts w:ascii="宋体" w:hAnsi="宋体" w:cs="TimesNewRomanPSMT"/>
                <w:kern w:val="0"/>
                <w:sz w:val="20"/>
                <w:szCs w:val="21"/>
                <w:highlight w:val="none"/>
              </w:rPr>
              <w:t>5.1.1</w:t>
            </w:r>
            <w:r>
              <w:rPr>
                <w:highlight w:val="none"/>
              </w:rPr>
              <w:fldChar w:fldCharType="end"/>
            </w:r>
          </w:p>
        </w:tc>
        <w:tc>
          <w:tcPr>
            <w:tcW w:w="2515" w:type="dxa"/>
            <w:vAlign w:val="center"/>
          </w:tcPr>
          <w:p w14:paraId="55CDEF8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小组成员</w:t>
            </w:r>
          </w:p>
        </w:tc>
        <w:tc>
          <w:tcPr>
            <w:tcW w:w="5675" w:type="dxa"/>
            <w:vAlign w:val="center"/>
          </w:tcPr>
          <w:p w14:paraId="1C0F8C93">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lang w:val="en-US" w:eastAsia="zh-CN"/>
              </w:rPr>
              <w:t>三人以上单数组成</w:t>
            </w:r>
            <w:r>
              <w:rPr>
                <w:rFonts w:hint="eastAsia" w:ascii="宋体" w:hAnsi="宋体" w:cs="仿宋_GB2312"/>
                <w:kern w:val="0"/>
                <w:sz w:val="24"/>
                <w:highlight w:val="none"/>
              </w:rPr>
              <w:t>。</w:t>
            </w:r>
          </w:p>
        </w:tc>
      </w:tr>
      <w:tr w14:paraId="02AD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4FCE740">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_Ref527102841 \r \h  \* MERGEFORMAT </w:instrText>
            </w:r>
            <w:r>
              <w:rPr>
                <w:highlight w:val="none"/>
              </w:rPr>
              <w:fldChar w:fldCharType="separate"/>
            </w:r>
            <w:r>
              <w:rPr>
                <w:rFonts w:ascii="宋体" w:hAnsi="宋体" w:cs="TimesNewRomanPSMT"/>
                <w:kern w:val="0"/>
                <w:sz w:val="20"/>
                <w:szCs w:val="21"/>
                <w:highlight w:val="none"/>
              </w:rPr>
              <w:t>6.1</w:t>
            </w:r>
            <w:r>
              <w:rPr>
                <w:highlight w:val="none"/>
              </w:rPr>
              <w:fldChar w:fldCharType="end"/>
            </w:r>
          </w:p>
        </w:tc>
        <w:tc>
          <w:tcPr>
            <w:tcW w:w="2515" w:type="dxa"/>
            <w:vAlign w:val="center"/>
          </w:tcPr>
          <w:p w14:paraId="7E0CB24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确定成交供应商方式</w:t>
            </w:r>
          </w:p>
        </w:tc>
        <w:tc>
          <w:tcPr>
            <w:tcW w:w="5675" w:type="dxa"/>
            <w:vAlign w:val="center"/>
          </w:tcPr>
          <w:p w14:paraId="16965358">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w:t>
            </w:r>
          </w:p>
          <w:p w14:paraId="2BA903C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sym w:font="Wingdings 2" w:char="F052"/>
            </w:r>
            <w:r>
              <w:rPr>
                <w:rFonts w:hint="eastAsia" w:ascii="宋体" w:hAnsi="宋体" w:cs="仿宋_GB2312"/>
                <w:kern w:val="0"/>
                <w:sz w:val="24"/>
                <w:highlight w:val="none"/>
              </w:rPr>
              <w:t>采购人授权</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w:t>
            </w:r>
          </w:p>
        </w:tc>
      </w:tr>
      <w:tr w14:paraId="46D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192942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TimesNewRomanPSMT"/>
                <w:kern w:val="0"/>
                <w:sz w:val="20"/>
                <w:szCs w:val="21"/>
                <w:highlight w:val="none"/>
              </w:rPr>
              <w:t>6.4.1</w:t>
            </w:r>
            <w:r>
              <w:rPr>
                <w:highlight w:val="none"/>
              </w:rPr>
              <w:fldChar w:fldCharType="end"/>
            </w:r>
          </w:p>
        </w:tc>
        <w:tc>
          <w:tcPr>
            <w:tcW w:w="2515" w:type="dxa"/>
            <w:vAlign w:val="center"/>
          </w:tcPr>
          <w:p w14:paraId="46B589D9">
            <w:pPr>
              <w:autoSpaceDE w:val="0"/>
              <w:autoSpaceDN w:val="0"/>
              <w:adjustRightInd w:val="0"/>
              <w:snapToGrid w:val="0"/>
              <w:outlineLvl w:val="0"/>
              <w:rPr>
                <w:rFonts w:ascii="宋体" w:hAnsi="宋体" w:cs="仿宋_GB2312"/>
                <w:kern w:val="0"/>
                <w:sz w:val="24"/>
                <w:highlight w:val="none"/>
              </w:rPr>
            </w:pPr>
            <w:bookmarkStart w:id="18" w:name="_Toc62925383"/>
            <w:bookmarkStart w:id="19" w:name="_Toc62925518"/>
            <w:bookmarkStart w:id="20" w:name="_Toc13257"/>
            <w:r>
              <w:rPr>
                <w:rFonts w:hint="eastAsia" w:ascii="宋体" w:hAnsi="宋体" w:cs="仿宋_GB2312"/>
                <w:kern w:val="0"/>
                <w:sz w:val="24"/>
                <w:highlight w:val="none"/>
              </w:rPr>
              <w:t>履约保证金</w:t>
            </w:r>
            <w:bookmarkEnd w:id="18"/>
            <w:bookmarkEnd w:id="19"/>
            <w:bookmarkEnd w:id="20"/>
          </w:p>
        </w:tc>
        <w:tc>
          <w:tcPr>
            <w:tcW w:w="5675" w:type="dxa"/>
            <w:vAlign w:val="center"/>
          </w:tcPr>
          <w:p w14:paraId="3E465190">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1、成交供应商在签订合同时应向采购人提交合同总价</w:t>
            </w:r>
            <w:r>
              <w:rPr>
                <w:rFonts w:hint="eastAsia" w:asciiTheme="minorEastAsia" w:hAnsiTheme="minorEastAsia" w:eastAsiaTheme="minorEastAsia" w:cstheme="minorEastAsia"/>
                <w:bCs/>
                <w:kern w:val="0"/>
                <w:sz w:val="24"/>
                <w:highlight w:val="none"/>
                <w:u w:val="single"/>
              </w:rPr>
              <w:t xml:space="preserve"> / </w:t>
            </w:r>
            <w:r>
              <w:rPr>
                <w:rFonts w:hint="eastAsia" w:asciiTheme="minorEastAsia" w:hAnsiTheme="minorEastAsia" w:eastAsiaTheme="minorEastAsia" w:cstheme="minorEastAsia"/>
                <w:bCs/>
                <w:kern w:val="0"/>
                <w:sz w:val="24"/>
                <w:highlight w:val="none"/>
              </w:rPr>
              <w:t xml:space="preserve"> %的履约保证金（最高缴纳比例不得超过合同金额的 2.5%）。</w:t>
            </w:r>
          </w:p>
          <w:p w14:paraId="31AABD2E">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2、成交供应商可以通过转账、网银支付、汇票、支票、保证保险、担保保函、银行履约保函等方式提交履约保证金。</w:t>
            </w:r>
          </w:p>
          <w:p w14:paraId="5A9E8A73">
            <w:pPr>
              <w:spacing w:line="400" w:lineRule="exact"/>
              <w:rPr>
                <w:rFonts w:hint="default" w:eastAsia="宋体"/>
                <w:highlight w:val="none"/>
                <w:lang w:val="en-US" w:eastAsia="zh-CN"/>
              </w:rPr>
            </w:pPr>
            <w:r>
              <w:rPr>
                <w:rFonts w:hint="eastAsia" w:asciiTheme="minorEastAsia" w:hAnsiTheme="minorEastAsia" w:eastAsiaTheme="minorEastAsia" w:cstheme="minorEastAsia"/>
                <w:bCs/>
                <w:kern w:val="0"/>
                <w:sz w:val="24"/>
                <w:highlight w:val="none"/>
              </w:rPr>
              <w:t>3、项目验收结束后将及时退还履约保证金。</w:t>
            </w:r>
          </w:p>
        </w:tc>
      </w:tr>
      <w:tr w14:paraId="043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BE0AF33">
            <w:pPr>
              <w:autoSpaceDE w:val="0"/>
              <w:autoSpaceDN w:val="0"/>
              <w:adjustRightInd w:val="0"/>
              <w:snapToGrid w:val="0"/>
              <w:jc w:val="center"/>
              <w:rPr>
                <w:rFonts w:ascii="宋体" w:hAnsi="宋体"/>
                <w:b/>
                <w:bCs/>
                <w:kern w:val="0"/>
                <w:sz w:val="20"/>
                <w:szCs w:val="21"/>
                <w:highlight w:val="none"/>
              </w:rPr>
            </w:pPr>
            <w:r>
              <w:rPr>
                <w:highlight w:val="none"/>
              </w:rPr>
              <w:fldChar w:fldCharType="begin"/>
            </w:r>
            <w:r>
              <w:rPr>
                <w:highlight w:val="none"/>
              </w:rPr>
              <w:instrText xml:space="preserve"> REF _Ref527103019 \r \h  \* MERGEFORMAT </w:instrText>
            </w:r>
            <w:r>
              <w:rPr>
                <w:highlight w:val="none"/>
              </w:rPr>
              <w:fldChar w:fldCharType="separate"/>
            </w:r>
            <w:r>
              <w:rPr>
                <w:highlight w:val="none"/>
              </w:rPr>
              <w:t>9</w:t>
            </w:r>
            <w:r>
              <w:rPr>
                <w:highlight w:val="none"/>
              </w:rPr>
              <w:fldChar w:fldCharType="end"/>
            </w:r>
          </w:p>
        </w:tc>
        <w:tc>
          <w:tcPr>
            <w:tcW w:w="8190" w:type="dxa"/>
            <w:gridSpan w:val="2"/>
            <w:vAlign w:val="center"/>
          </w:tcPr>
          <w:p w14:paraId="61769D7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其他</w:t>
            </w:r>
          </w:p>
        </w:tc>
      </w:tr>
      <w:tr w14:paraId="002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D6EF0B2">
            <w:pPr>
              <w:autoSpaceDE w:val="0"/>
              <w:autoSpaceDN w:val="0"/>
              <w:adjustRightInd w:val="0"/>
              <w:snapToGrid w:val="0"/>
              <w:jc w:val="center"/>
              <w:rPr>
                <w:rFonts w:ascii="宋体" w:hAnsi="宋体" w:cs="TimesNewRomanPSMT"/>
                <w:kern w:val="0"/>
                <w:sz w:val="20"/>
                <w:szCs w:val="21"/>
                <w:highlight w:val="none"/>
              </w:rPr>
            </w:pPr>
            <w:r>
              <w:rPr>
                <w:rFonts w:ascii="宋体" w:hAnsi="宋体" w:cs="TimesNewRomanPSMT"/>
                <w:kern w:val="0"/>
                <w:sz w:val="20"/>
                <w:szCs w:val="21"/>
                <w:highlight w:val="none"/>
              </w:rPr>
              <w:t>（</w:t>
            </w:r>
            <w:r>
              <w:rPr>
                <w:rFonts w:hint="eastAsia" w:ascii="宋体" w:hAnsi="宋体" w:cs="TimesNewRomanPSMT"/>
                <w:kern w:val="0"/>
                <w:sz w:val="20"/>
                <w:szCs w:val="21"/>
                <w:highlight w:val="none"/>
              </w:rPr>
              <w:t>1）</w:t>
            </w:r>
          </w:p>
        </w:tc>
        <w:tc>
          <w:tcPr>
            <w:tcW w:w="2515" w:type="dxa"/>
            <w:vAlign w:val="center"/>
          </w:tcPr>
          <w:p w14:paraId="40D7C57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代理服务费计算</w:t>
            </w:r>
          </w:p>
        </w:tc>
        <w:tc>
          <w:tcPr>
            <w:tcW w:w="5675" w:type="dxa"/>
            <w:vAlign w:val="center"/>
          </w:tcPr>
          <w:p w14:paraId="1C18FDF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1、支付方：□采购人； ☑中标（成交）供应商。 </w:t>
            </w:r>
          </w:p>
          <w:p w14:paraId="130C188D">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2、本项目代理服务费收费标准：代理服务费参照原国家计委“计价格[2002]1980 号”文件收费标准收取。 </w:t>
            </w:r>
          </w:p>
          <w:p w14:paraId="123BDFF3">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3、代理服务费收取方式：银行转账。</w:t>
            </w:r>
          </w:p>
          <w:p w14:paraId="5B27DD5F">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（1）代理服务费缴纳账户:</w:t>
            </w:r>
          </w:p>
          <w:p w14:paraId="16D7959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户  名:六安弘跃商务代理有限公司 </w:t>
            </w:r>
          </w:p>
          <w:p w14:paraId="21B96784">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开户行:安徽叶集农村商业银行股份有限公司民强支行 </w:t>
            </w:r>
          </w:p>
          <w:p w14:paraId="018B1408">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账  号:20010376514366600000016 </w:t>
            </w:r>
          </w:p>
          <w:p w14:paraId="41DDC8EF">
            <w:pPr>
              <w:spacing w:line="400" w:lineRule="exact"/>
              <w:rPr>
                <w:rFonts w:ascii="宋体" w:hAnsi="宋体" w:cs="仿宋_GB2312"/>
                <w:kern w:val="0"/>
                <w:sz w:val="24"/>
                <w:highlight w:val="none"/>
              </w:rPr>
            </w:pPr>
            <w:r>
              <w:rPr>
                <w:rFonts w:hint="eastAsia" w:asciiTheme="minorEastAsia" w:hAnsiTheme="minorEastAsia" w:eastAsiaTheme="minorEastAsia" w:cstheme="minorEastAsia"/>
                <w:bCs/>
                <w:kern w:val="0"/>
                <w:sz w:val="24"/>
                <w:highlight w:val="none"/>
              </w:rPr>
              <w:t xml:space="preserve">（2）代理服务费详见中标（成交）结果公告；代理服务费须从中标（成交）供应商账户转出，并备注项目名称。 </w:t>
            </w:r>
          </w:p>
        </w:tc>
      </w:tr>
      <w:tr w14:paraId="51F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CA36A0E">
            <w:pPr>
              <w:autoSpaceDE w:val="0"/>
              <w:autoSpaceDN w:val="0"/>
              <w:adjustRightInd w:val="0"/>
              <w:snapToGrid w:val="0"/>
              <w:jc w:val="center"/>
              <w:rPr>
                <w:rFonts w:ascii="宋体" w:hAnsi="宋体" w:cs="TimesNewRomanPSMT"/>
                <w:kern w:val="0"/>
                <w:sz w:val="20"/>
                <w:szCs w:val="21"/>
                <w:highlight w:val="none"/>
              </w:rPr>
            </w:pPr>
            <w:r>
              <w:rPr>
                <w:rFonts w:hint="eastAsia" w:ascii="宋体" w:hAnsi="宋体" w:cs="TimesNewRomanPSMT"/>
                <w:kern w:val="0"/>
                <w:sz w:val="20"/>
                <w:szCs w:val="21"/>
                <w:highlight w:val="none"/>
              </w:rPr>
              <w:t>（2）</w:t>
            </w:r>
          </w:p>
        </w:tc>
        <w:tc>
          <w:tcPr>
            <w:tcW w:w="2515" w:type="dxa"/>
            <w:vAlign w:val="center"/>
          </w:tcPr>
          <w:p w14:paraId="3072B7B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支付方式</w:t>
            </w:r>
          </w:p>
        </w:tc>
        <w:tc>
          <w:tcPr>
            <w:tcW w:w="5675" w:type="dxa"/>
            <w:vAlign w:val="center"/>
          </w:tcPr>
          <w:p w14:paraId="3D51CE58">
            <w:pPr>
              <w:spacing w:line="400" w:lineRule="exact"/>
              <w:rPr>
                <w:rFonts w:hint="default" w:ascii="宋体" w:hAnsi="宋体" w:eastAsia="宋体" w:cs="仿宋_GB2312"/>
                <w:kern w:val="0"/>
                <w:sz w:val="24"/>
                <w:highlight w:val="none"/>
                <w:lang w:val="en-US" w:eastAsia="zh-CN"/>
              </w:rPr>
            </w:pPr>
            <w:r>
              <w:rPr>
                <w:rFonts w:hint="eastAsia" w:ascii="宋体" w:hAnsi="宋体" w:cs="仿宋_GB2312"/>
                <w:color w:val="auto"/>
                <w:kern w:val="0"/>
                <w:sz w:val="24"/>
                <w:highlight w:val="none"/>
                <w:lang w:val="en-US" w:eastAsia="zh-CN"/>
              </w:rPr>
              <w:t>按需供货据实季度结算</w:t>
            </w:r>
          </w:p>
        </w:tc>
      </w:tr>
    </w:tbl>
    <w:p w14:paraId="1C70D45F">
      <w:pPr>
        <w:autoSpaceDE w:val="0"/>
        <w:autoSpaceDN w:val="0"/>
        <w:adjustRightInd w:val="0"/>
        <w:snapToGrid w:val="0"/>
        <w:spacing w:after="156" w:afterLines="50"/>
        <w:jc w:val="left"/>
        <w:rPr>
          <w:rFonts w:ascii="宋体" w:hAnsi="宋体" w:cs="黑体"/>
          <w:kern w:val="0"/>
          <w:sz w:val="28"/>
          <w:szCs w:val="28"/>
          <w:highlight w:val="none"/>
        </w:rPr>
      </w:pPr>
    </w:p>
    <w:p w14:paraId="3124C21C">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ascii="宋体" w:hAnsi="宋体" w:cs="仿宋_GB2312"/>
          <w:kern w:val="0"/>
          <w:szCs w:val="21"/>
          <w:highlight w:val="none"/>
        </w:rPr>
        <w:br w:type="page"/>
      </w:r>
      <w:r>
        <w:rPr>
          <w:rFonts w:hint="eastAsia" w:ascii="宋体" w:hAnsi="宋体" w:cs="黑体"/>
          <w:kern w:val="0"/>
          <w:sz w:val="28"/>
          <w:szCs w:val="28"/>
          <w:highlight w:val="none"/>
        </w:rPr>
        <w:t>（二）供应商须知</w:t>
      </w:r>
    </w:p>
    <w:p w14:paraId="60BB0AB3">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21" w:name="_Toc195921793"/>
      <w:r>
        <w:rPr>
          <w:rFonts w:hint="eastAsia" w:ascii="黑体" w:hAnsi="宋体" w:eastAsia="黑体" w:cs="黑体"/>
          <w:kern w:val="0"/>
          <w:sz w:val="24"/>
          <w:highlight w:val="none"/>
        </w:rPr>
        <w:t>总则</w:t>
      </w:r>
      <w:bookmarkEnd w:id="21"/>
    </w:p>
    <w:p w14:paraId="5DA685AF">
      <w:pPr>
        <w:numPr>
          <w:ilvl w:val="1"/>
          <w:numId w:val="3"/>
        </w:numPr>
        <w:autoSpaceDE w:val="0"/>
        <w:autoSpaceDN w:val="0"/>
        <w:adjustRightInd w:val="0"/>
        <w:snapToGrid w:val="0"/>
        <w:spacing w:after="156" w:afterLines="50"/>
        <w:rPr>
          <w:rFonts w:ascii="宋体" w:hAnsi="宋体" w:cs="黑体"/>
          <w:kern w:val="0"/>
          <w:sz w:val="24"/>
          <w:highlight w:val="none"/>
        </w:rPr>
      </w:pPr>
      <w:bookmarkStart w:id="22" w:name="_Toc195921794"/>
      <w:r>
        <w:rPr>
          <w:rFonts w:hint="eastAsia" w:ascii="宋体" w:hAnsi="宋体" w:cs="黑体"/>
          <w:kern w:val="0"/>
          <w:sz w:val="24"/>
          <w:highlight w:val="none"/>
        </w:rPr>
        <w:t>项目概况</w:t>
      </w:r>
      <w:bookmarkEnd w:id="22"/>
    </w:p>
    <w:p w14:paraId="0F0C61D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根据《中华人民共和国政府采购法》和《中华人民共和国政府采购法实施条例》等有关法律、法规和规章的规定，对本项目通过竞争性</w:t>
      </w:r>
      <w:r>
        <w:rPr>
          <w:rFonts w:hint="eastAsia" w:ascii="宋体" w:hAnsi="宋体" w:cs="黑体"/>
          <w:kern w:val="0"/>
          <w:sz w:val="24"/>
          <w:highlight w:val="none"/>
          <w:lang w:eastAsia="zh-CN"/>
        </w:rPr>
        <w:t>磋商</w:t>
      </w:r>
      <w:r>
        <w:rPr>
          <w:rFonts w:hint="eastAsia" w:ascii="宋体" w:hAnsi="宋体" w:cs="黑体"/>
          <w:kern w:val="0"/>
          <w:sz w:val="24"/>
          <w:highlight w:val="none"/>
        </w:rPr>
        <w:t>进行采购。</w:t>
      </w:r>
    </w:p>
    <w:p w14:paraId="5F92044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w:t>
      </w:r>
      <w:r>
        <w:rPr>
          <w:rFonts w:hint="eastAsia"/>
          <w:sz w:val="24"/>
          <w:highlight w:val="none"/>
        </w:rPr>
        <w:t>指依法进行政府采购的国家机关、事业单位、团体组织。本项目采购人见竞争性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184C702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采购代理机构：</w:t>
      </w:r>
      <w:r>
        <w:rPr>
          <w:rFonts w:hint="eastAsia"/>
          <w:sz w:val="24"/>
          <w:highlight w:val="none"/>
        </w:rPr>
        <w:t>指采购人委托的采购代理机构。本项目采购代理机构见竞争性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07B563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采购项目名称：</w:t>
      </w:r>
    </w:p>
    <w:p w14:paraId="6154829D">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649BFEFC">
      <w:pPr>
        <w:numPr>
          <w:ilvl w:val="1"/>
          <w:numId w:val="3"/>
        </w:numPr>
        <w:autoSpaceDE w:val="0"/>
        <w:autoSpaceDN w:val="0"/>
        <w:adjustRightInd w:val="0"/>
        <w:snapToGrid w:val="0"/>
        <w:spacing w:after="156" w:afterLines="50"/>
        <w:rPr>
          <w:rFonts w:ascii="宋体" w:hAnsi="宋体" w:cs="黑体"/>
          <w:kern w:val="0"/>
          <w:sz w:val="24"/>
          <w:highlight w:val="none"/>
        </w:rPr>
      </w:pPr>
      <w:bookmarkStart w:id="23" w:name="_Toc195921795"/>
      <w:r>
        <w:rPr>
          <w:rFonts w:hint="eastAsia" w:ascii="宋体" w:hAnsi="宋体" w:cs="黑体"/>
          <w:kern w:val="0"/>
          <w:sz w:val="24"/>
          <w:highlight w:val="none"/>
        </w:rPr>
        <w:t>采购预算</w:t>
      </w:r>
      <w:bookmarkEnd w:id="23"/>
      <w:r>
        <w:rPr>
          <w:rFonts w:hint="eastAsia" w:ascii="宋体" w:hAnsi="宋体" w:cs="黑体"/>
          <w:kern w:val="0"/>
          <w:sz w:val="24"/>
          <w:highlight w:val="none"/>
        </w:rPr>
        <w:t>及最高限价</w:t>
      </w:r>
    </w:p>
    <w:p w14:paraId="74840920">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7E159CAB">
      <w:pPr>
        <w:numPr>
          <w:ilvl w:val="1"/>
          <w:numId w:val="3"/>
        </w:numPr>
        <w:autoSpaceDE w:val="0"/>
        <w:autoSpaceDN w:val="0"/>
        <w:adjustRightInd w:val="0"/>
        <w:snapToGrid w:val="0"/>
        <w:spacing w:after="156" w:afterLines="50"/>
        <w:rPr>
          <w:rFonts w:ascii="宋体" w:hAnsi="宋体" w:cs="黑体"/>
          <w:kern w:val="0"/>
          <w:sz w:val="24"/>
          <w:highlight w:val="none"/>
        </w:rPr>
      </w:pPr>
      <w:bookmarkStart w:id="24" w:name="_Toc195921796"/>
      <w:r>
        <w:rPr>
          <w:rFonts w:hint="eastAsia" w:ascii="宋体" w:hAnsi="宋体" w:cs="黑体"/>
          <w:kern w:val="0"/>
          <w:sz w:val="24"/>
          <w:highlight w:val="none"/>
        </w:rPr>
        <w:t>采购范围、供货期/服务期和质量要求</w:t>
      </w:r>
      <w:bookmarkEnd w:id="24"/>
    </w:p>
    <w:p w14:paraId="27BA3578">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见采购需求。</w:t>
      </w:r>
    </w:p>
    <w:p w14:paraId="04B2FA74">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w:t>
      </w:r>
      <w:r>
        <w:rPr>
          <w:rFonts w:hint="eastAsia" w:asciiTheme="minorEastAsia" w:hAnsiTheme="minorEastAsia"/>
          <w:sz w:val="24"/>
          <w:highlight w:val="none"/>
        </w:rPr>
        <w:t>指递交响应文件的法人、其他组织或自然人</w:t>
      </w:r>
      <w:r>
        <w:rPr>
          <w:rFonts w:hint="eastAsia" w:ascii="宋体" w:hAnsi="宋体" w:cs="黑体"/>
          <w:kern w:val="0"/>
          <w:sz w:val="24"/>
          <w:highlight w:val="none"/>
        </w:rPr>
        <w:t>。</w:t>
      </w:r>
    </w:p>
    <w:p w14:paraId="1D889C46">
      <w:pPr>
        <w:numPr>
          <w:ilvl w:val="1"/>
          <w:numId w:val="3"/>
        </w:numPr>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对供应商相关要求</w:t>
      </w:r>
    </w:p>
    <w:p w14:paraId="324D4AF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符合竞争性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“供应商资格要求”。</w:t>
      </w:r>
    </w:p>
    <w:p w14:paraId="2221279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供应商应当遵循公平竞争的原则，不得恶意串通，不得妨碍其他供应商的竞争行为，不得损害采购人或者其他供应商的合法权益。</w:t>
      </w:r>
    </w:p>
    <w:p w14:paraId="2A6EB12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供应商不得以向采购人、采购代理机构、</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小组成员行贿或者采取其他不正当手段谋取成交。</w:t>
      </w:r>
    </w:p>
    <w:p w14:paraId="6F596CC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规定接受联合体的，还应遵守以下规定：</w:t>
      </w:r>
    </w:p>
    <w:p w14:paraId="712D1DDC">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联合体各方应按</w:t>
      </w:r>
      <w:r>
        <w:rPr>
          <w:rFonts w:hint="eastAsia" w:ascii="宋体" w:hAnsi="宋体"/>
          <w:sz w:val="24"/>
          <w:highlight w:val="none"/>
          <w:lang w:eastAsia="zh-CN"/>
        </w:rPr>
        <w:t>磋商</w:t>
      </w:r>
      <w:r>
        <w:rPr>
          <w:rFonts w:hint="eastAsia" w:ascii="宋体" w:hAnsi="宋体"/>
          <w:sz w:val="24"/>
          <w:highlight w:val="none"/>
        </w:rPr>
        <w:t>文件提供的格式签订联合体协议书，明确联合体牵头人和各方工作内容和义务；</w:t>
      </w:r>
    </w:p>
    <w:p w14:paraId="59CBF129">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联合体中有同类资质的供应商按照联合体分工承担相同工作的，应当按照资质等级较低的供应商确定联合体的资质等级。</w:t>
      </w:r>
    </w:p>
    <w:p w14:paraId="1E02E037">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联合体各方不得再单独参加或者与其他供应商另外组成联合体参加同一合同项下的</w:t>
      </w:r>
      <w:r>
        <w:rPr>
          <w:rFonts w:hint="eastAsia" w:ascii="宋体" w:hAnsi="宋体"/>
          <w:sz w:val="24"/>
          <w:highlight w:val="none"/>
          <w:lang w:eastAsia="zh-CN"/>
        </w:rPr>
        <w:t>磋商</w:t>
      </w:r>
      <w:r>
        <w:rPr>
          <w:rFonts w:hint="eastAsia" w:ascii="宋体" w:hAnsi="宋体"/>
          <w:sz w:val="24"/>
          <w:highlight w:val="none"/>
        </w:rPr>
        <w:t>。</w:t>
      </w:r>
    </w:p>
    <w:p w14:paraId="294411CD">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联合体各方应当共同与采购人签订采购合同，就合同约定的事项对采购人承担连带责任。</w:t>
      </w:r>
    </w:p>
    <w:p w14:paraId="21C2B310">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本项目将执行在政府采购活动中查询及使用信用记录的规定，具体要求为：</w:t>
      </w:r>
    </w:p>
    <w:p w14:paraId="7D2E347C">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信用信息查询的截止时点：递交首次响应文件截止时间后。</w:t>
      </w:r>
      <w:r>
        <w:rPr>
          <w:rFonts w:ascii="宋体" w:hAnsi="宋体"/>
          <w:sz w:val="24"/>
          <w:highlight w:val="none"/>
        </w:rPr>
        <w:t xml:space="preserve"> </w:t>
      </w:r>
    </w:p>
    <w:p w14:paraId="2195E1E0">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查询渠道：“信用中国”网站（</w:t>
      </w:r>
      <w:r>
        <w:rPr>
          <w:rFonts w:ascii="宋体" w:hAnsi="宋体"/>
          <w:sz w:val="24"/>
          <w:highlight w:val="none"/>
        </w:rPr>
        <w:t xml:space="preserve">www.creditchina.gov.cn）和中国政府采购网（www.ccgp.gov.cn）； </w:t>
      </w:r>
    </w:p>
    <w:p w14:paraId="17C9BACB">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信用信息查询记录和证据留存具体方式：将经查询存在不良信用记录的潜在供应商的查询结果网页截图作为查询记录和证据，与其他</w:t>
      </w:r>
      <w:r>
        <w:rPr>
          <w:rFonts w:hint="eastAsia" w:ascii="宋体" w:hAnsi="宋体"/>
          <w:sz w:val="24"/>
          <w:highlight w:val="none"/>
          <w:lang w:eastAsia="zh-CN"/>
        </w:rPr>
        <w:t>磋商</w:t>
      </w:r>
      <w:r>
        <w:rPr>
          <w:rFonts w:hint="eastAsia" w:ascii="宋体" w:hAnsi="宋体"/>
          <w:sz w:val="24"/>
          <w:highlight w:val="none"/>
        </w:rPr>
        <w:t>文件一并保存；</w:t>
      </w:r>
      <w:r>
        <w:rPr>
          <w:rFonts w:ascii="宋体" w:hAnsi="宋体"/>
          <w:sz w:val="24"/>
          <w:highlight w:val="none"/>
        </w:rPr>
        <w:t xml:space="preserve"> </w:t>
      </w:r>
    </w:p>
    <w:p w14:paraId="6B6EEE2E">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信用信息的使用规则：</w:t>
      </w:r>
      <w:r>
        <w:rPr>
          <w:rFonts w:ascii="宋体" w:hAnsi="宋体"/>
          <w:sz w:val="24"/>
          <w:highlight w:val="none"/>
        </w:rPr>
        <w:t>本政府采购项目的供应商在</w:t>
      </w:r>
      <w:r>
        <w:rPr>
          <w:rFonts w:hint="eastAsia" w:ascii="宋体" w:hAnsi="宋体"/>
          <w:sz w:val="24"/>
          <w:highlight w:val="none"/>
        </w:rPr>
        <w:t>信用信息查询</w:t>
      </w:r>
      <w:r>
        <w:rPr>
          <w:rFonts w:ascii="宋体" w:hAnsi="宋体"/>
          <w:sz w:val="24"/>
          <w:highlight w:val="none"/>
        </w:rPr>
        <w:t>截止时点（含）之前存在</w:t>
      </w:r>
      <w:r>
        <w:rPr>
          <w:rFonts w:hint="eastAsia" w:ascii="宋体" w:hAnsi="宋体"/>
          <w:sz w:val="24"/>
          <w:highlight w:val="none"/>
        </w:rPr>
        <w:t>第一章竞争性</w:t>
      </w:r>
      <w:r>
        <w:rPr>
          <w:rFonts w:hint="eastAsia"/>
          <w:sz w:val="24"/>
          <w:highlight w:val="none"/>
          <w:lang w:eastAsia="zh-CN"/>
        </w:rPr>
        <w:t>磋商</w:t>
      </w:r>
      <w:r>
        <w:rPr>
          <w:rFonts w:hint="eastAsia"/>
          <w:sz w:val="24"/>
          <w:highlight w:val="none"/>
        </w:rPr>
        <w:t>采购公告“供应商资格要求”中</w:t>
      </w:r>
      <w:r>
        <w:rPr>
          <w:rFonts w:hint="eastAsia" w:ascii="宋体" w:hAnsi="宋体"/>
          <w:sz w:val="24"/>
          <w:highlight w:val="none"/>
        </w:rPr>
        <w:t>所述</w:t>
      </w:r>
      <w:r>
        <w:rPr>
          <w:rFonts w:ascii="宋体" w:hAnsi="宋体"/>
          <w:sz w:val="24"/>
          <w:highlight w:val="none"/>
        </w:rPr>
        <w:t>不良信用记录的，不得参与</w:t>
      </w:r>
      <w:r>
        <w:rPr>
          <w:rFonts w:hint="eastAsia" w:ascii="宋体" w:hAnsi="宋体"/>
          <w:sz w:val="24"/>
          <w:highlight w:val="none"/>
          <w:lang w:eastAsia="zh-CN"/>
        </w:rPr>
        <w:t>磋商</w:t>
      </w:r>
      <w:r>
        <w:rPr>
          <w:rFonts w:ascii="宋体" w:hAnsi="宋体"/>
          <w:sz w:val="24"/>
          <w:highlight w:val="none"/>
        </w:rPr>
        <w:t>。</w:t>
      </w:r>
    </w:p>
    <w:p w14:paraId="37009DFA">
      <w:pPr>
        <w:numPr>
          <w:ilvl w:val="1"/>
          <w:numId w:val="3"/>
        </w:numPr>
        <w:autoSpaceDE w:val="0"/>
        <w:autoSpaceDN w:val="0"/>
        <w:adjustRightInd w:val="0"/>
        <w:snapToGrid w:val="0"/>
        <w:spacing w:after="156" w:afterLines="50"/>
        <w:rPr>
          <w:rFonts w:ascii="宋体" w:hAnsi="宋体" w:cs="黑体"/>
          <w:kern w:val="0"/>
          <w:sz w:val="24"/>
          <w:highlight w:val="none"/>
        </w:rPr>
      </w:pPr>
      <w:bookmarkStart w:id="25" w:name="_Ref527101463"/>
      <w:r>
        <w:rPr>
          <w:rFonts w:hint="eastAsia" w:ascii="宋体" w:hAnsi="宋体" w:cs="黑体"/>
          <w:kern w:val="0"/>
          <w:sz w:val="24"/>
          <w:highlight w:val="none"/>
        </w:rPr>
        <w:t>分包</w:t>
      </w:r>
      <w:bookmarkEnd w:id="25"/>
    </w:p>
    <w:p w14:paraId="14E61333">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供应商须知前附表规定允许分包的，供应商应根据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14:paraId="7D4C6155">
      <w:pPr>
        <w:numPr>
          <w:ilvl w:val="1"/>
          <w:numId w:val="3"/>
        </w:numPr>
        <w:autoSpaceDE w:val="0"/>
        <w:autoSpaceDN w:val="0"/>
        <w:adjustRightInd w:val="0"/>
        <w:snapToGrid w:val="0"/>
        <w:spacing w:after="156" w:afterLines="50"/>
        <w:rPr>
          <w:rFonts w:ascii="宋体" w:hAnsi="宋体" w:cs="黑体"/>
          <w:kern w:val="0"/>
          <w:sz w:val="24"/>
          <w:highlight w:val="none"/>
        </w:rPr>
      </w:pPr>
      <w:bookmarkStart w:id="26" w:name="_Toc195921799"/>
      <w:r>
        <w:rPr>
          <w:rFonts w:hint="eastAsia" w:ascii="宋体" w:hAnsi="宋体" w:cs="黑体"/>
          <w:kern w:val="0"/>
          <w:sz w:val="24"/>
          <w:highlight w:val="none"/>
        </w:rPr>
        <w:t>费用承担</w:t>
      </w:r>
      <w:bookmarkEnd w:id="26"/>
    </w:p>
    <w:p w14:paraId="0B9ECB5E">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供应商准备和参加</w:t>
      </w:r>
      <w:r>
        <w:rPr>
          <w:rFonts w:hint="eastAsia" w:ascii="宋体" w:hAnsi="宋体" w:cs="黑体"/>
          <w:kern w:val="0"/>
          <w:sz w:val="24"/>
          <w:highlight w:val="none"/>
          <w:lang w:eastAsia="zh-CN"/>
        </w:rPr>
        <w:t>磋商</w:t>
      </w:r>
      <w:r>
        <w:rPr>
          <w:rFonts w:hint="eastAsia" w:ascii="宋体" w:hAnsi="宋体" w:cs="黑体"/>
          <w:kern w:val="0"/>
          <w:sz w:val="24"/>
          <w:highlight w:val="none"/>
        </w:rPr>
        <w:t>活动发生的费用自理。</w:t>
      </w:r>
    </w:p>
    <w:p w14:paraId="609D4756">
      <w:pPr>
        <w:numPr>
          <w:ilvl w:val="1"/>
          <w:numId w:val="3"/>
        </w:numPr>
        <w:autoSpaceDE w:val="0"/>
        <w:autoSpaceDN w:val="0"/>
        <w:adjustRightInd w:val="0"/>
        <w:snapToGrid w:val="0"/>
        <w:spacing w:after="156" w:afterLines="50"/>
        <w:rPr>
          <w:rFonts w:ascii="宋体" w:hAnsi="宋体" w:cs="黑体"/>
          <w:kern w:val="0"/>
          <w:sz w:val="24"/>
          <w:highlight w:val="none"/>
        </w:rPr>
      </w:pPr>
      <w:bookmarkStart w:id="27" w:name="_Toc195921800"/>
      <w:r>
        <w:rPr>
          <w:rFonts w:hint="eastAsia" w:ascii="宋体" w:hAnsi="宋体" w:cs="黑体"/>
          <w:kern w:val="0"/>
          <w:sz w:val="24"/>
          <w:highlight w:val="none"/>
        </w:rPr>
        <w:t>保密</w:t>
      </w:r>
      <w:bookmarkEnd w:id="27"/>
    </w:p>
    <w:p w14:paraId="72FFBB7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参与</w:t>
      </w:r>
      <w:r>
        <w:rPr>
          <w:rFonts w:hint="eastAsia" w:ascii="宋体" w:hAnsi="宋体" w:cs="黑体"/>
          <w:kern w:val="0"/>
          <w:sz w:val="24"/>
          <w:highlight w:val="none"/>
          <w:lang w:eastAsia="zh-CN"/>
        </w:rPr>
        <w:t>磋商</w:t>
      </w:r>
      <w:r>
        <w:rPr>
          <w:rFonts w:hint="eastAsia" w:ascii="宋体" w:hAnsi="宋体" w:cs="黑体"/>
          <w:kern w:val="0"/>
          <w:sz w:val="24"/>
          <w:highlight w:val="none"/>
        </w:rPr>
        <w:t>活动的各方应对</w:t>
      </w:r>
      <w:r>
        <w:rPr>
          <w:rFonts w:hint="eastAsia" w:ascii="宋体" w:hAnsi="宋体" w:cs="黑体"/>
          <w:kern w:val="0"/>
          <w:sz w:val="24"/>
          <w:highlight w:val="none"/>
          <w:lang w:eastAsia="zh-CN"/>
        </w:rPr>
        <w:t>磋商</w:t>
      </w:r>
      <w:r>
        <w:rPr>
          <w:rFonts w:hint="eastAsia" w:ascii="宋体" w:hAnsi="宋体" w:cs="黑体"/>
          <w:kern w:val="0"/>
          <w:sz w:val="24"/>
          <w:highlight w:val="none"/>
        </w:rPr>
        <w:t>文件和响应文件中的商业和技术等秘密保密，违者应对由此造成的后果承担法律责任。</w:t>
      </w:r>
    </w:p>
    <w:p w14:paraId="410ACC45">
      <w:pPr>
        <w:numPr>
          <w:ilvl w:val="1"/>
          <w:numId w:val="3"/>
        </w:numPr>
        <w:autoSpaceDE w:val="0"/>
        <w:autoSpaceDN w:val="0"/>
        <w:adjustRightInd w:val="0"/>
        <w:snapToGrid w:val="0"/>
        <w:spacing w:after="156" w:afterLines="50"/>
        <w:rPr>
          <w:rFonts w:ascii="宋体" w:hAnsi="宋体" w:cs="黑体"/>
          <w:kern w:val="0"/>
          <w:sz w:val="24"/>
          <w:highlight w:val="none"/>
        </w:rPr>
      </w:pPr>
      <w:bookmarkStart w:id="28" w:name="_Toc195921801"/>
      <w:r>
        <w:rPr>
          <w:rFonts w:hint="eastAsia" w:ascii="宋体" w:hAnsi="宋体" w:cs="黑体"/>
          <w:kern w:val="0"/>
          <w:sz w:val="24"/>
          <w:highlight w:val="none"/>
        </w:rPr>
        <w:t>语言文字</w:t>
      </w:r>
      <w:bookmarkEnd w:id="28"/>
    </w:p>
    <w:p w14:paraId="27856E8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除专用术语外，与</w:t>
      </w:r>
      <w:r>
        <w:rPr>
          <w:rFonts w:hint="eastAsia" w:ascii="宋体" w:hAnsi="宋体" w:cs="黑体"/>
          <w:kern w:val="0"/>
          <w:sz w:val="24"/>
          <w:highlight w:val="none"/>
          <w:lang w:eastAsia="zh-CN"/>
        </w:rPr>
        <w:t>磋商</w:t>
      </w:r>
      <w:r>
        <w:rPr>
          <w:rFonts w:hint="eastAsia" w:ascii="宋体" w:hAnsi="宋体" w:cs="黑体"/>
          <w:kern w:val="0"/>
          <w:sz w:val="24"/>
          <w:highlight w:val="none"/>
        </w:rPr>
        <w:t>有关的语言均使用中文。必要时专用术语应附有中文注释。</w:t>
      </w:r>
    </w:p>
    <w:p w14:paraId="08DB3212">
      <w:pPr>
        <w:numPr>
          <w:ilvl w:val="1"/>
          <w:numId w:val="3"/>
        </w:numPr>
        <w:autoSpaceDE w:val="0"/>
        <w:autoSpaceDN w:val="0"/>
        <w:adjustRightInd w:val="0"/>
        <w:snapToGrid w:val="0"/>
        <w:spacing w:after="156" w:afterLines="50"/>
        <w:rPr>
          <w:rFonts w:ascii="宋体" w:hAnsi="宋体" w:cs="黑体"/>
          <w:kern w:val="0"/>
          <w:sz w:val="24"/>
          <w:highlight w:val="none"/>
        </w:rPr>
      </w:pPr>
      <w:bookmarkStart w:id="29" w:name="_Toc195921802"/>
      <w:r>
        <w:rPr>
          <w:rFonts w:hint="eastAsia" w:ascii="宋体" w:hAnsi="宋体" w:cs="黑体"/>
          <w:kern w:val="0"/>
          <w:sz w:val="24"/>
          <w:highlight w:val="none"/>
        </w:rPr>
        <w:t>计量单位</w:t>
      </w:r>
      <w:bookmarkEnd w:id="29"/>
    </w:p>
    <w:p w14:paraId="4B637AC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所有计量均采用中华人民共和国法定计量单位。</w:t>
      </w:r>
    </w:p>
    <w:p w14:paraId="2F495394">
      <w:pPr>
        <w:numPr>
          <w:ilvl w:val="1"/>
          <w:numId w:val="3"/>
        </w:numPr>
        <w:autoSpaceDE w:val="0"/>
        <w:autoSpaceDN w:val="0"/>
        <w:adjustRightInd w:val="0"/>
        <w:snapToGrid w:val="0"/>
        <w:spacing w:after="156" w:afterLines="50"/>
        <w:rPr>
          <w:rFonts w:ascii="宋体" w:hAnsi="宋体" w:cs="黑体"/>
          <w:kern w:val="0"/>
          <w:sz w:val="24"/>
          <w:highlight w:val="none"/>
        </w:rPr>
      </w:pPr>
      <w:bookmarkStart w:id="30" w:name="_Ref527101478"/>
      <w:r>
        <w:rPr>
          <w:rFonts w:ascii="宋体" w:hAnsi="宋体" w:cs="黑体"/>
          <w:kern w:val="0"/>
          <w:sz w:val="24"/>
          <w:highlight w:val="none"/>
        </w:rPr>
        <w:t>踏勘现场</w:t>
      </w:r>
      <w:bookmarkEnd w:id="30"/>
    </w:p>
    <w:p w14:paraId="4CA432D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31" w:name="_Ref527657954"/>
      <w:r>
        <w:rPr>
          <w:rFonts w:ascii="宋体" w:hAnsi="宋体" w:cs="黑体"/>
          <w:kern w:val="0"/>
          <w:sz w:val="24"/>
          <w:highlight w:val="none"/>
        </w:rPr>
        <w:t>供应商须知前附表规定组织踏勘现场的，采购人须按照规定时间、地点组织供应商踏勘项目现场。</w:t>
      </w:r>
      <w:bookmarkEnd w:id="31"/>
    </w:p>
    <w:p w14:paraId="583E67C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供应商承担踏勘现场所发生的自身费用、责任和风险。</w:t>
      </w:r>
    </w:p>
    <w:p w14:paraId="1293C6A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采购人向供应商提供的有关现场的资料和数据，是采购人现有的能被供应商利用的资料，采购人不对供应商由此而做出的推论、理解和结论负责。</w:t>
      </w:r>
    </w:p>
    <w:p w14:paraId="7FC7F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除采购人原因外，供应商应对踏勘现场而造成的人员伤亡、财产损失以及由此引起的连带责任和费用负责。</w:t>
      </w:r>
    </w:p>
    <w:p w14:paraId="27F3DE0F">
      <w:pPr>
        <w:autoSpaceDE w:val="0"/>
        <w:autoSpaceDN w:val="0"/>
        <w:adjustRightInd w:val="0"/>
        <w:snapToGrid w:val="0"/>
        <w:spacing w:after="156" w:afterLines="50"/>
        <w:ind w:left="1134" w:leftChars="540"/>
        <w:rPr>
          <w:rFonts w:ascii="宋体" w:hAnsi="宋体" w:cs="黑体"/>
          <w:kern w:val="0"/>
          <w:sz w:val="24"/>
          <w:highlight w:val="none"/>
        </w:rPr>
      </w:pPr>
    </w:p>
    <w:p w14:paraId="47FDB58A">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lang w:eastAsia="zh-CN"/>
        </w:rPr>
        <w:t>磋商</w:t>
      </w:r>
      <w:r>
        <w:rPr>
          <w:rFonts w:hint="eastAsia" w:ascii="黑体" w:hAnsi="宋体" w:eastAsia="黑体" w:cs="黑体"/>
          <w:kern w:val="0"/>
          <w:sz w:val="24"/>
          <w:highlight w:val="none"/>
        </w:rPr>
        <w:t>文件</w:t>
      </w:r>
    </w:p>
    <w:p w14:paraId="3E273614">
      <w:pPr>
        <w:numPr>
          <w:ilvl w:val="1"/>
          <w:numId w:val="3"/>
        </w:numPr>
        <w:autoSpaceDE w:val="0"/>
        <w:autoSpaceDN w:val="0"/>
        <w:adjustRightInd w:val="0"/>
        <w:snapToGrid w:val="0"/>
        <w:spacing w:after="156" w:afterLines="50"/>
        <w:rPr>
          <w:rFonts w:ascii="宋体" w:hAnsi="宋体" w:cs="黑体"/>
          <w:kern w:val="0"/>
          <w:sz w:val="24"/>
          <w:highlight w:val="none"/>
        </w:rPr>
      </w:pPr>
      <w:bookmarkStart w:id="32" w:name="_Toc195921808"/>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w:t>
      </w:r>
      <w:bookmarkEnd w:id="32"/>
    </w:p>
    <w:p w14:paraId="710C07D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本</w:t>
      </w:r>
      <w:r>
        <w:rPr>
          <w:rFonts w:hint="eastAsia" w:ascii="宋体" w:hAnsi="宋体" w:cs="黑体"/>
          <w:kern w:val="0"/>
          <w:sz w:val="24"/>
          <w:highlight w:val="none"/>
          <w:lang w:eastAsia="zh-CN"/>
        </w:rPr>
        <w:t>磋商</w:t>
      </w:r>
      <w:r>
        <w:rPr>
          <w:rFonts w:hint="eastAsia" w:ascii="宋体" w:hAnsi="宋体" w:cs="黑体"/>
          <w:kern w:val="0"/>
          <w:sz w:val="24"/>
          <w:highlight w:val="none"/>
        </w:rPr>
        <w:t>文件包括：</w:t>
      </w:r>
    </w:p>
    <w:p w14:paraId="0DF2EBDA">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7FC7BDA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供应商须知；</w:t>
      </w:r>
    </w:p>
    <w:p w14:paraId="6FFCE0E9">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评审办法和标准；</w:t>
      </w:r>
    </w:p>
    <w:p w14:paraId="063998E6">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合同条款；</w:t>
      </w:r>
    </w:p>
    <w:p w14:paraId="5DF9879C">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采购需求</w:t>
      </w:r>
    </w:p>
    <w:p w14:paraId="48AC864F">
      <w:pPr>
        <w:pStyle w:val="423"/>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响应文件格式。</w:t>
      </w:r>
    </w:p>
    <w:p w14:paraId="23EB540C">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根据本章第</w:t>
      </w:r>
      <w:r>
        <w:rPr>
          <w:highlight w:val="none"/>
        </w:rPr>
        <w:fldChar w:fldCharType="begin"/>
      </w:r>
      <w:r>
        <w:rPr>
          <w:highlight w:val="none"/>
        </w:rPr>
        <w:instrText xml:space="preserve"> REF _Ref527652798 \r \h  \* MERGEFORMAT </w:instrText>
      </w:r>
      <w:r>
        <w:rPr>
          <w:highlight w:val="none"/>
        </w:rPr>
        <w:fldChar w:fldCharType="separate"/>
      </w:r>
      <w:r>
        <w:rPr>
          <w:rFonts w:ascii="宋体" w:hAnsi="宋体" w:cs="黑体"/>
          <w:kern w:val="0"/>
          <w:sz w:val="24"/>
          <w:highlight w:val="none"/>
        </w:rPr>
        <w:t>2.2</w:t>
      </w:r>
      <w:r>
        <w:rPr>
          <w:highlight w:val="none"/>
        </w:rPr>
        <w:fldChar w:fldCharType="end"/>
      </w:r>
      <w:r>
        <w:rPr>
          <w:rFonts w:hint="eastAsia" w:ascii="宋体" w:hAnsi="宋体" w:cs="黑体"/>
          <w:kern w:val="0"/>
          <w:sz w:val="24"/>
          <w:highlight w:val="none"/>
        </w:rPr>
        <w:t>款对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文件所作的澄清、修改，构成</w:t>
      </w:r>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文件的组成部分。</w:t>
      </w:r>
    </w:p>
    <w:p w14:paraId="3368EF12">
      <w:pPr>
        <w:numPr>
          <w:ilvl w:val="1"/>
          <w:numId w:val="3"/>
        </w:numPr>
        <w:autoSpaceDE w:val="0"/>
        <w:autoSpaceDN w:val="0"/>
        <w:adjustRightInd w:val="0"/>
        <w:snapToGrid w:val="0"/>
        <w:spacing w:after="156" w:afterLines="50"/>
        <w:rPr>
          <w:rFonts w:ascii="宋体" w:hAnsi="宋体" w:cs="黑体"/>
          <w:kern w:val="0"/>
          <w:sz w:val="24"/>
          <w:highlight w:val="none"/>
        </w:rPr>
      </w:pPr>
      <w:bookmarkStart w:id="33" w:name="_Toc195921809"/>
      <w:bookmarkStart w:id="34" w:name="_Ref426441946"/>
      <w:bookmarkStart w:id="35" w:name="_Ref527652798"/>
      <w:r>
        <w:rPr>
          <w:rFonts w:hint="eastAsia" w:ascii="宋体" w:hAnsi="宋体" w:cs="黑体"/>
          <w:kern w:val="0"/>
          <w:sz w:val="24"/>
          <w:highlight w:val="none"/>
          <w:lang w:eastAsia="zh-CN"/>
        </w:rPr>
        <w:t>磋商</w:t>
      </w:r>
      <w:r>
        <w:rPr>
          <w:rFonts w:hint="eastAsia" w:ascii="宋体" w:hAnsi="宋体" w:cs="黑体"/>
          <w:kern w:val="0"/>
          <w:sz w:val="24"/>
          <w:highlight w:val="none"/>
        </w:rPr>
        <w:t>文件的澄清</w:t>
      </w:r>
      <w:bookmarkEnd w:id="33"/>
      <w:bookmarkEnd w:id="34"/>
      <w:r>
        <w:rPr>
          <w:rFonts w:hint="eastAsia" w:ascii="宋体" w:hAnsi="宋体" w:cs="黑体"/>
          <w:kern w:val="0"/>
          <w:sz w:val="24"/>
          <w:highlight w:val="none"/>
        </w:rPr>
        <w:t>或修改</w:t>
      </w:r>
      <w:bookmarkEnd w:id="35"/>
    </w:p>
    <w:p w14:paraId="1427A1B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供应商应仔细阅读和检查</w:t>
      </w:r>
      <w:r>
        <w:rPr>
          <w:rFonts w:hint="eastAsia" w:ascii="宋体" w:hAnsi="宋体" w:cs="黑体"/>
          <w:kern w:val="0"/>
          <w:sz w:val="24"/>
          <w:highlight w:val="none"/>
          <w:lang w:eastAsia="zh-CN"/>
        </w:rPr>
        <w:t>磋商</w:t>
      </w:r>
      <w:r>
        <w:rPr>
          <w:rFonts w:hint="eastAsia" w:ascii="宋体" w:hAnsi="宋体" w:cs="黑体"/>
          <w:kern w:val="0"/>
          <w:sz w:val="24"/>
          <w:highlight w:val="none"/>
        </w:rPr>
        <w:t>文件的全部内容。如发现缺页或附件不全，应及时向采购人提出，以便补齐。</w:t>
      </w:r>
    </w:p>
    <w:p w14:paraId="12933CF5">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36" w:name="_Ref527101604"/>
      <w:r>
        <w:rPr>
          <w:rFonts w:hint="eastAsia" w:ascii="宋体" w:hAnsi="宋体"/>
          <w:sz w:val="24"/>
          <w:highlight w:val="none"/>
        </w:rPr>
        <w:t>供应商</w:t>
      </w:r>
      <w:r>
        <w:rPr>
          <w:rFonts w:hint="eastAsia" w:ascii="宋体" w:hAnsi="宋体" w:cs="黑体"/>
          <w:kern w:val="0"/>
          <w:sz w:val="24"/>
          <w:highlight w:val="none"/>
        </w:rPr>
        <w:t>如有疑问</w:t>
      </w:r>
      <w:r>
        <w:rPr>
          <w:rFonts w:cs="宋体" w:asciiTheme="minorEastAsia" w:hAnsiTheme="minorEastAsia" w:eastAsiaTheme="minorEastAsia"/>
          <w:sz w:val="24"/>
          <w:highlight w:val="none"/>
        </w:rPr>
        <w:t>可以在供应商须知前附表规定的时间内向采购人提出询问</w:t>
      </w:r>
      <w:r>
        <w:rPr>
          <w:rFonts w:hint="eastAsia" w:ascii="宋体" w:hAnsi="宋体" w:cs="黑体"/>
          <w:kern w:val="0"/>
          <w:sz w:val="24"/>
          <w:highlight w:val="none"/>
        </w:rPr>
        <w:t>，要求采购人对</w:t>
      </w:r>
      <w:r>
        <w:rPr>
          <w:rFonts w:hint="eastAsia" w:ascii="宋体" w:hAnsi="宋体" w:cs="黑体"/>
          <w:kern w:val="0"/>
          <w:sz w:val="24"/>
          <w:highlight w:val="none"/>
          <w:lang w:eastAsia="zh-CN"/>
        </w:rPr>
        <w:t>磋商</w:t>
      </w:r>
      <w:r>
        <w:rPr>
          <w:rFonts w:hint="eastAsia" w:ascii="宋体" w:hAnsi="宋体" w:cs="黑体"/>
          <w:kern w:val="0"/>
          <w:sz w:val="24"/>
          <w:highlight w:val="none"/>
        </w:rPr>
        <w:t>文件予以澄清。</w:t>
      </w:r>
      <w:bookmarkEnd w:id="36"/>
    </w:p>
    <w:p w14:paraId="0F6D90BD">
      <w:pPr>
        <w:numPr>
          <w:ilvl w:val="2"/>
          <w:numId w:val="3"/>
        </w:numPr>
        <w:tabs>
          <w:tab w:val="left" w:pos="1260"/>
        </w:tabs>
        <w:autoSpaceDE w:val="0"/>
        <w:autoSpaceDN w:val="0"/>
        <w:adjustRightInd w:val="0"/>
        <w:snapToGrid w:val="0"/>
        <w:spacing w:after="156" w:afterLines="50"/>
        <w:rPr>
          <w:rFonts w:hAnsi="宋体" w:cs="宋体"/>
          <w:sz w:val="24"/>
          <w:highlight w:val="none"/>
        </w:rPr>
      </w:pPr>
      <w:r>
        <w:rPr>
          <w:rFonts w:hint="eastAsia" w:hAnsi="宋体" w:cs="宋体"/>
          <w:sz w:val="24"/>
          <w:highlight w:val="none"/>
        </w:rPr>
        <w:t>提交首次响应文件截止之日前，采购人、采购代理机构或者</w:t>
      </w:r>
      <w:r>
        <w:rPr>
          <w:rFonts w:hint="eastAsia" w:hAnsi="宋体" w:cs="宋体"/>
          <w:sz w:val="24"/>
          <w:highlight w:val="none"/>
          <w:lang w:eastAsia="zh-CN"/>
        </w:rPr>
        <w:t>磋商</w:t>
      </w:r>
      <w:r>
        <w:rPr>
          <w:rFonts w:hint="eastAsia" w:hAnsi="宋体" w:cs="宋体"/>
          <w:sz w:val="24"/>
          <w:highlight w:val="none"/>
        </w:rPr>
        <w:t>小组可以对已发出的</w:t>
      </w:r>
      <w:r>
        <w:rPr>
          <w:rFonts w:hint="eastAsia" w:hAnsi="宋体" w:cs="宋体"/>
          <w:sz w:val="24"/>
          <w:highlight w:val="none"/>
          <w:lang w:eastAsia="zh-CN"/>
        </w:rPr>
        <w:t>磋商</w:t>
      </w:r>
      <w:r>
        <w:rPr>
          <w:rFonts w:hint="eastAsia" w:hAnsi="宋体" w:cs="宋体"/>
          <w:sz w:val="24"/>
          <w:highlight w:val="none"/>
        </w:rPr>
        <w:t>文件进行必要的澄清或者修改，澄清或者修改的内容作为</w:t>
      </w:r>
      <w:r>
        <w:rPr>
          <w:rFonts w:hint="eastAsia" w:hAnsi="宋体" w:cs="宋体"/>
          <w:sz w:val="24"/>
          <w:highlight w:val="none"/>
          <w:lang w:eastAsia="zh-CN"/>
        </w:rPr>
        <w:t>磋商</w:t>
      </w:r>
      <w:r>
        <w:rPr>
          <w:rFonts w:hint="eastAsia" w:hAnsi="宋体" w:cs="宋体"/>
          <w:sz w:val="24"/>
          <w:highlight w:val="none"/>
        </w:rPr>
        <w:t>文件</w:t>
      </w:r>
      <w:r>
        <w:rPr>
          <w:rFonts w:hint="eastAsia" w:cs="宋体" w:asciiTheme="minorEastAsia" w:hAnsiTheme="minorEastAsia" w:eastAsiaTheme="minorEastAsia"/>
          <w:sz w:val="24"/>
          <w:highlight w:val="none"/>
        </w:rPr>
        <w:t>的组成部分。澄清或者修改的内容可能影响响应文件编制的，采购人、采购代理机构或者</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小组应当在提交首次响应文件截止之日</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个工作日前，以书面形式通知所有接收</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文件的供应商，不足</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个工作日的，应当顺延提交首次响应文件截止之日。</w:t>
      </w:r>
    </w:p>
    <w:p w14:paraId="415C5B0A">
      <w:pPr>
        <w:autoSpaceDE w:val="0"/>
        <w:autoSpaceDN w:val="0"/>
        <w:adjustRightInd w:val="0"/>
        <w:snapToGrid w:val="0"/>
        <w:spacing w:after="156" w:afterLines="50"/>
        <w:ind w:left="1134" w:leftChars="540"/>
        <w:rPr>
          <w:rFonts w:hAnsi="宋体" w:cs="宋体"/>
          <w:sz w:val="24"/>
          <w:highlight w:val="none"/>
        </w:rPr>
      </w:pPr>
      <w:r>
        <w:rPr>
          <w:rFonts w:hint="eastAsia" w:ascii="宋体" w:hAnsi="宋体" w:cs="黑体"/>
          <w:kern w:val="0"/>
          <w:sz w:val="24"/>
          <w:highlight w:val="none"/>
        </w:rPr>
        <w:t>通过邮件公告供应商参加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的，澄清修改和更正内容将以邮件形式发布，请各供应商予以查看。</w:t>
      </w:r>
    </w:p>
    <w:p w14:paraId="0477BC2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供应商应在收到澄清或修改文件后</w:t>
      </w:r>
      <w:r>
        <w:rPr>
          <w:rFonts w:hint="eastAsia" w:ascii="宋体" w:hAnsi="宋体" w:cs="宋体"/>
          <w:sz w:val="24"/>
          <w:highlight w:val="none"/>
        </w:rPr>
        <w:t>24小时内或根据澄清通知中要求的时间内</w:t>
      </w:r>
      <w:r>
        <w:rPr>
          <w:rFonts w:hint="eastAsia" w:ascii="宋体" w:hAnsi="宋体" w:cs="黑体"/>
          <w:kern w:val="0"/>
          <w:sz w:val="24"/>
          <w:highlight w:val="none"/>
        </w:rPr>
        <w:t>，将加盖公章的回执书面形式通知采购人</w:t>
      </w:r>
      <w:r>
        <w:rPr>
          <w:rFonts w:hAnsi="宋体" w:cs="宋体"/>
          <w:sz w:val="24"/>
          <w:highlight w:val="none"/>
        </w:rPr>
        <w:t>、采购代理机构或</w:t>
      </w:r>
      <w:r>
        <w:rPr>
          <w:rFonts w:hint="eastAsia" w:hAnsi="宋体" w:cs="宋体"/>
          <w:sz w:val="24"/>
          <w:highlight w:val="none"/>
          <w:lang w:eastAsia="zh-CN"/>
        </w:rPr>
        <w:t>磋商</w:t>
      </w:r>
      <w:r>
        <w:rPr>
          <w:rFonts w:hAnsi="宋体" w:cs="宋体"/>
          <w:sz w:val="24"/>
          <w:highlight w:val="none"/>
        </w:rPr>
        <w:t>小组</w:t>
      </w:r>
      <w:r>
        <w:rPr>
          <w:rFonts w:hint="eastAsia" w:ascii="宋体" w:hAnsi="宋体" w:cs="黑体"/>
          <w:kern w:val="0"/>
          <w:sz w:val="24"/>
          <w:highlight w:val="none"/>
        </w:rPr>
        <w:t>，确认已收到该澄清。否则，视为同意和接受该澄清或者修改内容。</w:t>
      </w:r>
    </w:p>
    <w:p w14:paraId="43F439B1">
      <w:pPr>
        <w:numPr>
          <w:ilvl w:val="1"/>
          <w:numId w:val="3"/>
        </w:numPr>
        <w:autoSpaceDE w:val="0"/>
        <w:autoSpaceDN w:val="0"/>
        <w:adjustRightInd w:val="0"/>
        <w:snapToGrid w:val="0"/>
        <w:spacing w:after="156" w:afterLines="50"/>
        <w:rPr>
          <w:rFonts w:ascii="宋体" w:hAnsi="宋体" w:cs="黑体"/>
          <w:kern w:val="0"/>
          <w:sz w:val="24"/>
          <w:highlight w:val="none"/>
        </w:rPr>
      </w:pPr>
      <w:bookmarkStart w:id="37" w:name="_Ref527101721"/>
      <w:r>
        <w:rPr>
          <w:rFonts w:cs="宋体" w:asciiTheme="minorEastAsia" w:hAnsiTheme="minorEastAsia" w:eastAsiaTheme="minorEastAsia"/>
          <w:sz w:val="24"/>
          <w:highlight w:val="none"/>
        </w:rPr>
        <w:t>供应商对</w:t>
      </w:r>
      <w:r>
        <w:rPr>
          <w:rFonts w:hint="eastAsia" w:cs="宋体" w:asciiTheme="minorEastAsia" w:hAnsiTheme="minorEastAsia" w:eastAsiaTheme="minorEastAsia"/>
          <w:sz w:val="24"/>
          <w:highlight w:val="none"/>
          <w:lang w:eastAsia="zh-CN"/>
        </w:rPr>
        <w:t>磋商</w:t>
      </w:r>
      <w:r>
        <w:rPr>
          <w:rFonts w:cs="宋体" w:asciiTheme="minorEastAsia" w:hAnsiTheme="minorEastAsia" w:eastAsiaTheme="minorEastAsia"/>
          <w:sz w:val="24"/>
          <w:highlight w:val="none"/>
        </w:rPr>
        <w:t>文件提出质疑的，</w:t>
      </w:r>
      <w:r>
        <w:rPr>
          <w:rFonts w:hint="eastAsia" w:asciiTheme="minorEastAsia" w:hAnsiTheme="minorEastAsia"/>
          <w:sz w:val="24"/>
          <w:highlight w:val="none"/>
        </w:rPr>
        <w:t>应当在获取</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文件或者</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文件公告期限届满之日起 7 个工作日内</w:t>
      </w:r>
      <w:r>
        <w:rPr>
          <w:rFonts w:hint="eastAsia" w:ascii="宋体" w:hAnsi="宋体"/>
          <w:sz w:val="24"/>
          <w:highlight w:val="none"/>
        </w:rPr>
        <w:t>，按供应商须知前附表中质疑函送达的方式以书面形式一次性提出质疑</w:t>
      </w:r>
      <w:r>
        <w:rPr>
          <w:rFonts w:cs="宋体" w:asciiTheme="minorEastAsia" w:hAnsiTheme="minorEastAsia" w:eastAsiaTheme="minorEastAsia"/>
          <w:sz w:val="24"/>
          <w:highlight w:val="none"/>
        </w:rPr>
        <w:t>。供应商</w:t>
      </w:r>
      <w:r>
        <w:rPr>
          <w:rFonts w:hint="eastAsia" w:asciiTheme="minorEastAsia" w:hAnsiTheme="minorEastAsia"/>
          <w:sz w:val="24"/>
          <w:highlight w:val="none"/>
        </w:rPr>
        <w:t>提出质疑应当提交质疑函和必要的证明材料，质疑函的内容应符合政府采购质疑和投诉办法的规定。</w:t>
      </w:r>
      <w:bookmarkEnd w:id="37"/>
    </w:p>
    <w:p w14:paraId="5F196637">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响应文件编制</w:t>
      </w:r>
    </w:p>
    <w:p w14:paraId="7E1D770F">
      <w:pPr>
        <w:numPr>
          <w:ilvl w:val="1"/>
          <w:numId w:val="3"/>
        </w:numPr>
        <w:autoSpaceDE w:val="0"/>
        <w:autoSpaceDN w:val="0"/>
        <w:adjustRightInd w:val="0"/>
        <w:snapToGrid w:val="0"/>
        <w:spacing w:after="156" w:afterLines="50"/>
        <w:rPr>
          <w:rFonts w:ascii="宋体" w:hAnsi="宋体" w:cs="黑体"/>
          <w:kern w:val="0"/>
          <w:sz w:val="24"/>
          <w:highlight w:val="none"/>
        </w:rPr>
      </w:pPr>
      <w:bookmarkStart w:id="38" w:name="_Toc195921812"/>
      <w:r>
        <w:rPr>
          <w:rFonts w:hint="eastAsia" w:ascii="宋体" w:hAnsi="宋体" w:cs="黑体"/>
          <w:kern w:val="0"/>
          <w:sz w:val="24"/>
          <w:highlight w:val="none"/>
        </w:rPr>
        <w:t>响应文件的组成</w:t>
      </w:r>
      <w:bookmarkEnd w:id="38"/>
    </w:p>
    <w:p w14:paraId="509BB62B">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响应文件应包括下列内容：</w:t>
      </w:r>
    </w:p>
    <w:p w14:paraId="3AB3D477">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 首次报价函及其附录；</w:t>
      </w:r>
    </w:p>
    <w:p w14:paraId="6E998C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（2） 法定代表人身份证明；</w:t>
      </w:r>
    </w:p>
    <w:p w14:paraId="576E14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（3） 授权委托书；</w:t>
      </w:r>
    </w:p>
    <w:p w14:paraId="1582B701">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（4） </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p>
    <w:p w14:paraId="650E817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（5） 分项报价表；</w:t>
      </w:r>
    </w:p>
    <w:p w14:paraId="625C54D3">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（6） 商务、合同条款偏差表；</w:t>
      </w:r>
    </w:p>
    <w:p w14:paraId="0B547DA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（7） 供应商基本情况表</w:t>
      </w:r>
    </w:p>
    <w:p w14:paraId="0230E4ED">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（8） 资格证明文件（详见响应文件格式要求）；</w:t>
      </w:r>
    </w:p>
    <w:p w14:paraId="34A813A5">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（9） 小微企业、监狱企业、残疾人福利单位的声明函或证明材料；</w:t>
      </w:r>
    </w:p>
    <w:p w14:paraId="44979E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（10） 响应承诺书；</w:t>
      </w:r>
    </w:p>
    <w:p w14:paraId="4E596C6A">
      <w:pPr>
        <w:autoSpaceDE w:val="0"/>
        <w:autoSpaceDN w:val="0"/>
        <w:adjustRightInd w:val="0"/>
        <w:snapToGrid w:val="0"/>
        <w:spacing w:after="156" w:afterLines="50"/>
        <w:ind w:left="1081"/>
        <w:rPr>
          <w:rFonts w:hint="eastAsia" w:ascii="宋体" w:hAnsi="宋体" w:eastAsia="宋体" w:cs="黑体"/>
          <w:kern w:val="0"/>
          <w:sz w:val="24"/>
          <w:highlight w:val="none"/>
          <w:lang w:eastAsia="zh-CN"/>
        </w:rPr>
      </w:pPr>
      <w:r>
        <w:rPr>
          <w:rFonts w:hint="eastAsia" w:ascii="宋体" w:hAnsi="宋体" w:cs="黑体"/>
          <w:kern w:val="0"/>
          <w:sz w:val="24"/>
          <w:highlight w:val="none"/>
        </w:rPr>
        <w:t>（11） 服务标准、验收等要求的响应</w:t>
      </w:r>
      <w:r>
        <w:rPr>
          <w:rFonts w:hint="eastAsia" w:ascii="宋体" w:hAnsi="宋体" w:cs="黑体"/>
          <w:kern w:val="0"/>
          <w:sz w:val="24"/>
          <w:highlight w:val="none"/>
          <w:lang w:eastAsia="zh-CN"/>
        </w:rPr>
        <w:t>；</w:t>
      </w:r>
    </w:p>
    <w:p w14:paraId="59EB75DC">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（12） 拟派服务实施人员表和资历表；</w:t>
      </w:r>
    </w:p>
    <w:p w14:paraId="37C7318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（13） 供应商其他承诺（如有）；</w:t>
      </w:r>
    </w:p>
    <w:p w14:paraId="596D71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（14） 最后报价函（</w:t>
      </w:r>
      <w:r>
        <w:rPr>
          <w:rFonts w:hint="eastAsia" w:ascii="宋体" w:hAnsi="宋体" w:cs="黑体"/>
          <w:kern w:val="0"/>
          <w:sz w:val="24"/>
          <w:highlight w:val="none"/>
          <w:lang w:eastAsia="zh-CN"/>
        </w:rPr>
        <w:t>磋商</w:t>
      </w:r>
      <w:r>
        <w:rPr>
          <w:rFonts w:hint="eastAsia" w:ascii="宋体" w:hAnsi="宋体" w:cs="黑体"/>
          <w:kern w:val="0"/>
          <w:sz w:val="24"/>
          <w:highlight w:val="none"/>
        </w:rPr>
        <w:t>结束后，根据</w:t>
      </w:r>
      <w:r>
        <w:rPr>
          <w:rFonts w:hint="eastAsia" w:ascii="宋体" w:hAnsi="宋体" w:cs="黑体"/>
          <w:kern w:val="0"/>
          <w:sz w:val="24"/>
          <w:highlight w:val="none"/>
          <w:lang w:eastAsia="zh-CN"/>
        </w:rPr>
        <w:t>磋商</w:t>
      </w:r>
      <w:r>
        <w:rPr>
          <w:rFonts w:hint="eastAsia" w:ascii="宋体" w:hAnsi="宋体" w:cs="黑体"/>
          <w:kern w:val="0"/>
          <w:sz w:val="24"/>
          <w:highlight w:val="none"/>
        </w:rPr>
        <w:t>小组要求提交）；</w:t>
      </w:r>
    </w:p>
    <w:p w14:paraId="2BAEEBD4">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 xml:space="preserve">（15）  </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文件要求的其他内容以及供应商认为必要的其他内容。</w:t>
      </w:r>
    </w:p>
    <w:p w14:paraId="28CA5B24">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39" w:name="_Toc195921813"/>
      <w:r>
        <w:rPr>
          <w:rFonts w:hint="eastAsia" w:ascii="宋体" w:hAnsi="宋体" w:cs="黑体"/>
          <w:kern w:val="0"/>
          <w:sz w:val="24"/>
          <w:highlight w:val="none"/>
        </w:rPr>
        <w:t>首次报价</w:t>
      </w:r>
      <w:bookmarkEnd w:id="39"/>
    </w:p>
    <w:p w14:paraId="3CCD688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0" w:name="_Toc195921814"/>
      <w:r>
        <w:rPr>
          <w:rFonts w:hint="eastAsia" w:ascii="宋体" w:hAnsi="宋体" w:cs="黑体"/>
          <w:kern w:val="0"/>
          <w:sz w:val="24"/>
          <w:highlight w:val="none"/>
        </w:rPr>
        <w:t>供应商应按</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文件第六章提供的格式进行首次报价。</w:t>
      </w:r>
    </w:p>
    <w:p w14:paraId="2ABB3D7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所有根据合同或其它原因应由供应商支付的税款和其它应交纳的费用都应包括在供应商提交的报价中。</w:t>
      </w:r>
    </w:p>
    <w:p w14:paraId="6C869EA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供应商应仔细阅读所有</w:t>
      </w:r>
      <w:r>
        <w:rPr>
          <w:rFonts w:hint="eastAsia" w:ascii="宋体" w:hAnsi="宋体" w:cs="黑体"/>
          <w:kern w:val="0"/>
          <w:sz w:val="24"/>
          <w:highlight w:val="none"/>
          <w:lang w:eastAsia="zh-CN"/>
        </w:rPr>
        <w:t>磋商</w:t>
      </w:r>
      <w:r>
        <w:rPr>
          <w:rFonts w:ascii="宋体" w:hAnsi="宋体" w:cs="黑体"/>
          <w:kern w:val="0"/>
          <w:sz w:val="24"/>
          <w:highlight w:val="none"/>
        </w:rPr>
        <w:t>文件，填报自己认为正确的报价。</w:t>
      </w:r>
    </w:p>
    <w:p w14:paraId="5437492A">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供应商对采购内容只允许有一个报价，采购人不接受任何有选择的报价。</w:t>
      </w:r>
    </w:p>
    <w:p w14:paraId="21ACF95A">
      <w:pPr>
        <w:numPr>
          <w:ilvl w:val="1"/>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本项目为总价合同，除非合同另有约定，供应商所报的最后价格在合同执行过程中是固定不变的，不得以任何理由予以变更。任何包含价格调整要求的响应文件，将被认为是非实质响应性而予以拒绝。</w:t>
      </w:r>
    </w:p>
    <w:p w14:paraId="20FC40D2">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报价不得有选择性报价和附有条件的报价，且不得高于预算价或最高限价，否则其报价无效。</w:t>
      </w:r>
    </w:p>
    <w:p w14:paraId="3536C4D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1" w:name="_Ref421009326"/>
      <w:r>
        <w:rPr>
          <w:rFonts w:hint="eastAsia" w:ascii="宋体" w:hAnsi="宋体" w:cs="黑体"/>
          <w:kern w:val="0"/>
          <w:sz w:val="24"/>
          <w:highlight w:val="none"/>
        </w:rPr>
        <w:t>响应文件有效期</w:t>
      </w:r>
      <w:bookmarkEnd w:id="40"/>
      <w:bookmarkEnd w:id="41"/>
    </w:p>
    <w:p w14:paraId="13824A5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2" w:name="_Ref527102185"/>
      <w:r>
        <w:rPr>
          <w:rFonts w:hint="eastAsia" w:asciiTheme="minorEastAsia" w:hAnsiTheme="minorEastAsia"/>
          <w:sz w:val="24"/>
          <w:highlight w:val="none"/>
        </w:rPr>
        <w:t>本项目</w:t>
      </w:r>
      <w:r>
        <w:rPr>
          <w:rFonts w:hint="eastAsia" w:ascii="宋体" w:hAnsi="宋体" w:cs="黑体"/>
          <w:kern w:val="0"/>
          <w:sz w:val="24"/>
          <w:highlight w:val="none"/>
        </w:rPr>
        <w:t>响应文件</w:t>
      </w:r>
      <w:r>
        <w:rPr>
          <w:rFonts w:hint="eastAsia" w:asciiTheme="minorEastAsia" w:hAnsiTheme="minorEastAsia"/>
          <w:sz w:val="24"/>
          <w:highlight w:val="none"/>
        </w:rPr>
        <w:t>有效期见供应商须知前附表。</w:t>
      </w:r>
      <w:r>
        <w:rPr>
          <w:rFonts w:hint="eastAsia" w:ascii="宋体" w:hAnsi="宋体" w:cs="黑体"/>
          <w:kern w:val="0"/>
          <w:sz w:val="24"/>
          <w:highlight w:val="none"/>
        </w:rPr>
        <w:t>响应文件</w:t>
      </w:r>
      <w:r>
        <w:rPr>
          <w:rFonts w:hint="eastAsia" w:asciiTheme="minorEastAsia" w:hAnsiTheme="minorEastAsia"/>
          <w:sz w:val="24"/>
          <w:highlight w:val="none"/>
        </w:rPr>
        <w:t>有效期从提交响应文件的截止之日起算。响应文件中承诺的有效期应当不少于</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文件中载明的有效期。</w:t>
      </w:r>
      <w:bookmarkEnd w:id="42"/>
    </w:p>
    <w:p w14:paraId="7B86903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在供应商须知前附表规定的响应文件有效期内，供应商不得要求撤销或修改其响应文件。</w:t>
      </w:r>
    </w:p>
    <w:p w14:paraId="4B0A9AC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3" w:name="_Toc195921815"/>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bookmarkEnd w:id="43"/>
      <w:r>
        <w:rPr>
          <w:rFonts w:hint="eastAsia" w:ascii="宋体" w:hAnsi="宋体" w:cs="黑体"/>
          <w:kern w:val="0"/>
          <w:sz w:val="24"/>
          <w:highlight w:val="none"/>
        </w:rPr>
        <w:t>（本项目不收取保证金）</w:t>
      </w:r>
    </w:p>
    <w:p w14:paraId="7D3AA5A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4" w:name="_Ref419361076"/>
      <w:r>
        <w:rPr>
          <w:rFonts w:hint="eastAsia" w:ascii="宋体" w:hAnsi="宋体" w:cs="黑体"/>
          <w:kern w:val="0"/>
          <w:sz w:val="24"/>
          <w:highlight w:val="none"/>
        </w:rPr>
        <w:t>供应商应按供应商须知前附表规定的金额、形式递交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保证金，并作为其响应文件的组成部分。以联合体形式递交响应文件的，可以由联合体中的一方或者共同提交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保证金，以一方名义提交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保证金的，对联合体各方均具有约束力。</w:t>
      </w:r>
      <w:bookmarkEnd w:id="44"/>
    </w:p>
    <w:p w14:paraId="6037BB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供应商不按本章第</w:t>
      </w: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黑体"/>
          <w:kern w:val="0"/>
          <w:sz w:val="24"/>
          <w:highlight w:val="none"/>
        </w:rPr>
        <w:t>3.</w:t>
      </w:r>
      <w:r>
        <w:rPr>
          <w:rFonts w:hint="eastAsia" w:ascii="宋体" w:hAnsi="宋体" w:cs="黑体"/>
          <w:kern w:val="0"/>
          <w:sz w:val="24"/>
          <w:highlight w:val="none"/>
        </w:rPr>
        <w:t>7</w:t>
      </w:r>
      <w:r>
        <w:rPr>
          <w:rFonts w:ascii="宋体" w:hAnsi="宋体" w:cs="黑体"/>
          <w:kern w:val="0"/>
          <w:sz w:val="24"/>
          <w:highlight w:val="none"/>
        </w:rPr>
        <w:t>.1</w:t>
      </w:r>
      <w:r>
        <w:rPr>
          <w:highlight w:val="none"/>
        </w:rPr>
        <w:fldChar w:fldCharType="end"/>
      </w:r>
      <w:r>
        <w:rPr>
          <w:rFonts w:hint="eastAsia" w:ascii="宋体" w:hAnsi="宋体" w:cs="黑体"/>
          <w:kern w:val="0"/>
          <w:sz w:val="24"/>
          <w:highlight w:val="none"/>
        </w:rPr>
        <w:t>项要求提交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保证金的，其响应文件无效。</w:t>
      </w:r>
    </w:p>
    <w:p w14:paraId="23262776">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45" w:name="_Ref419361088"/>
      <w:r>
        <w:rPr>
          <w:rFonts w:hint="eastAsia" w:ascii="宋体" w:hAnsi="宋体"/>
          <w:sz w:val="24"/>
          <w:highlight w:val="none"/>
        </w:rPr>
        <w:t>供应商在首次递交响应文件截止时间3日前，按</w:t>
      </w:r>
      <w:r>
        <w:rPr>
          <w:rFonts w:hint="eastAsia" w:ascii="宋体" w:hAnsi="宋体"/>
          <w:sz w:val="24"/>
          <w:highlight w:val="none"/>
          <w:lang w:eastAsia="zh-CN"/>
        </w:rPr>
        <w:t>磋商</w:t>
      </w:r>
      <w:r>
        <w:rPr>
          <w:rFonts w:hint="eastAsia" w:ascii="宋体" w:hAnsi="宋体"/>
          <w:sz w:val="24"/>
          <w:highlight w:val="none"/>
        </w:rPr>
        <w:t>文件的要求向采购代理机构递交</w:t>
      </w:r>
      <w:r>
        <w:rPr>
          <w:rFonts w:hint="eastAsia" w:ascii="宋体" w:hAnsi="宋体"/>
          <w:sz w:val="24"/>
          <w:highlight w:val="none"/>
          <w:lang w:eastAsia="zh-CN"/>
        </w:rPr>
        <w:t>磋商</w:t>
      </w:r>
      <w:r>
        <w:rPr>
          <w:rFonts w:hint="eastAsia" w:ascii="宋体" w:hAnsi="宋体"/>
          <w:sz w:val="24"/>
          <w:highlight w:val="none"/>
        </w:rPr>
        <w:t>保证金，递交首次响应文件截止时间之后递交的</w:t>
      </w:r>
      <w:r>
        <w:rPr>
          <w:rFonts w:hint="eastAsia" w:ascii="宋体" w:hAnsi="宋体"/>
          <w:sz w:val="24"/>
          <w:highlight w:val="none"/>
          <w:lang w:eastAsia="zh-CN"/>
        </w:rPr>
        <w:t>磋商</w:t>
      </w:r>
      <w:r>
        <w:rPr>
          <w:rFonts w:hint="eastAsia" w:ascii="宋体" w:hAnsi="宋体"/>
          <w:sz w:val="24"/>
          <w:highlight w:val="none"/>
        </w:rPr>
        <w:t>保证金将被拒绝。</w:t>
      </w:r>
      <w:bookmarkEnd w:id="45"/>
    </w:p>
    <w:p w14:paraId="6FC952F9">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hint="eastAsia" w:ascii="宋体" w:hAnsi="宋体"/>
          <w:sz w:val="24"/>
          <w:highlight w:val="none"/>
        </w:rPr>
        <w:t>供应商在汇款时务必注明所参与</w:t>
      </w:r>
      <w:r>
        <w:rPr>
          <w:rFonts w:hint="eastAsia" w:ascii="宋体" w:hAnsi="宋体"/>
          <w:sz w:val="24"/>
          <w:highlight w:val="none"/>
          <w:lang w:eastAsia="zh-CN"/>
        </w:rPr>
        <w:t>磋商</w:t>
      </w:r>
      <w:r>
        <w:rPr>
          <w:rFonts w:hint="eastAsia" w:ascii="宋体" w:hAnsi="宋体"/>
          <w:sz w:val="24"/>
          <w:highlight w:val="none"/>
        </w:rPr>
        <w:t>项目的编号及用途，否则，因款项用途不明导致响应文件无效等后果由供应商自行承担。</w:t>
      </w:r>
    </w:p>
    <w:p w14:paraId="5300AC5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采购人或者采购代理机构应当自成交通知书发出之日起5个工作日内退还非成交供应商的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保证金，自政府采购合同签订之日起5个工作日内退还成交供应商的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r>
        <w:rPr>
          <w:rFonts w:hint="eastAsia" w:asciiTheme="minorEastAsia" w:hAnsiTheme="minorEastAsia"/>
          <w:sz w:val="24"/>
          <w:highlight w:val="none"/>
        </w:rPr>
        <w:t>或者转为成交供应商的履约保证金</w:t>
      </w:r>
      <w:r>
        <w:rPr>
          <w:rFonts w:hint="eastAsia" w:ascii="宋体" w:hAnsi="宋体" w:cs="黑体"/>
          <w:kern w:val="0"/>
          <w:sz w:val="24"/>
          <w:highlight w:val="none"/>
        </w:rPr>
        <w:t>。</w:t>
      </w:r>
    </w:p>
    <w:p w14:paraId="4112676F">
      <w:pPr>
        <w:numPr>
          <w:ilvl w:val="255"/>
          <w:numId w:val="0"/>
        </w:num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采购人或者采购代理机构逾期退还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保证金的，除退还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保证金本金外，还应当按中国人民银行同期贷款基准利率上浮20％后的利率支付超期资金占用费，但因供应商自身原因导致无法及时退还的除外。</w:t>
      </w:r>
    </w:p>
    <w:p w14:paraId="6F11F58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hAnsi="宋体" w:cs="宋体"/>
          <w:sz w:val="24"/>
          <w:highlight w:val="none"/>
        </w:rPr>
        <w:t>供应商有下列行为之一者，其</w:t>
      </w:r>
      <w:r>
        <w:rPr>
          <w:rFonts w:hint="eastAsia" w:hAnsi="宋体" w:cs="宋体"/>
          <w:sz w:val="24"/>
          <w:highlight w:val="none"/>
          <w:lang w:eastAsia="zh-CN"/>
        </w:rPr>
        <w:t>磋商</w:t>
      </w:r>
      <w:r>
        <w:rPr>
          <w:rFonts w:hint="eastAsia" w:hAnsi="宋体" w:cs="宋体"/>
          <w:sz w:val="24"/>
          <w:highlight w:val="none"/>
        </w:rPr>
        <w:t>保证金可不予退还：</w:t>
      </w:r>
    </w:p>
    <w:p w14:paraId="36A709DD">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（1）供应商在响应文件有效期内撤回响应文件的；</w:t>
      </w:r>
    </w:p>
    <w:p w14:paraId="1AB4E98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（2）供应商在响应文件中提供虚假材料的；</w:t>
      </w:r>
    </w:p>
    <w:p w14:paraId="36BBBB2E">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（3）除因不可抗力或</w:t>
      </w:r>
      <w:r>
        <w:rPr>
          <w:rFonts w:hint="eastAsia" w:ascii="宋体" w:hAnsi="宋体" w:cs="黑体"/>
          <w:kern w:val="0"/>
          <w:sz w:val="24"/>
          <w:highlight w:val="none"/>
          <w:lang w:eastAsia="zh-CN"/>
        </w:rPr>
        <w:t>磋商</w:t>
      </w:r>
      <w:r>
        <w:rPr>
          <w:rFonts w:hint="eastAsia" w:ascii="宋体" w:hAnsi="宋体" w:cs="黑体"/>
          <w:kern w:val="0"/>
          <w:sz w:val="24"/>
          <w:highlight w:val="none"/>
        </w:rPr>
        <w:t>文件认可的情形以外，成交供应商不与采购人签订合同的；</w:t>
      </w:r>
    </w:p>
    <w:p w14:paraId="6330827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（4）供应商与采购人、其他供应商或者采购代理机构恶意串通的；</w:t>
      </w:r>
    </w:p>
    <w:p w14:paraId="3912256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（5）</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文件规定应由成交供应商缴纳代理服务费而成交供应商未缴纳的；</w:t>
      </w:r>
    </w:p>
    <w:p w14:paraId="69C57A3A">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（6）</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文件规定的其他情形。</w:t>
      </w:r>
    </w:p>
    <w:p w14:paraId="7AD0B23D">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6" w:name="_Toc195921818"/>
      <w:r>
        <w:rPr>
          <w:rFonts w:hint="eastAsia" w:ascii="宋体" w:hAnsi="宋体" w:cs="黑体"/>
          <w:kern w:val="0"/>
          <w:sz w:val="24"/>
          <w:highlight w:val="none"/>
        </w:rPr>
        <w:t>响应文件的编制</w:t>
      </w:r>
      <w:bookmarkEnd w:id="46"/>
    </w:p>
    <w:p w14:paraId="07BC218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响应文件应按第六章“响应文件格式”进行编写，如有必要，可以增加附页，作为响应文件的组成部分。供应商可以提出比</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文件要求更有利于采购人的承诺。</w:t>
      </w:r>
    </w:p>
    <w:p w14:paraId="244DBE3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响应文件应当对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文件有关采购范围、供货期/服务期、响应文件有效期及</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文件要求实质性内容作出响应。</w:t>
      </w:r>
    </w:p>
    <w:p w14:paraId="46683B4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7" w:name="_Ref527102437"/>
      <w:r>
        <w:rPr>
          <w:rFonts w:hint="eastAsia" w:ascii="宋体" w:hAnsi="宋体" w:cs="黑体"/>
          <w:kern w:val="0"/>
          <w:sz w:val="24"/>
          <w:highlight w:val="none"/>
        </w:rPr>
        <w:t>响应文件正本需打印或用不褪色墨水书写，供应商的法定代表人或经授权的代表须根据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文件第六章的规定在响应文件中需要签字和（或）盖章的位置签字（或盖人名章）和（或）加盖单位公章。授权代表须持有书面的“法定代表人授权书”（格式附后），并将其附在响应文件中。</w:t>
      </w:r>
      <w:bookmarkEnd w:id="47"/>
    </w:p>
    <w:p w14:paraId="683CDB9A">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首次响应文件递交截止时间前，如对首次响应文件进行了修改，包括在响应文件行间插字、涂改和增删，均应由供应商的法定代表人或经授权的代表在修改的每一页上签字。</w:t>
      </w:r>
    </w:p>
    <w:p w14:paraId="68F15690">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响应文件的副本可采用正本的复印件。</w:t>
      </w:r>
    </w:p>
    <w:p w14:paraId="54F59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响应文件正本一份，副本及电子文档要求份数见供应商须知前附表。正本和副本的封面上应清楚地标记“正本”或“副本”的字样。当副本和正本不一致时，以正本为准。</w:t>
      </w:r>
    </w:p>
    <w:p w14:paraId="21435B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8" w:name="_Ref527102466"/>
      <w:r>
        <w:rPr>
          <w:rFonts w:hint="eastAsia" w:ascii="宋体" w:hAnsi="宋体" w:cs="黑体"/>
          <w:kern w:val="0"/>
          <w:sz w:val="24"/>
          <w:highlight w:val="none"/>
        </w:rPr>
        <w:t>响应文件的正本与副本应分别装订成册，并编制目录，具体分册及装订要求见供应商须知前附表规定。</w:t>
      </w:r>
      <w:bookmarkEnd w:id="48"/>
    </w:p>
    <w:p w14:paraId="3F3A996F">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49" w:name="_Toc195921819"/>
      <w:r>
        <w:rPr>
          <w:rFonts w:hint="eastAsia" w:ascii="黑体" w:hAnsi="宋体" w:eastAsia="黑体" w:cs="黑体"/>
          <w:kern w:val="0"/>
          <w:sz w:val="24"/>
          <w:highlight w:val="none"/>
        </w:rPr>
        <w:t>响应文件</w:t>
      </w:r>
      <w:bookmarkEnd w:id="49"/>
      <w:r>
        <w:rPr>
          <w:rFonts w:hint="eastAsia" w:ascii="黑体" w:hAnsi="宋体" w:eastAsia="黑体" w:cs="黑体"/>
          <w:kern w:val="0"/>
          <w:sz w:val="24"/>
          <w:highlight w:val="none"/>
        </w:rPr>
        <w:t>提交</w:t>
      </w:r>
    </w:p>
    <w:p w14:paraId="1D4CE2BF">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0" w:name="_Toc195921820"/>
      <w:r>
        <w:rPr>
          <w:rFonts w:hint="eastAsia" w:ascii="宋体" w:hAnsi="宋体" w:cs="黑体"/>
          <w:kern w:val="0"/>
          <w:sz w:val="24"/>
          <w:highlight w:val="none"/>
        </w:rPr>
        <w:t>响应文件的</w:t>
      </w:r>
      <w:bookmarkEnd w:id="50"/>
      <w:r>
        <w:rPr>
          <w:rFonts w:hint="eastAsia" w:ascii="宋体" w:hAnsi="宋体" w:cs="黑体"/>
          <w:kern w:val="0"/>
          <w:sz w:val="24"/>
          <w:highlight w:val="none"/>
        </w:rPr>
        <w:t>密封和标记</w:t>
      </w:r>
    </w:p>
    <w:p w14:paraId="13C64EC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1" w:name="_Ref421008478"/>
      <w:r>
        <w:rPr>
          <w:rFonts w:hint="eastAsia" w:ascii="宋体" w:hAnsi="宋体" w:cs="黑体"/>
          <w:kern w:val="0"/>
          <w:sz w:val="24"/>
          <w:highlight w:val="none"/>
        </w:rPr>
        <w:t>供应商递交的响应文件，应按照标包分别加以密封。密封方式为在响应文件外包装封口处加盖公章或“密封章”。</w:t>
      </w:r>
    </w:p>
    <w:p w14:paraId="7EC5CE7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2" w:name="_Ref527102501"/>
      <w:r>
        <w:rPr>
          <w:rFonts w:hint="eastAsia" w:ascii="宋体" w:hAnsi="宋体" w:cs="黑体"/>
          <w:kern w:val="0"/>
          <w:sz w:val="24"/>
          <w:highlight w:val="none"/>
        </w:rPr>
        <w:t>响应文件的封套上应标识的其他内容见供应商须知前附表。</w:t>
      </w:r>
      <w:bookmarkEnd w:id="51"/>
      <w:bookmarkEnd w:id="52"/>
    </w:p>
    <w:p w14:paraId="129F390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未按本章第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4.1.1</w:t>
      </w:r>
      <w:r>
        <w:rPr>
          <w:highlight w:val="none"/>
        </w:rPr>
        <w:fldChar w:fldCharType="end"/>
      </w:r>
      <w:r>
        <w:rPr>
          <w:rFonts w:hint="eastAsia" w:ascii="宋体" w:hAnsi="宋体" w:cs="黑体"/>
          <w:kern w:val="0"/>
          <w:sz w:val="24"/>
          <w:highlight w:val="none"/>
        </w:rPr>
        <w:t>项、第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w:t>
      </w:r>
      <w:r>
        <w:rPr>
          <w:rFonts w:hint="eastAsia" w:ascii="宋体" w:hAnsi="宋体" w:cs="黑体"/>
          <w:kern w:val="0"/>
          <w:sz w:val="24"/>
          <w:highlight w:val="none"/>
        </w:rPr>
        <w:t>2</w:t>
      </w:r>
      <w:r>
        <w:rPr>
          <w:highlight w:val="none"/>
        </w:rPr>
        <w:fldChar w:fldCharType="end"/>
      </w:r>
      <w:r>
        <w:rPr>
          <w:rFonts w:hint="eastAsia" w:ascii="宋体" w:hAnsi="宋体" w:cs="黑体"/>
          <w:kern w:val="0"/>
          <w:sz w:val="24"/>
          <w:highlight w:val="none"/>
        </w:rPr>
        <w:t>项要求密封并加写标识的响应文件，采购人不予受理。</w:t>
      </w:r>
    </w:p>
    <w:p w14:paraId="2748D8C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3" w:name="_Toc195921821"/>
      <w:r>
        <w:rPr>
          <w:rFonts w:hint="eastAsia" w:ascii="宋体" w:hAnsi="宋体" w:cs="黑体"/>
          <w:kern w:val="0"/>
          <w:sz w:val="24"/>
          <w:highlight w:val="none"/>
        </w:rPr>
        <w:t>首次响应文件的递交</w:t>
      </w:r>
      <w:bookmarkEnd w:id="53"/>
    </w:p>
    <w:p w14:paraId="315019A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公告规定的递交响应文件截止时间前递交首次响应文件。如有变化，见澄清修改文件。</w:t>
      </w:r>
    </w:p>
    <w:p w14:paraId="45C6623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供应商递交首次响应文件的地点：见竞争性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公告。如有变化，见澄清修改文件。</w:t>
      </w:r>
    </w:p>
    <w:p w14:paraId="4BBCF7A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除因供应商家数不满足要求未进行</w:t>
      </w:r>
      <w:r>
        <w:rPr>
          <w:rFonts w:hint="eastAsia" w:ascii="宋体" w:hAnsi="宋体" w:cs="黑体"/>
          <w:kern w:val="0"/>
          <w:sz w:val="24"/>
          <w:highlight w:val="none"/>
          <w:lang w:eastAsia="zh-CN"/>
        </w:rPr>
        <w:t>磋商</w:t>
      </w:r>
      <w:r>
        <w:rPr>
          <w:rFonts w:hint="eastAsia" w:ascii="宋体" w:hAnsi="宋体" w:cs="黑体"/>
          <w:kern w:val="0"/>
          <w:sz w:val="24"/>
          <w:highlight w:val="none"/>
        </w:rPr>
        <w:t>的情形外，供应商所递交的响应文件不予退还。</w:t>
      </w:r>
    </w:p>
    <w:p w14:paraId="4B3CA76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逾期送达、</w:t>
      </w:r>
      <w:r>
        <w:rPr>
          <w:rFonts w:hint="eastAsia" w:ascii="宋体" w:hAnsi="宋体" w:cs="黑体"/>
          <w:kern w:val="0"/>
          <w:sz w:val="24"/>
          <w:highlight w:val="none"/>
        </w:rPr>
        <w:t>未送达指定地点</w:t>
      </w:r>
      <w:r>
        <w:rPr>
          <w:rFonts w:hint="eastAsia" w:asciiTheme="minorEastAsia" w:hAnsiTheme="minorEastAsia"/>
          <w:sz w:val="24"/>
          <w:highlight w:val="none"/>
        </w:rPr>
        <w:t>的响应文件</w:t>
      </w:r>
      <w:r>
        <w:rPr>
          <w:rFonts w:hint="eastAsia" w:ascii="宋体" w:hAnsi="宋体" w:cs="黑体"/>
          <w:kern w:val="0"/>
          <w:sz w:val="24"/>
          <w:highlight w:val="none"/>
        </w:rPr>
        <w:t>，采购人不予受理。</w:t>
      </w:r>
    </w:p>
    <w:p w14:paraId="4ED67B86">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4" w:name="_Toc195921822"/>
      <w:r>
        <w:rPr>
          <w:rFonts w:hint="eastAsia" w:ascii="宋体" w:hAnsi="宋体" w:cs="黑体"/>
          <w:kern w:val="0"/>
          <w:sz w:val="24"/>
          <w:highlight w:val="none"/>
        </w:rPr>
        <w:t>响应文件的修改与撤回</w:t>
      </w:r>
      <w:bookmarkEnd w:id="54"/>
    </w:p>
    <w:p w14:paraId="3BD1D7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规定的首次响应文件递交截止时间前，供应商可以修改或撤回已递交的首次响应文件，但应以书面形式通知采购人。</w:t>
      </w:r>
    </w:p>
    <w:p w14:paraId="7FB12BF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修改的内容为首次响应文件的组成部分。修改的首次响应文件应按照本章第</w:t>
      </w:r>
      <w:r>
        <w:rPr>
          <w:rFonts w:ascii="宋体" w:hAnsi="宋体" w:cs="黑体"/>
          <w:kern w:val="0"/>
          <w:sz w:val="24"/>
          <w:highlight w:val="none"/>
        </w:rPr>
        <w:t>3</w:t>
      </w:r>
      <w:r>
        <w:rPr>
          <w:rFonts w:hint="eastAsia" w:ascii="宋体" w:hAnsi="宋体" w:cs="黑体"/>
          <w:kern w:val="0"/>
          <w:sz w:val="24"/>
          <w:highlight w:val="none"/>
        </w:rPr>
        <w:t>条、第</w:t>
      </w:r>
      <w:r>
        <w:rPr>
          <w:rFonts w:ascii="宋体" w:hAnsi="宋体" w:cs="黑体"/>
          <w:kern w:val="0"/>
          <w:sz w:val="24"/>
          <w:highlight w:val="none"/>
        </w:rPr>
        <w:t>4</w:t>
      </w:r>
      <w:r>
        <w:rPr>
          <w:rFonts w:hint="eastAsia" w:ascii="宋体" w:hAnsi="宋体" w:cs="黑体"/>
          <w:kern w:val="0"/>
          <w:sz w:val="24"/>
          <w:highlight w:val="none"/>
        </w:rPr>
        <w:t>条规定进行编制、标记和递交，并标明“修改”字样。</w:t>
      </w:r>
    </w:p>
    <w:p w14:paraId="1B459F92">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评审与</w:t>
      </w:r>
      <w:r>
        <w:rPr>
          <w:rFonts w:hint="eastAsia" w:ascii="黑体" w:hAnsi="宋体" w:eastAsia="黑体" w:cs="黑体"/>
          <w:kern w:val="0"/>
          <w:sz w:val="24"/>
          <w:highlight w:val="none"/>
          <w:lang w:eastAsia="zh-CN"/>
        </w:rPr>
        <w:t>磋商</w:t>
      </w:r>
    </w:p>
    <w:p w14:paraId="0ED5767A">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p>
    <w:p w14:paraId="6BDFC28C">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5" w:name="_Ref527102573"/>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小组由采购人代表和评审专家组成，采购人代表和评审专家人数见供应商须知前附表。</w:t>
      </w:r>
      <w:bookmarkEnd w:id="55"/>
    </w:p>
    <w:p w14:paraId="3621F0C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小组成员有下列情形之一的，应当回避：</w:t>
      </w:r>
    </w:p>
    <w:p w14:paraId="78C1252C">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参加采购活动前3年内与供应商存在劳动关系；</w:t>
      </w:r>
    </w:p>
    <w:p w14:paraId="0C41727A">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参加采购活动前3年内担任供应商的董事、监事；</w:t>
      </w:r>
    </w:p>
    <w:p w14:paraId="08DBF705">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参加采购活动前3年内是供应商的控股股东或者实际控制人；</w:t>
      </w:r>
    </w:p>
    <w:p w14:paraId="6A36FA54">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与供应商的法定代表人或者负责人有夫妻、直系血亲、三代以内旁系血亲或者近姻亲关系；</w:t>
      </w:r>
    </w:p>
    <w:p w14:paraId="07CB91A7">
      <w:pPr>
        <w:pStyle w:val="40"/>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与供应商有其他可能影响政府采购活动公平、公正进行的关系。</w:t>
      </w:r>
    </w:p>
    <w:p w14:paraId="186F5AD2">
      <w:pPr>
        <w:numPr>
          <w:ilvl w:val="2"/>
          <w:numId w:val="3"/>
        </w:numPr>
        <w:tabs>
          <w:tab w:val="left" w:pos="1260"/>
          <w:tab w:val="left" w:pos="1418"/>
          <w:tab w:val="left" w:pos="1800"/>
        </w:tabs>
        <w:autoSpaceDE w:val="0"/>
        <w:autoSpaceDN w:val="0"/>
        <w:adjustRightInd w:val="0"/>
        <w:snapToGrid w:val="0"/>
        <w:spacing w:before="120"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r>
        <w:rPr>
          <w:rFonts w:hint="eastAsia" w:asciiTheme="minorEastAsia" w:hAnsiTheme="minorEastAsia"/>
          <w:sz w:val="24"/>
          <w:highlight w:val="none"/>
        </w:rPr>
        <w:t>负责具体评审事务，并独立履行下列职责</w:t>
      </w:r>
      <w:r>
        <w:rPr>
          <w:rFonts w:hint="eastAsia" w:ascii="宋体" w:hAnsi="宋体" w:cs="黑体"/>
          <w:kern w:val="0"/>
          <w:sz w:val="24"/>
          <w:highlight w:val="none"/>
        </w:rPr>
        <w:t>：</w:t>
      </w:r>
    </w:p>
    <w:p w14:paraId="45C1ABB5">
      <w:pPr>
        <w:pStyle w:val="40"/>
        <w:numPr>
          <w:ilvl w:val="0"/>
          <w:numId w:val="8"/>
        </w:numPr>
        <w:snapToGrid w:val="0"/>
        <w:spacing w:after="156" w:afterLines="50"/>
        <w:ind w:left="1985" w:hanging="851"/>
        <w:rPr>
          <w:rFonts w:hAnsi="宋体" w:cs="宋体"/>
          <w:sz w:val="24"/>
          <w:szCs w:val="24"/>
          <w:highlight w:val="none"/>
        </w:rPr>
      </w:pPr>
      <w:bookmarkStart w:id="56" w:name="_Toc195921828"/>
      <w:r>
        <w:rPr>
          <w:rFonts w:hint="eastAsia" w:hAnsi="宋体" w:cs="宋体"/>
          <w:sz w:val="24"/>
          <w:szCs w:val="24"/>
          <w:highlight w:val="none"/>
        </w:rPr>
        <w:t>确认</w:t>
      </w:r>
      <w:r>
        <w:rPr>
          <w:rFonts w:hint="eastAsia" w:hAnsi="宋体" w:cs="宋体"/>
          <w:sz w:val="24"/>
          <w:szCs w:val="24"/>
          <w:highlight w:val="none"/>
          <w:lang w:eastAsia="zh-CN"/>
        </w:rPr>
        <w:t>磋商</w:t>
      </w:r>
      <w:r>
        <w:rPr>
          <w:rFonts w:hint="eastAsia" w:hAnsi="宋体" w:cs="宋体"/>
          <w:sz w:val="24"/>
          <w:szCs w:val="24"/>
          <w:highlight w:val="none"/>
        </w:rPr>
        <w:t>文件；</w:t>
      </w:r>
    </w:p>
    <w:p w14:paraId="72870394">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审查供应商的响应文件并作出评价；</w:t>
      </w:r>
    </w:p>
    <w:p w14:paraId="63E3667A">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要求供应商解释或者澄清其响应文件；</w:t>
      </w:r>
    </w:p>
    <w:p w14:paraId="4452AF04">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编写评审报告；</w:t>
      </w:r>
    </w:p>
    <w:p w14:paraId="3FE61D9C">
      <w:pPr>
        <w:pStyle w:val="40"/>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告知采购人、采购代理机构在评审过程中发现的供应商的违法违规行为。</w:t>
      </w:r>
    </w:p>
    <w:p w14:paraId="76D2BF1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小组所有成员集中与单一供应商分别进行</w:t>
      </w:r>
      <w:r>
        <w:rPr>
          <w:rFonts w:hint="eastAsia" w:ascii="宋体" w:hAnsi="宋体" w:cs="黑体"/>
          <w:kern w:val="0"/>
          <w:sz w:val="24"/>
          <w:highlight w:val="none"/>
          <w:lang w:eastAsia="zh-CN"/>
        </w:rPr>
        <w:t>磋商</w:t>
      </w:r>
      <w:r>
        <w:rPr>
          <w:rFonts w:hint="eastAsia" w:ascii="宋体" w:hAnsi="宋体" w:cs="黑体"/>
          <w:kern w:val="0"/>
          <w:sz w:val="24"/>
          <w:highlight w:val="none"/>
        </w:rPr>
        <w:t>，并给予所有参加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的供应商平等的</w:t>
      </w:r>
      <w:r>
        <w:rPr>
          <w:rFonts w:hint="eastAsia" w:ascii="宋体" w:hAnsi="宋体" w:cs="黑体"/>
          <w:kern w:val="0"/>
          <w:sz w:val="24"/>
          <w:highlight w:val="none"/>
          <w:lang w:eastAsia="zh-CN"/>
        </w:rPr>
        <w:t>磋商</w:t>
      </w:r>
      <w:r>
        <w:rPr>
          <w:rFonts w:hint="eastAsia" w:ascii="宋体" w:hAnsi="宋体" w:cs="黑体"/>
          <w:kern w:val="0"/>
          <w:sz w:val="24"/>
          <w:highlight w:val="none"/>
        </w:rPr>
        <w:t>机会。</w:t>
      </w:r>
    </w:p>
    <w:p w14:paraId="1D8D9AC3">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结束后，</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小组可以要求所有继续参加</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的供应商在规定时间内提交最后报价函，提交最后报价函的供应商不得少于3家，但公开招标的货物、服务采购项目，招标过程中提交投标文件或者经评审实质性响应招标文件要求的供应商只有两家时，经财政部门批准后采用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p>
    <w:p w14:paraId="3AADBD0E">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供应商应当按照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文件的变动情况和</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小组的要求重新提交最后报价函，并由其法定代表人或授权代表签字或者加盖公章。由授权代表签字的，应当附法定代表人授权书。</w:t>
      </w:r>
    </w:p>
    <w:p w14:paraId="5A2D006E">
      <w:pPr>
        <w:autoSpaceDE w:val="0"/>
        <w:autoSpaceDN w:val="0"/>
        <w:adjustRightInd w:val="0"/>
        <w:snapToGrid w:val="0"/>
        <w:spacing w:after="156" w:afterLines="50"/>
        <w:ind w:left="1134" w:leftChars="540"/>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最后报价函是供应商响应文件的有效组成部分。</w:t>
      </w:r>
    </w:p>
    <w:p w14:paraId="569E4472">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最后报价函与供应商首次递交的报价函及报价函附录的内容有差异，以竞争性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最后报价函内容为准。</w:t>
      </w:r>
    </w:p>
    <w:p w14:paraId="37459F49">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rPr>
        <w:t>若成交供应商的竞争性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14:paraId="1B55D9DE">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w:t>
      </w:r>
      <w:r>
        <w:rPr>
          <w:rFonts w:hint="eastAsia" w:asciiTheme="minorEastAsia" w:hAnsiTheme="minorEastAsia"/>
          <w:sz w:val="24"/>
          <w:highlight w:val="none"/>
        </w:rPr>
        <w:t>按照第三章“评审办法和标准”规定的评审方法和标准，对提交最后报价函的响应文件进行评审。“评审办法”没有规定的方法、评审因素和标准，不作为评审依据。</w:t>
      </w:r>
    </w:p>
    <w:bookmarkEnd w:id="56"/>
    <w:p w14:paraId="0AE89414">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57" w:name="_Toc195921830"/>
      <w:r>
        <w:rPr>
          <w:rFonts w:hint="eastAsia" w:ascii="黑体" w:hAnsi="宋体" w:eastAsia="黑体" w:cs="黑体"/>
          <w:kern w:val="0"/>
          <w:sz w:val="24"/>
          <w:highlight w:val="none"/>
        </w:rPr>
        <w:t>合同授予</w:t>
      </w:r>
      <w:bookmarkEnd w:id="57"/>
    </w:p>
    <w:p w14:paraId="28D9B32F">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58" w:name="_Toc195921831"/>
      <w:bookmarkStart w:id="59" w:name="_Ref527102841"/>
      <w:bookmarkStart w:id="60" w:name="_Ref526866822"/>
      <w:r>
        <w:rPr>
          <w:rFonts w:hint="eastAsia" w:ascii="宋体" w:hAnsi="宋体" w:cs="黑体"/>
          <w:kern w:val="0"/>
          <w:sz w:val="24"/>
          <w:highlight w:val="none"/>
        </w:rPr>
        <w:t>确定成交供应商方式</w:t>
      </w:r>
      <w:bookmarkEnd w:id="58"/>
      <w:bookmarkEnd w:id="59"/>
      <w:bookmarkEnd w:id="60"/>
    </w:p>
    <w:p w14:paraId="3F5AE547">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采购人应当从评审报告提出的成交候选人中，根据质量和服务均能满足采购文件实质性响应要求且最后报价最低的原则确定成交供应商，也可以书面授权</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小组直接确定成交供应商。具体方式见供应商须知前附表。</w:t>
      </w:r>
    </w:p>
    <w:p w14:paraId="314A5DED">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ascii="宋体" w:hAnsi="宋体" w:cs="黑体"/>
          <w:kern w:val="0"/>
          <w:sz w:val="24"/>
          <w:highlight w:val="none"/>
        </w:rPr>
        <w:t>供应商</w:t>
      </w:r>
      <w:r>
        <w:rPr>
          <w:rFonts w:hint="eastAsia" w:ascii="宋体" w:hAnsi="宋体" w:cs="黑体"/>
          <w:kern w:val="0"/>
          <w:sz w:val="24"/>
          <w:highlight w:val="none"/>
        </w:rPr>
        <w:t>可以在成交公告期限届满之日</w:t>
      </w:r>
      <w:r>
        <w:rPr>
          <w:rFonts w:hint="eastAsia" w:ascii="宋体" w:hAnsi="宋体"/>
          <w:sz w:val="24"/>
          <w:highlight w:val="none"/>
        </w:rPr>
        <w:t>起七个工作日内，按本须知</w:t>
      </w: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sz w:val="24"/>
          <w:highlight w:val="none"/>
        </w:rPr>
        <w:t>2.3</w:t>
      </w:r>
      <w:r>
        <w:rPr>
          <w:highlight w:val="none"/>
        </w:rPr>
        <w:fldChar w:fldCharType="end"/>
      </w:r>
      <w:r>
        <w:rPr>
          <w:rFonts w:hint="eastAsia" w:ascii="宋体" w:hAnsi="宋体"/>
          <w:sz w:val="24"/>
          <w:highlight w:val="none"/>
        </w:rPr>
        <w:t>款接收质疑函的方式以书面形式一次性提出对成交结果的质疑。</w:t>
      </w:r>
    </w:p>
    <w:p w14:paraId="5C0F17A4">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61" w:name="_Toc195921832"/>
      <w:r>
        <w:rPr>
          <w:rFonts w:hint="eastAsia" w:ascii="宋体" w:hAnsi="宋体" w:cs="黑体"/>
          <w:kern w:val="0"/>
          <w:sz w:val="24"/>
          <w:highlight w:val="none"/>
        </w:rPr>
        <w:t>成交通知</w:t>
      </w:r>
      <w:bookmarkEnd w:id="61"/>
    </w:p>
    <w:p w14:paraId="5269AD6E">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采购人以书面形式向成交供应商发出成交通知书，同时将成交结果通知其他参加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w:t>
      </w:r>
    </w:p>
    <w:p w14:paraId="4E44902F">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成交通知书发出后，采购人不得违法改变成交结果，成交供应商无正当理由不得放弃。</w:t>
      </w:r>
    </w:p>
    <w:p w14:paraId="15C2C033">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履约保证金</w:t>
      </w:r>
    </w:p>
    <w:p w14:paraId="0EAEEDA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62" w:name="_Ref421009348"/>
      <w:r>
        <w:rPr>
          <w:rFonts w:hint="eastAsia" w:ascii="宋体" w:hAnsi="宋体" w:cs="黑体"/>
          <w:kern w:val="0"/>
          <w:sz w:val="24"/>
          <w:highlight w:val="none"/>
        </w:rPr>
        <w:t>在签订合同前，成交供应商应按供应商须知前附表规定的金额、担保形式和</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文件第四章“合同条款及格式”规定的履约保证金格式向采购人提交履约保证金。</w:t>
      </w:r>
      <w:bookmarkEnd w:id="62"/>
    </w:p>
    <w:p w14:paraId="34F1637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成交供应商不能按本章第</w:t>
      </w: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黑体"/>
          <w:kern w:val="0"/>
          <w:sz w:val="24"/>
          <w:highlight w:val="none"/>
        </w:rPr>
        <w:t>6.4.1</w:t>
      </w:r>
      <w:r>
        <w:rPr>
          <w:highlight w:val="none"/>
        </w:rPr>
        <w:fldChar w:fldCharType="end"/>
      </w:r>
      <w:r>
        <w:rPr>
          <w:rFonts w:hint="eastAsia" w:ascii="宋体" w:hAnsi="宋体" w:cs="黑体"/>
          <w:kern w:val="0"/>
          <w:sz w:val="24"/>
          <w:highlight w:val="none"/>
        </w:rPr>
        <w:t>项要求提交履约保证金的，视为放弃成交，其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03A9A1E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3" w:name="_Toc195921834"/>
      <w:r>
        <w:rPr>
          <w:rFonts w:hint="eastAsia" w:ascii="宋体" w:hAnsi="宋体" w:cs="黑体"/>
          <w:kern w:val="0"/>
          <w:sz w:val="24"/>
          <w:highlight w:val="none"/>
        </w:rPr>
        <w:t>签订合同</w:t>
      </w:r>
      <w:bookmarkEnd w:id="63"/>
    </w:p>
    <w:p w14:paraId="44B1AC6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采购人应当自成交通知书发出之日起30日内，按照</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文件和成交供应商响应文件的规定，与成交供应商签订书面合同。所签订的合同不得对</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文件确定的事项和成交供应商响应文件作实质性修改。</w:t>
      </w:r>
    </w:p>
    <w:p w14:paraId="36BB9AC9">
      <w:pPr>
        <w:tabs>
          <w:tab w:val="left" w:pos="1260"/>
        </w:tabs>
        <w:autoSpaceDE w:val="0"/>
        <w:autoSpaceDN w:val="0"/>
        <w:adjustRightInd w:val="0"/>
        <w:snapToGrid w:val="0"/>
        <w:spacing w:after="156" w:afterLines="50"/>
        <w:ind w:left="1134"/>
        <w:rPr>
          <w:rFonts w:asciiTheme="minorEastAsia" w:hAnsiTheme="minorEastAsia"/>
          <w:sz w:val="24"/>
          <w:highlight w:val="none"/>
        </w:rPr>
      </w:pPr>
      <w:r>
        <w:rPr>
          <w:rFonts w:hint="eastAsia" w:asciiTheme="minorEastAsia" w:hAnsiTheme="minorEastAsia"/>
          <w:sz w:val="24"/>
          <w:highlight w:val="none"/>
        </w:rPr>
        <w:t>采购人不得向成交供应商提出任何不合理的要求作为签订合同的条件。</w:t>
      </w:r>
    </w:p>
    <w:p w14:paraId="02570C0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成交供应商无正当理由拒签合同的，采购人取消其成交资格，其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4C78067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发出成交通知书后，采购人无正当理由拒签合同的，采购人向成交供应商退还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保证金；给成交供应商造成损失的，还应当赔偿损失。</w:t>
      </w:r>
    </w:p>
    <w:p w14:paraId="1243E65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成交供应商拒绝签订政府采购合同的，采购人可以按照第</w:t>
      </w:r>
      <w:r>
        <w:rPr>
          <w:highlight w:val="none"/>
        </w:rPr>
        <w:fldChar w:fldCharType="begin"/>
      </w:r>
      <w:r>
        <w:rPr>
          <w:highlight w:val="none"/>
        </w:rPr>
        <w:instrText xml:space="preserve"> REF _Ref526866822 \r \h  \* MERGEFORMAT </w:instrText>
      </w:r>
      <w:r>
        <w:rPr>
          <w:highlight w:val="none"/>
        </w:rPr>
        <w:fldChar w:fldCharType="separate"/>
      </w:r>
      <w:r>
        <w:rPr>
          <w:rFonts w:ascii="宋体" w:hAnsi="宋体" w:cs="黑体"/>
          <w:kern w:val="0"/>
          <w:sz w:val="24"/>
          <w:highlight w:val="none"/>
        </w:rPr>
        <w:t>6.1</w:t>
      </w:r>
      <w:r>
        <w:rPr>
          <w:highlight w:val="none"/>
        </w:rPr>
        <w:fldChar w:fldCharType="end"/>
      </w:r>
      <w:r>
        <w:rPr>
          <w:rFonts w:ascii="宋体" w:hAnsi="宋体" w:cs="黑体"/>
          <w:kern w:val="0"/>
          <w:sz w:val="24"/>
          <w:highlight w:val="none"/>
        </w:rPr>
        <w:t>款</w:t>
      </w:r>
      <w:r>
        <w:rPr>
          <w:rFonts w:hint="eastAsia" w:ascii="宋体" w:hAnsi="宋体" w:cs="黑体"/>
          <w:kern w:val="0"/>
          <w:sz w:val="24"/>
          <w:highlight w:val="none"/>
        </w:rPr>
        <w:t>原则确定其他供应商作为成交供应商并签订政府采购合同，也可以重新开展采购活动。拒绝签订政府采购合同的成交供应商不得参加对该项目重新开展的采购活动。</w:t>
      </w:r>
    </w:p>
    <w:p w14:paraId="0CF88B09">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64" w:name="_Toc195921838"/>
      <w:r>
        <w:rPr>
          <w:rFonts w:hint="eastAsia" w:ascii="黑体" w:hAnsi="宋体" w:eastAsia="黑体" w:cs="黑体"/>
          <w:kern w:val="0"/>
          <w:sz w:val="24"/>
          <w:highlight w:val="none"/>
        </w:rPr>
        <w:t>重新开展采购活动</w:t>
      </w:r>
    </w:p>
    <w:p w14:paraId="0D462FF4">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出现下列情形之一的，采购人或者采购代理机构应当终止竞争性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采购活动，通过发布公告供应商参加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的，将在</w:t>
      </w:r>
      <w:r>
        <w:rPr>
          <w:rFonts w:hint="eastAsia" w:ascii="宋体" w:hAnsi="宋体" w:cs="黑体"/>
          <w:kern w:val="0"/>
          <w:sz w:val="24"/>
          <w:highlight w:val="none"/>
          <w:lang w:eastAsia="zh-CN"/>
        </w:rPr>
        <w:t>磋商</w:t>
      </w:r>
      <w:r>
        <w:rPr>
          <w:rFonts w:hint="eastAsia" w:ascii="宋体" w:hAnsi="宋体" w:cs="黑体"/>
          <w:kern w:val="0"/>
          <w:sz w:val="24"/>
          <w:highlight w:val="none"/>
        </w:rPr>
        <w:t>公告发布媒体上发布</w:t>
      </w:r>
      <w:r>
        <w:rPr>
          <w:rFonts w:hint="eastAsia" w:ascii="宋体" w:hAnsi="宋体" w:cs="黑体"/>
          <w:kern w:val="0"/>
          <w:sz w:val="24"/>
          <w:highlight w:val="none"/>
          <w:lang w:eastAsia="zh-CN"/>
        </w:rPr>
        <w:t>，</w:t>
      </w:r>
      <w:r>
        <w:rPr>
          <w:rFonts w:hint="eastAsia" w:ascii="宋体" w:hAnsi="宋体" w:cs="黑体"/>
          <w:kern w:val="0"/>
          <w:sz w:val="24"/>
          <w:highlight w:val="none"/>
        </w:rPr>
        <w:t>项目终止公告并说明原因，重新开展采购活动：</w:t>
      </w:r>
    </w:p>
    <w:p w14:paraId="7C57EDA3">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rPr>
        <w:tab/>
      </w:r>
      <w:r>
        <w:rPr>
          <w:rFonts w:hint="eastAsia" w:ascii="宋体" w:hAnsi="宋体" w:cs="黑体"/>
          <w:kern w:val="0"/>
          <w:sz w:val="24"/>
          <w:highlight w:val="none"/>
        </w:rPr>
        <w:t>因情况变化，不再符合规定的竞争性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采购方式适用情形的；</w:t>
      </w:r>
    </w:p>
    <w:p w14:paraId="2F3E2D6E">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（2）</w:t>
      </w:r>
      <w:r>
        <w:rPr>
          <w:rFonts w:hint="eastAsia" w:ascii="宋体" w:hAnsi="宋体" w:cs="黑体"/>
          <w:kern w:val="0"/>
          <w:sz w:val="24"/>
          <w:highlight w:val="none"/>
        </w:rPr>
        <w:tab/>
      </w:r>
      <w:r>
        <w:rPr>
          <w:rFonts w:hint="eastAsia" w:ascii="宋体" w:hAnsi="宋体" w:cs="黑体"/>
          <w:kern w:val="0"/>
          <w:sz w:val="24"/>
          <w:highlight w:val="none"/>
        </w:rPr>
        <w:t>出现影响采购公正的违法、违规行为的；</w:t>
      </w:r>
    </w:p>
    <w:p w14:paraId="5F7AF94D">
      <w:pPr>
        <w:tabs>
          <w:tab w:val="left" w:pos="2127"/>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w:t>
      </w:r>
      <w:r>
        <w:rPr>
          <w:rFonts w:ascii="宋体" w:hAnsi="宋体" w:cs="黑体"/>
          <w:kern w:val="0"/>
          <w:sz w:val="24"/>
          <w:highlight w:val="none"/>
        </w:rPr>
        <w:t>3）</w:t>
      </w:r>
      <w:r>
        <w:rPr>
          <w:rFonts w:ascii="宋体" w:hAnsi="宋体" w:cs="黑体"/>
          <w:kern w:val="0"/>
          <w:sz w:val="24"/>
          <w:highlight w:val="none"/>
        </w:rPr>
        <w:tab/>
      </w:r>
      <w:r>
        <w:rPr>
          <w:rFonts w:hint="eastAsia" w:ascii="宋体" w:hAnsi="宋体" w:cs="黑体"/>
          <w:kern w:val="0"/>
          <w:sz w:val="24"/>
          <w:highlight w:val="none"/>
        </w:rPr>
        <w:t>在采购过程中符合竞争要求的供应商或者报价未超过采购预算或最高限价的供应商不足</w:t>
      </w:r>
      <w:r>
        <w:rPr>
          <w:rFonts w:ascii="宋体" w:hAnsi="宋体" w:cs="黑体"/>
          <w:kern w:val="0"/>
          <w:sz w:val="24"/>
          <w:highlight w:val="none"/>
        </w:rPr>
        <w:t>3家的，但</w:t>
      </w:r>
      <w:r>
        <w:rPr>
          <w:rFonts w:hint="eastAsia" w:cs="宋体" w:asciiTheme="minorEastAsia" w:hAnsiTheme="minorEastAsia" w:eastAsiaTheme="minorEastAsia"/>
          <w:sz w:val="24"/>
          <w:highlight w:val="none"/>
        </w:rPr>
        <w:t>公开招标的货物、服务采购项目，招标过程中提交投标文件或者经评审实质性响应招标文件要求的供应商只有两家时，经财政部门批准后采用竞争</w:t>
      </w:r>
      <w:r>
        <w:rPr>
          <w:rFonts w:hint="eastAsia" w:cs="TimesNewRomanPSMT" w:asciiTheme="minorEastAsia" w:hAnsiTheme="minorEastAsia" w:eastAsiaTheme="minorEastAsia"/>
          <w:kern w:val="0"/>
          <w:sz w:val="24"/>
          <w:highlight w:val="none"/>
        </w:rPr>
        <w:t>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r>
        <w:rPr>
          <w:rFonts w:hint="eastAsia" w:ascii="宋体" w:hAnsi="宋体" w:cs="黑体"/>
          <w:kern w:val="0"/>
          <w:sz w:val="24"/>
          <w:highlight w:val="none"/>
        </w:rPr>
        <w:t>。</w:t>
      </w:r>
    </w:p>
    <w:p w14:paraId="139281BC">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纪律和监督</w:t>
      </w:r>
      <w:bookmarkEnd w:id="64"/>
    </w:p>
    <w:p w14:paraId="5D5C298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5" w:name="_Toc195921839"/>
      <w:r>
        <w:rPr>
          <w:rFonts w:hint="eastAsia" w:ascii="宋体" w:hAnsi="宋体" w:cs="黑体"/>
          <w:kern w:val="0"/>
          <w:sz w:val="24"/>
          <w:highlight w:val="none"/>
        </w:rPr>
        <w:t>对采购人的要求</w:t>
      </w:r>
      <w:bookmarkEnd w:id="65"/>
    </w:p>
    <w:p w14:paraId="2AA862CA">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Ansi="宋体" w:cs="宋体"/>
          <w:sz w:val="24"/>
          <w:highlight w:val="none"/>
        </w:rPr>
        <w:t>采购人在政府采购活动中应当维护国家利益和社会公共利益，公正廉洁，诚实守信，执行政府采购政策</w:t>
      </w:r>
      <w:r>
        <w:rPr>
          <w:rFonts w:hint="eastAsia" w:hAnsi="宋体" w:cs="宋体"/>
          <w:sz w:val="24"/>
          <w:highlight w:val="none"/>
        </w:rPr>
        <w:t>。</w:t>
      </w:r>
      <w:r>
        <w:rPr>
          <w:rFonts w:hAnsi="宋体" w:cs="宋体"/>
          <w:sz w:val="24"/>
          <w:highlight w:val="none"/>
        </w:rPr>
        <w:t>采购人不得向供应商索要或者接受其给予的赠品、回扣或者与采购无关的其他商品、服务</w:t>
      </w:r>
      <w:r>
        <w:rPr>
          <w:rFonts w:hint="eastAsia" w:ascii="宋体" w:hAnsi="宋体" w:cs="黑体"/>
          <w:kern w:val="0"/>
          <w:sz w:val="24"/>
          <w:highlight w:val="none"/>
        </w:rPr>
        <w:t>。</w:t>
      </w:r>
    </w:p>
    <w:p w14:paraId="259D47E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6" w:name="_Toc195921840"/>
      <w:r>
        <w:rPr>
          <w:rFonts w:hint="eastAsia" w:ascii="宋体" w:hAnsi="宋体" w:cs="黑体"/>
          <w:kern w:val="0"/>
          <w:sz w:val="24"/>
          <w:highlight w:val="none"/>
        </w:rPr>
        <w:t>对采购代理机构的要求</w:t>
      </w:r>
    </w:p>
    <w:p w14:paraId="50161798">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采购代理机构不得与采购人、供应商恶意串通操纵政府采购活动。</w:t>
      </w:r>
    </w:p>
    <w:p w14:paraId="536FE490">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采购代理机构工作人员不得接受采购人或者供应商组织的宴请、旅游、娱乐，不得收受礼品、现金、有价证券等，不得向采购人或者供应商报销应当由个人承担的费用。</w:t>
      </w:r>
    </w:p>
    <w:p w14:paraId="362868B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对供应商的纪律要求</w:t>
      </w:r>
      <w:bookmarkEnd w:id="66"/>
    </w:p>
    <w:p w14:paraId="0816482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供应商不得相互串通或者与采购人串通，不得向采购人或者</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小组成员行贿谋取成交，不得以他人名义或者以其他方式弄虚作假骗取成交；供应商不得以任何方式干扰、影响</w:t>
      </w:r>
      <w:r>
        <w:rPr>
          <w:rFonts w:hint="eastAsia" w:ascii="宋体" w:hAnsi="宋体" w:cs="黑体"/>
          <w:kern w:val="0"/>
          <w:sz w:val="24"/>
          <w:highlight w:val="none"/>
          <w:lang w:eastAsia="zh-CN"/>
        </w:rPr>
        <w:t>磋商</w:t>
      </w:r>
      <w:r>
        <w:rPr>
          <w:rFonts w:hint="eastAsia" w:ascii="宋体" w:hAnsi="宋体" w:cs="黑体"/>
          <w:kern w:val="0"/>
          <w:sz w:val="24"/>
          <w:highlight w:val="none"/>
        </w:rPr>
        <w:t>工作。</w:t>
      </w:r>
    </w:p>
    <w:p w14:paraId="50678E8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7" w:name="_Toc195921841"/>
      <w:r>
        <w:rPr>
          <w:rFonts w:hint="eastAsia" w:ascii="宋体" w:hAnsi="宋体" w:cs="黑体"/>
          <w:kern w:val="0"/>
          <w:sz w:val="24"/>
          <w:highlight w:val="none"/>
          <w:lang w:eastAsia="zh-CN"/>
        </w:rPr>
        <w:t>磋商</w:t>
      </w:r>
      <w:r>
        <w:rPr>
          <w:rFonts w:hint="eastAsia" w:ascii="宋体" w:hAnsi="宋体" w:cs="黑体"/>
          <w:kern w:val="0"/>
          <w:sz w:val="24"/>
          <w:highlight w:val="none"/>
        </w:rPr>
        <w:t>小组及其成员不得有下列行为</w:t>
      </w:r>
      <w:bookmarkEnd w:id="67"/>
    </w:p>
    <w:p w14:paraId="452ADA4A">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确定参与</w:t>
      </w:r>
      <w:r>
        <w:rPr>
          <w:rFonts w:hint="eastAsia" w:asciiTheme="minorEastAsia" w:hAnsiTheme="minorEastAsia"/>
          <w:sz w:val="24"/>
          <w:highlight w:val="none"/>
          <w:lang w:eastAsia="zh-CN"/>
        </w:rPr>
        <w:t>磋商</w:t>
      </w:r>
      <w:r>
        <w:rPr>
          <w:rFonts w:hint="eastAsia" w:asciiTheme="minorEastAsia" w:hAnsiTheme="minorEastAsia"/>
          <w:sz w:val="24"/>
          <w:highlight w:val="none"/>
        </w:rPr>
        <w:t>至</w:t>
      </w:r>
      <w:r>
        <w:rPr>
          <w:rFonts w:hint="eastAsia" w:asciiTheme="minorEastAsia" w:hAnsiTheme="minorEastAsia"/>
          <w:sz w:val="24"/>
          <w:highlight w:val="none"/>
          <w:lang w:eastAsia="zh-CN"/>
        </w:rPr>
        <w:t>磋商</w:t>
      </w:r>
      <w:r>
        <w:rPr>
          <w:rFonts w:hint="eastAsia" w:asciiTheme="minorEastAsia" w:hAnsiTheme="minorEastAsia"/>
          <w:sz w:val="24"/>
          <w:highlight w:val="none"/>
        </w:rPr>
        <w:t>结束前私自接触供应商；</w:t>
      </w:r>
    </w:p>
    <w:p w14:paraId="7B51D508">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接受供应商提出的与响应文件不一致的澄清或者说明，</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小组要求供应商作出必要的澄清、说明或者补正的情形除外；</w:t>
      </w:r>
    </w:p>
    <w:p w14:paraId="2E43C0F0">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违反评审纪律发表倾向性意见或者征询采购人的倾向性意见；</w:t>
      </w:r>
    </w:p>
    <w:p w14:paraId="3C40D9ED">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在评审与</w:t>
      </w:r>
      <w:r>
        <w:rPr>
          <w:rFonts w:hint="eastAsia" w:asciiTheme="minorEastAsia" w:hAnsiTheme="minorEastAsia"/>
          <w:sz w:val="24"/>
          <w:highlight w:val="none"/>
          <w:lang w:eastAsia="zh-CN"/>
        </w:rPr>
        <w:t>磋商</w:t>
      </w:r>
      <w:r>
        <w:rPr>
          <w:rFonts w:hint="eastAsia" w:asciiTheme="minorEastAsia" w:hAnsiTheme="minorEastAsia"/>
          <w:sz w:val="24"/>
          <w:highlight w:val="none"/>
        </w:rPr>
        <w:t>过程中擅离职守，影响评审程序正常进行的；</w:t>
      </w:r>
    </w:p>
    <w:p w14:paraId="59D865BC">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记录、复制或者带走任何评审资料；</w:t>
      </w:r>
    </w:p>
    <w:p w14:paraId="0953B4CF">
      <w:pPr>
        <w:pStyle w:val="423"/>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其他不遵守评审纪律的行为。</w:t>
      </w:r>
    </w:p>
    <w:p w14:paraId="1DDE37E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8" w:name="_Toc195921842"/>
      <w:r>
        <w:rPr>
          <w:rFonts w:hint="eastAsia" w:ascii="宋体" w:hAnsi="宋体" w:cs="黑体"/>
          <w:kern w:val="0"/>
          <w:sz w:val="24"/>
          <w:highlight w:val="none"/>
        </w:rPr>
        <w:t>对与评审活动有关的工作人员的纪律要求</w:t>
      </w:r>
      <w:bookmarkEnd w:id="68"/>
    </w:p>
    <w:p w14:paraId="59DA12AC">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活动有关的工作人员不得收受他人的财物或者其他好处，不得向他人透漏对响应文件的</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、成交候选人的推荐情况以及</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有关的其他情况。在评审活动中，参与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活动有关的工作人员不得擅离职守，影响</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程序正常进行。</w:t>
      </w:r>
    </w:p>
    <w:p w14:paraId="0944344B">
      <w:pPr>
        <w:numPr>
          <w:ilvl w:val="1"/>
          <w:numId w:val="3"/>
        </w:numPr>
        <w:autoSpaceDE w:val="0"/>
        <w:autoSpaceDN w:val="0"/>
        <w:adjustRightInd w:val="0"/>
        <w:snapToGrid w:val="0"/>
        <w:spacing w:after="156" w:afterLines="50"/>
        <w:ind w:left="1920" w:hanging="1920" w:hangingChars="800"/>
        <w:rPr>
          <w:rFonts w:ascii="宋体" w:hAnsi="宋体" w:cs="黑体"/>
          <w:kern w:val="0"/>
          <w:sz w:val="24"/>
          <w:highlight w:val="none"/>
        </w:rPr>
      </w:pPr>
      <w:bookmarkStart w:id="69" w:name="_Toc195921843"/>
      <w:r>
        <w:rPr>
          <w:rFonts w:hint="eastAsia" w:ascii="宋体" w:hAnsi="宋体" w:cs="黑体"/>
          <w:kern w:val="0"/>
          <w:sz w:val="24"/>
          <w:highlight w:val="none"/>
        </w:rPr>
        <w:t>投诉</w:t>
      </w:r>
      <w:bookmarkEnd w:id="69"/>
    </w:p>
    <w:p w14:paraId="6206EBB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52D51860">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70" w:name="_Toc195921844"/>
      <w:bookmarkStart w:id="71" w:name="_Ref527103019"/>
      <w:r>
        <w:rPr>
          <w:rFonts w:hint="eastAsia" w:ascii="黑体" w:hAnsi="宋体" w:eastAsia="黑体" w:cs="黑体"/>
          <w:kern w:val="0"/>
          <w:sz w:val="24"/>
          <w:highlight w:val="none"/>
        </w:rPr>
        <w:t>其他</w:t>
      </w:r>
      <w:bookmarkEnd w:id="70"/>
      <w:bookmarkEnd w:id="71"/>
    </w:p>
    <w:p w14:paraId="40B5385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需要补充的其他内容见供应商须知前附表。</w:t>
      </w:r>
    </w:p>
    <w:p w14:paraId="6DBE443C">
      <w:pPr>
        <w:autoSpaceDE w:val="0"/>
        <w:autoSpaceDN w:val="0"/>
        <w:adjustRightInd w:val="0"/>
        <w:snapToGrid w:val="0"/>
        <w:spacing w:after="156" w:afterLines="50"/>
        <w:jc w:val="center"/>
        <w:outlineLvl w:val="0"/>
        <w:rPr>
          <w:rFonts w:ascii="宋体" w:hAnsi="宋体" w:cs="黑体"/>
          <w:kern w:val="0"/>
          <w:sz w:val="32"/>
          <w:szCs w:val="32"/>
          <w:highlight w:val="none"/>
        </w:rPr>
      </w:pPr>
      <w:r>
        <w:rPr>
          <w:highlight w:val="none"/>
        </w:rPr>
        <w:br w:type="page"/>
      </w:r>
      <w:bookmarkStart w:id="72" w:name="_Toc195921851"/>
      <w:bookmarkStart w:id="73" w:name="_Toc29092"/>
      <w:r>
        <w:rPr>
          <w:rFonts w:hint="eastAsia" w:ascii="宋体" w:hAnsi="宋体" w:eastAsia="宋体" w:cs="黑体"/>
          <w:kern w:val="0"/>
          <w:sz w:val="32"/>
          <w:szCs w:val="32"/>
          <w:highlight w:val="none"/>
          <w:lang w:val="en-US" w:eastAsia="zh-CN" w:bidi="ar-SA"/>
        </w:rPr>
        <w:t>第三章 评审办法</w:t>
      </w:r>
      <w:bookmarkEnd w:id="72"/>
      <w:r>
        <w:rPr>
          <w:rFonts w:hint="eastAsia" w:ascii="宋体" w:hAnsi="宋体" w:eastAsia="宋体" w:cs="黑体"/>
          <w:kern w:val="0"/>
          <w:sz w:val="32"/>
          <w:szCs w:val="32"/>
          <w:highlight w:val="none"/>
          <w:lang w:val="en-US" w:eastAsia="zh-CN" w:bidi="ar-SA"/>
        </w:rPr>
        <w:t>和标准</w:t>
      </w:r>
      <w:bookmarkEnd w:id="73"/>
    </w:p>
    <w:p w14:paraId="2742F5BC">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评审方法</w:t>
      </w:r>
    </w:p>
    <w:p w14:paraId="4FB92407">
      <w:pPr>
        <w:numPr>
          <w:ilvl w:val="255"/>
          <w:numId w:val="0"/>
        </w:numPr>
        <w:tabs>
          <w:tab w:val="left" w:pos="993"/>
        </w:tabs>
        <w:autoSpaceDE w:val="0"/>
        <w:autoSpaceDN w:val="0"/>
        <w:adjustRightInd w:val="0"/>
        <w:snapToGrid w:val="0"/>
        <w:spacing w:afterLines="50"/>
        <w:ind w:left="1056" w:leftChars="503"/>
        <w:jc w:val="left"/>
        <w:rPr>
          <w:rFonts w:ascii="黑体" w:hAnsi="TimesNewRomanPSMT" w:eastAsia="黑体" w:cs="TimesNewRomanPSMT"/>
          <w:kern w:val="0"/>
          <w:sz w:val="24"/>
          <w:highlight w:val="none"/>
        </w:rPr>
      </w:pPr>
      <w:r>
        <w:rPr>
          <w:rFonts w:hint="eastAsia" w:ascii="宋体" w:hAnsi="宋体" w:cs="TimesNewRomanPSMT"/>
          <w:kern w:val="0"/>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hint="eastAsia" w:ascii="宋体" w:hAnsi="宋体" w:cs="TimesNewRomanPSMT"/>
          <w:kern w:val="0"/>
          <w:sz w:val="24"/>
          <w:highlight w:val="none"/>
          <w:lang w:eastAsia="zh-CN"/>
        </w:rPr>
        <w:t>，</w:t>
      </w:r>
      <w:r>
        <w:rPr>
          <w:rFonts w:hint="eastAsia" w:ascii="宋体" w:hAnsi="宋体" w:cs="TimesNewRomanPSMT"/>
          <w:kern w:val="0"/>
          <w:sz w:val="24"/>
          <w:highlight w:val="none"/>
        </w:rPr>
        <w:t>按技术指标优劣顺序排列。</w:t>
      </w:r>
    </w:p>
    <w:p w14:paraId="74522C12">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评审标准</w:t>
      </w:r>
    </w:p>
    <w:p w14:paraId="5CB54015">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资格审查和符合性评审标准：见附表一和附表二。</w:t>
      </w:r>
    </w:p>
    <w:p w14:paraId="6C412A36">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分值构成</w:t>
      </w:r>
      <w:r>
        <w:rPr>
          <w:rFonts w:hint="eastAsia" w:ascii="宋体" w:hAnsi="宋体" w:cs="TimesNewRomanPSMT"/>
          <w:kern w:val="0"/>
          <w:sz w:val="24"/>
          <w:highlight w:val="none"/>
          <w:lang w:val="en-US" w:eastAsia="zh-CN"/>
        </w:rPr>
        <w:t xml:space="preserve">   </w:t>
      </w:r>
      <w:r>
        <w:rPr>
          <w:rFonts w:hint="eastAsia" w:ascii="宋体" w:hAnsi="宋体" w:cs="TimesNewRomanPSMT"/>
          <w:kern w:val="0"/>
          <w:sz w:val="24"/>
          <w:highlight w:val="none"/>
        </w:rPr>
        <w:t>分值构成：总分100分</w:t>
      </w:r>
    </w:p>
    <w:p w14:paraId="7461E86E">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bookmarkStart w:id="74" w:name="_Ref426362114"/>
      <w:r>
        <w:rPr>
          <w:rFonts w:hint="eastAsia" w:ascii="宋体" w:hAnsi="宋体" w:cs="TimesNewRomanPSMT"/>
          <w:kern w:val="0"/>
          <w:sz w:val="24"/>
          <w:highlight w:val="none"/>
        </w:rPr>
        <w:t>商务和技术评审标准</w:t>
      </w:r>
      <w:bookmarkEnd w:id="74"/>
    </w:p>
    <w:p w14:paraId="71C7ACD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5" w:name="_Ref426362140"/>
      <w:r>
        <w:rPr>
          <w:rFonts w:hint="eastAsia" w:ascii="宋体" w:hAnsi="宋体" w:cs="TimesNewRomanPSMT"/>
          <w:kern w:val="0"/>
          <w:sz w:val="24"/>
          <w:highlight w:val="none"/>
        </w:rPr>
        <w:t>商务部分评分标准：见附表</w:t>
      </w:r>
      <w:bookmarkEnd w:id="75"/>
      <w:r>
        <w:rPr>
          <w:rFonts w:hint="eastAsia" w:ascii="宋体" w:hAnsi="宋体" w:cs="TimesNewRomanPSMT"/>
          <w:kern w:val="0"/>
          <w:sz w:val="24"/>
          <w:highlight w:val="none"/>
        </w:rPr>
        <w:t>三</w:t>
      </w:r>
    </w:p>
    <w:p w14:paraId="7B2A665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6" w:name="_Ref426362158"/>
      <w:r>
        <w:rPr>
          <w:rFonts w:hint="eastAsia" w:ascii="宋体" w:hAnsi="宋体" w:cs="TimesNewRomanPSMT"/>
          <w:kern w:val="0"/>
          <w:sz w:val="24"/>
          <w:highlight w:val="none"/>
        </w:rPr>
        <w:t>技术部分评分标准：见附表</w:t>
      </w:r>
      <w:bookmarkEnd w:id="76"/>
      <w:r>
        <w:rPr>
          <w:rFonts w:hint="eastAsia" w:ascii="宋体" w:hAnsi="宋体" w:cs="TimesNewRomanPSMT"/>
          <w:kern w:val="0"/>
          <w:sz w:val="24"/>
          <w:highlight w:val="none"/>
        </w:rPr>
        <w:t>四</w:t>
      </w:r>
    </w:p>
    <w:p w14:paraId="2F0DE228">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7" w:name="_Ref426362176"/>
      <w:r>
        <w:rPr>
          <w:rFonts w:hint="eastAsia" w:ascii="宋体" w:hAnsi="宋体" w:cs="TimesNewRomanPSMT"/>
          <w:kern w:val="0"/>
          <w:sz w:val="24"/>
          <w:highlight w:val="none"/>
        </w:rPr>
        <w:t>报价评分标准：</w:t>
      </w:r>
      <w:bookmarkEnd w:id="77"/>
      <w:r>
        <w:rPr>
          <w:rFonts w:hint="eastAsia" w:ascii="宋体" w:hAnsi="宋体" w:cs="TimesNewRomanPSMT"/>
          <w:kern w:val="0"/>
          <w:sz w:val="24"/>
          <w:highlight w:val="none"/>
          <w:lang w:val="en-US" w:eastAsia="zh-CN"/>
        </w:rPr>
        <w:t>/</w:t>
      </w:r>
    </w:p>
    <w:p w14:paraId="4F3C0582">
      <w:pPr>
        <w:numPr>
          <w:ilvl w:val="0"/>
          <w:numId w:val="10"/>
        </w:numPr>
        <w:tabs>
          <w:tab w:val="left" w:pos="1134"/>
        </w:tabs>
        <w:autoSpaceDE w:val="0"/>
        <w:autoSpaceDN w:val="0"/>
        <w:adjustRightInd w:val="0"/>
        <w:snapToGrid w:val="0"/>
        <w:spacing w:afterLines="50"/>
        <w:ind w:left="1134" w:hanging="1134"/>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评审程序</w:t>
      </w:r>
    </w:p>
    <w:p w14:paraId="40AA9CD5">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资格审查及符合性审查</w:t>
      </w:r>
    </w:p>
    <w:p w14:paraId="6EC3632B">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磋商小组按附表一所列审查标准，对供应商资格进行审查，以确定供应商是否具备磋商资格。</w:t>
      </w:r>
    </w:p>
    <w:p w14:paraId="41006DBF">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磋商小组对符合资格要求的供应商按附表二进行符合性审查，以确定其是否满足磋商文件的实质性要求（见本章内的符合性审查表）。</w:t>
      </w:r>
    </w:p>
    <w:p w14:paraId="5E4FC5B0">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7D70CAB6">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磋商小组不接受供应商主动提出的澄清、说明或补正。</w:t>
      </w:r>
    </w:p>
    <w:p w14:paraId="43F85228">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供应商的书面澄清、说明和补正属于响应文件的组成部分。</w:t>
      </w:r>
    </w:p>
    <w:p w14:paraId="53F4A597">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磋商小组对供应商提交的澄清、说明或补正有疑问的，可以要求供应商进一步澄清、说明或补正，直至满足评审小组的要求。</w:t>
      </w:r>
    </w:p>
    <w:p w14:paraId="74636A46">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不具备磋商文件要求的资格或未通过符合性审查的供应商，不参与磋商，由磋商小组告知该供应商。</w:t>
      </w:r>
    </w:p>
    <w:p w14:paraId="05DE83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通过资格审查和符合性审查的合格供应商不足3家的，不再进行评审和磋商。</w:t>
      </w:r>
    </w:p>
    <w:p w14:paraId="53838BEC">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磋商</w:t>
      </w:r>
    </w:p>
    <w:p w14:paraId="2724038C">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按“供应商须知”第5条规定，由磋商小组与供应商进行磋商。</w:t>
      </w:r>
    </w:p>
    <w:p w14:paraId="50E6519E">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过程中，磋商小组可以根据与供应商的磋商情况，在不违反相关法律法规、强制性标准、规范情况下，并经采购人代表同意后，对磋商文件的技术标准、拟签订合同的部分条款进行变动。变动内容是磋商文件的有效组成部分，磋商小组以书面形式通知所有参加磋商的供应商。</w:t>
      </w:r>
    </w:p>
    <w:p w14:paraId="6F61D7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磋商结束后，磋商小组可以要求所有继续参加磋商的供应商在规定时间内提交最后报价函，提交最后报价函的供应商不得少于3家</w:t>
      </w:r>
      <w:r>
        <w:rPr>
          <w:rFonts w:hint="eastAsia" w:ascii="宋体" w:hAnsi="宋体" w:cs="黑体"/>
          <w:kern w:val="0"/>
          <w:sz w:val="24"/>
          <w:highlight w:val="none"/>
        </w:rPr>
        <w:t>，但市场竞争不充分的科研项目以及需要扶持的科技成果转化项目除外</w:t>
      </w:r>
      <w:r>
        <w:rPr>
          <w:rFonts w:hint="eastAsia" w:cs="TimesNewRomanPSMT" w:asciiTheme="minorEastAsia" w:hAnsiTheme="minorEastAsia" w:eastAsiaTheme="minorEastAsia"/>
          <w:kern w:val="0"/>
          <w:sz w:val="24"/>
          <w:highlight w:val="none"/>
        </w:rPr>
        <w:t>。</w:t>
      </w:r>
    </w:p>
    <w:p w14:paraId="01334D2A">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w:t>
      </w:r>
    </w:p>
    <w:p w14:paraId="6E10817A">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磋商小组按本章第2.3款规定的量化因素和分值进行打分，并计算出综合评估得分。</w:t>
      </w:r>
    </w:p>
    <w:p w14:paraId="6A716EEF">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评分分值计算保留小数点后两位，小数点后第三位“四舍五入”。</w:t>
      </w:r>
    </w:p>
    <w:p w14:paraId="14613959">
      <w:pPr>
        <w:tabs>
          <w:tab w:val="left" w:pos="1077"/>
          <w:tab w:val="left" w:pos="1134"/>
        </w:tabs>
        <w:autoSpaceDE w:val="0"/>
        <w:autoSpaceDN w:val="0"/>
        <w:adjustRightInd w:val="0"/>
        <w:snapToGrid w:val="0"/>
        <w:spacing w:afterLines="50"/>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4.3</w:t>
      </w:r>
      <w:r>
        <w:rPr>
          <w:rFonts w:hint="eastAsia" w:cs="TimesNewRomanPSMT" w:asciiTheme="minorEastAsia" w:hAnsiTheme="minorEastAsia" w:eastAsiaTheme="minorEastAsia"/>
          <w:kern w:val="0"/>
          <w:sz w:val="24"/>
          <w:highlight w:val="none"/>
        </w:rPr>
        <w:tab/>
      </w:r>
      <w:r>
        <w:rPr>
          <w:rFonts w:hint="eastAsia" w:cs="TimesNewRomanPSMT" w:asciiTheme="minorEastAsia" w:hAnsiTheme="minorEastAsia" w:eastAsiaTheme="minorEastAsia"/>
          <w:kern w:val="0"/>
          <w:sz w:val="24"/>
          <w:highlight w:val="none"/>
        </w:rPr>
        <w:t>评审结果</w:t>
      </w:r>
    </w:p>
    <w:p w14:paraId="6E7211F6">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除第二章“供应商须知”前附表授权直接确定成交供应商外，磋商小组按照得分由高到低的顺序推荐3名成交候选人。</w:t>
      </w:r>
    </w:p>
    <w:p w14:paraId="798AED33">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磋商小组完成评审后，应当向采购人提交书面评审报告。</w:t>
      </w:r>
    </w:p>
    <w:p w14:paraId="68E49768">
      <w:pPr>
        <w:tabs>
          <w:tab w:val="left" w:pos="1134"/>
          <w:tab w:val="left" w:pos="1260"/>
          <w:tab w:val="left" w:pos="1418"/>
          <w:tab w:val="left" w:pos="1800"/>
        </w:tabs>
        <w:autoSpaceDE w:val="0"/>
        <w:autoSpaceDN w:val="0"/>
        <w:adjustRightInd w:val="0"/>
        <w:snapToGrid w:val="0"/>
        <w:spacing w:before="120" w:after="156" w:afterLines="50"/>
        <w:ind w:left="1134" w:leftChars="540"/>
        <w:rPr>
          <w:rFonts w:ascii="宋体" w:hAnsi="宋体" w:cs="TimesNewRomanPSMT"/>
          <w:kern w:val="0"/>
          <w:sz w:val="24"/>
          <w:highlight w:val="none"/>
        </w:rPr>
      </w:pPr>
    </w:p>
    <w:p w14:paraId="6CFBBFCF">
      <w:pPr>
        <w:tabs>
          <w:tab w:val="left" w:pos="-94"/>
          <w:tab w:val="left" w:pos="428"/>
        </w:tabs>
        <w:adjustRightInd w:val="0"/>
        <w:spacing w:line="360" w:lineRule="auto"/>
        <w:ind w:left="23" w:leftChars="11"/>
        <w:jc w:val="center"/>
        <w:textAlignment w:val="baseline"/>
        <w:outlineLvl w:val="1"/>
        <w:rPr>
          <w:b/>
          <w:sz w:val="28"/>
          <w:szCs w:val="28"/>
          <w:highlight w:val="none"/>
        </w:rPr>
      </w:pPr>
      <w:r>
        <w:rPr>
          <w:highlight w:val="none"/>
        </w:rPr>
        <w:br w:type="page"/>
      </w:r>
      <w:bookmarkStart w:id="78" w:name="_Toc414446032"/>
      <w:bookmarkStart w:id="79" w:name="_Toc410631196"/>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78"/>
      <w:bookmarkEnd w:id="79"/>
    </w:p>
    <w:tbl>
      <w:tblPr>
        <w:tblStyle w:val="74"/>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76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E646B9C">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序号</w:t>
            </w:r>
          </w:p>
        </w:tc>
        <w:tc>
          <w:tcPr>
            <w:tcW w:w="2991" w:type="dxa"/>
            <w:vAlign w:val="center"/>
          </w:tcPr>
          <w:p w14:paraId="718DB1FA">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评审内容</w:t>
            </w:r>
          </w:p>
        </w:tc>
        <w:tc>
          <w:tcPr>
            <w:tcW w:w="4020" w:type="dxa"/>
            <w:vAlign w:val="center"/>
          </w:tcPr>
          <w:p w14:paraId="71A75D73">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评审合格标准</w:t>
            </w:r>
          </w:p>
        </w:tc>
        <w:tc>
          <w:tcPr>
            <w:tcW w:w="1499" w:type="dxa"/>
            <w:vAlign w:val="center"/>
          </w:tcPr>
          <w:p w14:paraId="1B5DEFD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是否符合要求</w:t>
            </w:r>
          </w:p>
        </w:tc>
      </w:tr>
      <w:tr w14:paraId="296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9A685B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1</w:t>
            </w:r>
          </w:p>
        </w:tc>
        <w:tc>
          <w:tcPr>
            <w:tcW w:w="2991" w:type="dxa"/>
            <w:vAlign w:val="center"/>
          </w:tcPr>
          <w:p w14:paraId="01381940">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供应商名称</w:t>
            </w:r>
          </w:p>
        </w:tc>
        <w:tc>
          <w:tcPr>
            <w:tcW w:w="4020" w:type="dxa"/>
            <w:vAlign w:val="center"/>
          </w:tcPr>
          <w:p w14:paraId="342DA118">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与报名的营业执照一致（符合法定工商变更程序除外）</w:t>
            </w:r>
          </w:p>
        </w:tc>
        <w:tc>
          <w:tcPr>
            <w:tcW w:w="1499" w:type="dxa"/>
            <w:vAlign w:val="center"/>
          </w:tcPr>
          <w:p w14:paraId="27FD7F82">
            <w:pPr>
              <w:snapToGrid w:val="0"/>
              <w:jc w:val="center"/>
              <w:rPr>
                <w:rFonts w:asciiTheme="minorEastAsia" w:hAnsiTheme="minorEastAsia" w:eastAsiaTheme="minorEastAsia"/>
                <w:b/>
                <w:sz w:val="24"/>
                <w:szCs w:val="24"/>
                <w:highlight w:val="none"/>
              </w:rPr>
            </w:pPr>
          </w:p>
        </w:tc>
      </w:tr>
      <w:tr w14:paraId="2042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683478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2</w:t>
            </w:r>
          </w:p>
        </w:tc>
        <w:tc>
          <w:tcPr>
            <w:tcW w:w="2991" w:type="dxa"/>
            <w:vAlign w:val="center"/>
          </w:tcPr>
          <w:p w14:paraId="1E70D64D">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具有独立承担民事责任的能力</w:t>
            </w:r>
          </w:p>
        </w:tc>
        <w:tc>
          <w:tcPr>
            <w:tcW w:w="4020" w:type="dxa"/>
          </w:tcPr>
          <w:p w14:paraId="67A3FD2D">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w:t>
            </w:r>
            <w:r>
              <w:rPr>
                <w:rFonts w:hint="eastAsia" w:asciiTheme="minorEastAsia" w:hAnsiTheme="minorEastAsia" w:eastAsiaTheme="minorEastAsia"/>
                <w:sz w:val="24"/>
                <w:szCs w:val="24"/>
                <w:highlight w:val="none"/>
              </w:rPr>
              <w:t>有效的</w:t>
            </w:r>
            <w:r>
              <w:rPr>
                <w:rFonts w:cs="宋体" w:asciiTheme="minorEastAsia" w:hAnsiTheme="minorEastAsia" w:eastAsiaTheme="minorEastAsia"/>
                <w:sz w:val="24"/>
                <w:szCs w:val="24"/>
                <w:highlight w:val="none"/>
              </w:rPr>
              <w:t>法人或者其他组织的营业执照等证明文件，自然人的身份证明</w:t>
            </w:r>
          </w:p>
        </w:tc>
        <w:tc>
          <w:tcPr>
            <w:tcW w:w="1499" w:type="dxa"/>
            <w:vAlign w:val="center"/>
          </w:tcPr>
          <w:p w14:paraId="038F4064">
            <w:pPr>
              <w:snapToGrid w:val="0"/>
              <w:jc w:val="center"/>
              <w:rPr>
                <w:rFonts w:asciiTheme="minorEastAsia" w:hAnsiTheme="minorEastAsia" w:eastAsiaTheme="minorEastAsia"/>
                <w:sz w:val="24"/>
                <w:szCs w:val="24"/>
                <w:highlight w:val="none"/>
              </w:rPr>
            </w:pPr>
          </w:p>
        </w:tc>
      </w:tr>
      <w:tr w14:paraId="745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E72E4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3</w:t>
            </w:r>
          </w:p>
        </w:tc>
        <w:tc>
          <w:tcPr>
            <w:tcW w:w="2991" w:type="dxa"/>
            <w:vAlign w:val="center"/>
          </w:tcPr>
          <w:p w14:paraId="21F601D0">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参加政府采购活动前三年内，在经营活动中没有重大违法记录</w:t>
            </w:r>
          </w:p>
        </w:tc>
        <w:tc>
          <w:tcPr>
            <w:tcW w:w="4020" w:type="dxa"/>
          </w:tcPr>
          <w:p w14:paraId="45C4E6E6">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提供了有效的参加政府采购活动前3年内在经营活动中没有重大违法记录的书面声明</w:t>
            </w:r>
          </w:p>
        </w:tc>
        <w:tc>
          <w:tcPr>
            <w:tcW w:w="1499" w:type="dxa"/>
            <w:vAlign w:val="center"/>
          </w:tcPr>
          <w:p w14:paraId="29B9210D">
            <w:pPr>
              <w:snapToGrid w:val="0"/>
              <w:jc w:val="center"/>
              <w:rPr>
                <w:rFonts w:asciiTheme="minorEastAsia" w:hAnsiTheme="minorEastAsia" w:eastAsiaTheme="minorEastAsia"/>
                <w:sz w:val="24"/>
                <w:szCs w:val="24"/>
                <w:highlight w:val="none"/>
              </w:rPr>
            </w:pPr>
          </w:p>
        </w:tc>
      </w:tr>
      <w:tr w14:paraId="0CB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69573E9">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2991" w:type="dxa"/>
            <w:vAlign w:val="center"/>
          </w:tcPr>
          <w:p w14:paraId="111D4A5A">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“信用中国”网站和中国政府采购网（www.ccgp.gov.cn）查询记录</w:t>
            </w:r>
          </w:p>
        </w:tc>
        <w:tc>
          <w:tcPr>
            <w:tcW w:w="4020" w:type="dxa"/>
          </w:tcPr>
          <w:p w14:paraId="5C35DEE5">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未被“信用中国”网站（</w:t>
            </w:r>
            <w:r>
              <w:rPr>
                <w:sz w:val="24"/>
                <w:szCs w:val="24"/>
                <w:highlight w:val="none"/>
              </w:rPr>
              <w:fldChar w:fldCharType="begin"/>
            </w:r>
            <w:r>
              <w:rPr>
                <w:sz w:val="24"/>
                <w:szCs w:val="24"/>
                <w:highlight w:val="none"/>
              </w:rPr>
              <w:instrText xml:space="preserve"> HYPERLINK "http://www.creditchina.gov.cn）中列入失信被执行人和/" </w:instrText>
            </w:r>
            <w:r>
              <w:rPr>
                <w:sz w:val="24"/>
                <w:szCs w:val="24"/>
                <w:highlight w:val="none"/>
              </w:rPr>
              <w:fldChar w:fldCharType="separate"/>
            </w:r>
            <w:r>
              <w:rPr>
                <w:rFonts w:hint="eastAsia" w:asciiTheme="minorEastAsia" w:hAnsiTheme="minorEastAsia" w:eastAsiaTheme="minorEastAsia"/>
                <w:sz w:val="24"/>
                <w:szCs w:val="24"/>
                <w:highlight w:val="none"/>
              </w:rPr>
              <w:t>www.creditchina.gov.cn）中列入失信被执行人和/</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1B06C0FE">
            <w:pPr>
              <w:snapToGrid w:val="0"/>
              <w:jc w:val="center"/>
              <w:rPr>
                <w:rFonts w:asciiTheme="minorEastAsia" w:hAnsiTheme="minorEastAsia" w:eastAsiaTheme="minorEastAsia"/>
                <w:sz w:val="24"/>
                <w:szCs w:val="24"/>
                <w:highlight w:val="none"/>
              </w:rPr>
            </w:pPr>
          </w:p>
        </w:tc>
      </w:tr>
      <w:tr w14:paraId="682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42BB6CF">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5</w:t>
            </w:r>
          </w:p>
        </w:tc>
        <w:tc>
          <w:tcPr>
            <w:tcW w:w="2991" w:type="dxa"/>
            <w:vAlign w:val="center"/>
          </w:tcPr>
          <w:p w14:paraId="4987A626">
            <w:pPr>
              <w:snapToGrid w:val="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单位负责人为同一人或者存在控股、管理关系的不同单位，不得同时参加本项目的</w:t>
            </w:r>
            <w:r>
              <w:rPr>
                <w:rFonts w:hint="eastAsia" w:asciiTheme="minorEastAsia" w:hAnsiTheme="minorEastAsia" w:eastAsiaTheme="minorEastAsia"/>
                <w:sz w:val="24"/>
                <w:szCs w:val="24"/>
                <w:highlight w:val="none"/>
                <w:lang w:eastAsia="zh-CN"/>
              </w:rPr>
              <w:t>磋商</w:t>
            </w:r>
          </w:p>
        </w:tc>
        <w:tc>
          <w:tcPr>
            <w:tcW w:w="4020" w:type="dxa"/>
          </w:tcPr>
          <w:p w14:paraId="6A1F6B07">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提供了法人代表、控股股东、控股企业及管理、被管理单位情况声明且各供应商之间不存在</w:t>
            </w:r>
            <w:r>
              <w:rPr>
                <w:rFonts w:hint="eastAsia" w:asciiTheme="minorEastAsia" w:hAnsiTheme="minorEastAsia" w:eastAsiaTheme="minorEastAsia"/>
                <w:sz w:val="24"/>
                <w:szCs w:val="24"/>
                <w:highlight w:val="none"/>
              </w:rPr>
              <w:t>单位负责人为同一人或者存在控股、管理关系情形。</w:t>
            </w:r>
          </w:p>
        </w:tc>
        <w:tc>
          <w:tcPr>
            <w:tcW w:w="1499" w:type="dxa"/>
            <w:vAlign w:val="center"/>
          </w:tcPr>
          <w:p w14:paraId="38A2A8E0">
            <w:pPr>
              <w:snapToGrid w:val="0"/>
              <w:jc w:val="center"/>
              <w:rPr>
                <w:rFonts w:asciiTheme="minorEastAsia" w:hAnsiTheme="minorEastAsia" w:eastAsiaTheme="minorEastAsia"/>
                <w:sz w:val="24"/>
                <w:szCs w:val="24"/>
                <w:highlight w:val="none"/>
              </w:rPr>
            </w:pPr>
          </w:p>
        </w:tc>
      </w:tr>
      <w:tr w14:paraId="2BB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513A768">
            <w:pPr>
              <w:snapToGrid w:val="0"/>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w:t>
            </w:r>
          </w:p>
        </w:tc>
        <w:tc>
          <w:tcPr>
            <w:tcW w:w="2991" w:type="dxa"/>
            <w:vAlign w:val="center"/>
          </w:tcPr>
          <w:p w14:paraId="2BDCC2DE">
            <w:pPr>
              <w:numPr>
                <w:ilvl w:val="0"/>
                <w:numId w:val="0"/>
              </w:numPr>
              <w:tabs>
                <w:tab w:val="left" w:pos="709"/>
              </w:tabs>
              <w:autoSpaceDE w:val="0"/>
              <w:autoSpaceDN w:val="0"/>
              <w:adjustRightInd w:val="0"/>
              <w:snapToGrid w:val="0"/>
              <w:spacing w:after="156" w:afterLines="50"/>
              <w:ind w:leftChars="0"/>
              <w:jc w:val="both"/>
              <w:rPr>
                <w:rFonts w:hint="default" w:asciiTheme="minorEastAsia" w:hAnsiTheme="minorEastAsia" w:eastAsiaTheme="minorEastAsia"/>
                <w:sz w:val="24"/>
                <w:szCs w:val="24"/>
                <w:highlight w:val="none"/>
                <w:lang w:val="en-US" w:eastAsia="zh-CN"/>
              </w:rPr>
            </w:pPr>
            <w:r>
              <w:rPr>
                <w:rFonts w:hint="eastAsia" w:ascii="宋体" w:hAnsi="宋体" w:cs="黑体"/>
                <w:kern w:val="0"/>
                <w:sz w:val="24"/>
                <w:highlight w:val="none"/>
              </w:rPr>
              <w:t>供应商资格要求</w:t>
            </w:r>
          </w:p>
        </w:tc>
        <w:tc>
          <w:tcPr>
            <w:tcW w:w="4020" w:type="dxa"/>
            <w:vAlign w:val="center"/>
          </w:tcPr>
          <w:p w14:paraId="5F4CE457">
            <w:pPr>
              <w:snapToGrid w:val="0"/>
              <w:jc w:val="both"/>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满足采购文件（公告）要求</w:t>
            </w:r>
          </w:p>
        </w:tc>
        <w:tc>
          <w:tcPr>
            <w:tcW w:w="1499" w:type="dxa"/>
            <w:vAlign w:val="center"/>
          </w:tcPr>
          <w:p w14:paraId="25D064D1">
            <w:pPr>
              <w:snapToGrid w:val="0"/>
              <w:jc w:val="center"/>
              <w:rPr>
                <w:rFonts w:asciiTheme="minorEastAsia" w:hAnsiTheme="minorEastAsia" w:eastAsiaTheme="minorEastAsia"/>
                <w:sz w:val="24"/>
                <w:szCs w:val="24"/>
                <w:highlight w:val="none"/>
              </w:rPr>
            </w:pPr>
          </w:p>
        </w:tc>
      </w:tr>
      <w:tr w14:paraId="69BD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4428841">
            <w:pPr>
              <w:snapToGrid w:val="0"/>
              <w:jc w:val="center"/>
              <w:rPr>
                <w:rFonts w:asciiTheme="minorEastAsia" w:hAnsiTheme="minorEastAsia" w:eastAsiaTheme="minorEastAsia"/>
                <w:sz w:val="24"/>
                <w:szCs w:val="24"/>
                <w:highlight w:val="none"/>
              </w:rPr>
            </w:pPr>
          </w:p>
        </w:tc>
        <w:tc>
          <w:tcPr>
            <w:tcW w:w="2991" w:type="dxa"/>
            <w:vAlign w:val="center"/>
          </w:tcPr>
          <w:p w14:paraId="3762928F">
            <w:pPr>
              <w:snapToGrid w:val="0"/>
              <w:ind w:left="425"/>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结论</w:t>
            </w:r>
          </w:p>
        </w:tc>
        <w:tc>
          <w:tcPr>
            <w:tcW w:w="4020" w:type="dxa"/>
          </w:tcPr>
          <w:p w14:paraId="6AB21473">
            <w:pPr>
              <w:snapToGrid w:val="0"/>
              <w:jc w:val="center"/>
              <w:rPr>
                <w:rFonts w:asciiTheme="minorEastAsia" w:hAnsiTheme="minorEastAsia" w:eastAsiaTheme="minorEastAsia"/>
                <w:sz w:val="24"/>
                <w:szCs w:val="24"/>
                <w:highlight w:val="none"/>
              </w:rPr>
            </w:pPr>
          </w:p>
        </w:tc>
        <w:tc>
          <w:tcPr>
            <w:tcW w:w="1499" w:type="dxa"/>
            <w:vAlign w:val="center"/>
          </w:tcPr>
          <w:p w14:paraId="3A6E33FA">
            <w:pPr>
              <w:snapToGrid w:val="0"/>
              <w:ind w:left="425"/>
              <w:jc w:val="center"/>
              <w:rPr>
                <w:rFonts w:asciiTheme="minorEastAsia" w:hAnsiTheme="minorEastAsia" w:eastAsiaTheme="minorEastAsia"/>
                <w:sz w:val="24"/>
                <w:szCs w:val="24"/>
                <w:highlight w:val="none"/>
              </w:rPr>
            </w:pPr>
          </w:p>
        </w:tc>
      </w:tr>
    </w:tbl>
    <w:p w14:paraId="14893DE6">
      <w:pPr>
        <w:spacing w:line="0" w:lineRule="atLeast"/>
        <w:ind w:left="425"/>
        <w:rPr>
          <w:sz w:val="24"/>
          <w:szCs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7B350BFE">
      <w:pPr>
        <w:tabs>
          <w:tab w:val="left" w:pos="-94"/>
          <w:tab w:val="left" w:pos="428"/>
        </w:tabs>
        <w:adjustRightInd w:val="0"/>
        <w:spacing w:line="360" w:lineRule="auto"/>
        <w:ind w:left="23" w:leftChars="11"/>
        <w:jc w:val="center"/>
        <w:textAlignment w:val="baseline"/>
        <w:outlineLvl w:val="1"/>
        <w:rPr>
          <w:b/>
          <w:sz w:val="28"/>
          <w:szCs w:val="28"/>
          <w:highlight w:val="none"/>
        </w:rPr>
      </w:pPr>
      <w:r>
        <w:rPr>
          <w:szCs w:val="21"/>
          <w:highlight w:val="none"/>
        </w:rPr>
        <w:br w:type="page"/>
      </w:r>
      <w:bookmarkStart w:id="80" w:name="_Toc414446033"/>
      <w:bookmarkStart w:id="81" w:name="_Toc410631197"/>
      <w:r>
        <w:rPr>
          <w:rFonts w:hint="eastAsia"/>
          <w:b/>
          <w:sz w:val="28"/>
          <w:szCs w:val="28"/>
          <w:highlight w:val="none"/>
        </w:rPr>
        <w:t xml:space="preserve">附表二 </w:t>
      </w:r>
      <w:r>
        <w:rPr>
          <w:b/>
          <w:sz w:val="28"/>
          <w:szCs w:val="28"/>
          <w:highlight w:val="none"/>
        </w:rPr>
        <w:t>符合性审查表</w:t>
      </w:r>
      <w:bookmarkEnd w:id="80"/>
      <w:bookmarkEnd w:id="81"/>
    </w:p>
    <w:tbl>
      <w:tblPr>
        <w:tblStyle w:val="74"/>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48E6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33D5157">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序号</w:t>
            </w:r>
          </w:p>
        </w:tc>
        <w:tc>
          <w:tcPr>
            <w:tcW w:w="1674" w:type="dxa"/>
            <w:vAlign w:val="center"/>
          </w:tcPr>
          <w:p w14:paraId="1E3D8D5D">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评审项目</w:t>
            </w:r>
          </w:p>
        </w:tc>
        <w:tc>
          <w:tcPr>
            <w:tcW w:w="5245" w:type="dxa"/>
            <w:vAlign w:val="center"/>
          </w:tcPr>
          <w:p w14:paraId="0283893A">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评审标准</w:t>
            </w:r>
          </w:p>
        </w:tc>
        <w:tc>
          <w:tcPr>
            <w:tcW w:w="1275" w:type="dxa"/>
            <w:vAlign w:val="center"/>
          </w:tcPr>
          <w:p w14:paraId="34FB372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评审结论</w:t>
            </w:r>
          </w:p>
          <w:p w14:paraId="71A80F1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p>
        </w:tc>
      </w:tr>
      <w:tr w14:paraId="2241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B705">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F80AE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响应文件签署盖章</w:t>
            </w:r>
          </w:p>
        </w:tc>
        <w:tc>
          <w:tcPr>
            <w:tcW w:w="5245" w:type="dxa"/>
            <w:vAlign w:val="center"/>
          </w:tcPr>
          <w:p w14:paraId="0DB6C37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按</w:t>
            </w:r>
            <w:r>
              <w:rPr>
                <w:rFonts w:hint="eastAsia" w:ascii="宋体" w:hAnsi="宋体"/>
                <w:sz w:val="24"/>
                <w:highlight w:val="none"/>
                <w:lang w:eastAsia="zh-CN"/>
              </w:rPr>
              <w:t>磋商</w:t>
            </w:r>
            <w:r>
              <w:rPr>
                <w:rFonts w:hint="eastAsia" w:ascii="宋体" w:hAnsi="宋体"/>
                <w:sz w:val="24"/>
                <w:highlight w:val="none"/>
              </w:rPr>
              <w:t>文件格式要求加</w:t>
            </w:r>
            <w:r>
              <w:rPr>
                <w:rFonts w:ascii="宋体" w:hAnsi="宋体"/>
                <w:sz w:val="24"/>
                <w:highlight w:val="none"/>
              </w:rPr>
              <w:t>盖了</w:t>
            </w:r>
            <w:r>
              <w:rPr>
                <w:rFonts w:hint="eastAsia" w:ascii="宋体" w:hAnsi="宋体"/>
                <w:sz w:val="24"/>
                <w:highlight w:val="none"/>
              </w:rPr>
              <w:t>供应商公</w:t>
            </w:r>
            <w:r>
              <w:rPr>
                <w:rFonts w:ascii="宋体" w:hAnsi="宋体"/>
                <w:sz w:val="24"/>
                <w:highlight w:val="none"/>
              </w:rPr>
              <w:t>章</w:t>
            </w:r>
            <w:r>
              <w:rPr>
                <w:rFonts w:hint="eastAsia" w:ascii="宋体" w:hAnsi="宋体"/>
                <w:sz w:val="24"/>
                <w:highlight w:val="none"/>
              </w:rPr>
              <w:t>和（/或）有</w:t>
            </w:r>
            <w:r>
              <w:rPr>
                <w:rFonts w:ascii="宋体" w:hAnsi="宋体"/>
                <w:sz w:val="24"/>
                <w:highlight w:val="none"/>
              </w:rPr>
              <w:t>法定代表人或</w:t>
            </w:r>
            <w:r>
              <w:rPr>
                <w:rFonts w:hint="eastAsia" w:ascii="宋体" w:hAnsi="宋体"/>
                <w:sz w:val="24"/>
                <w:highlight w:val="none"/>
              </w:rPr>
              <w:t>其授权代表</w:t>
            </w:r>
            <w:r>
              <w:rPr>
                <w:rFonts w:ascii="宋体" w:hAnsi="宋体"/>
                <w:sz w:val="24"/>
                <w:highlight w:val="none"/>
              </w:rPr>
              <w:t>签字或</w:t>
            </w:r>
            <w:r>
              <w:rPr>
                <w:rFonts w:hint="eastAsia" w:ascii="宋体" w:hAnsi="宋体"/>
                <w:sz w:val="24"/>
                <w:highlight w:val="none"/>
              </w:rPr>
              <w:t>加盖人名章</w:t>
            </w:r>
            <w:r>
              <w:rPr>
                <w:rFonts w:ascii="宋体" w:hAnsi="宋体"/>
                <w:sz w:val="24"/>
                <w:highlight w:val="none"/>
              </w:rPr>
              <w:t>。</w:t>
            </w:r>
          </w:p>
        </w:tc>
        <w:tc>
          <w:tcPr>
            <w:tcW w:w="1275" w:type="dxa"/>
            <w:vAlign w:val="center"/>
          </w:tcPr>
          <w:p w14:paraId="74092144">
            <w:pPr>
              <w:tabs>
                <w:tab w:val="left" w:pos="1260"/>
                <w:tab w:val="left" w:pos="1620"/>
              </w:tabs>
              <w:adjustRightInd w:val="0"/>
              <w:snapToGrid w:val="0"/>
              <w:textAlignment w:val="baseline"/>
              <w:rPr>
                <w:rFonts w:ascii="宋体" w:hAnsi="宋体"/>
                <w:sz w:val="24"/>
                <w:highlight w:val="none"/>
              </w:rPr>
            </w:pPr>
          </w:p>
        </w:tc>
      </w:tr>
      <w:tr w14:paraId="3B9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1AAE6B">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C24AA2D">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报价</w:t>
            </w:r>
          </w:p>
        </w:tc>
        <w:tc>
          <w:tcPr>
            <w:tcW w:w="5245" w:type="dxa"/>
            <w:vAlign w:val="center"/>
          </w:tcPr>
          <w:p w14:paraId="3A17DFB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供应商报价是固定价且未超过预算金额（</w:t>
            </w:r>
            <w:r>
              <w:rPr>
                <w:rFonts w:hint="eastAsia" w:ascii="宋体" w:hAnsi="宋体"/>
                <w:sz w:val="24"/>
                <w:highlight w:val="none"/>
                <w:lang w:eastAsia="zh-CN"/>
              </w:rPr>
              <w:t>磋商</w:t>
            </w:r>
            <w:r>
              <w:rPr>
                <w:rFonts w:hint="eastAsia" w:ascii="宋体" w:hAnsi="宋体"/>
                <w:sz w:val="24"/>
                <w:highlight w:val="none"/>
              </w:rPr>
              <w:t>文件有最高限价的，报价未超过最高限价）；</w:t>
            </w:r>
          </w:p>
        </w:tc>
        <w:tc>
          <w:tcPr>
            <w:tcW w:w="1275" w:type="dxa"/>
            <w:vAlign w:val="center"/>
          </w:tcPr>
          <w:p w14:paraId="51072CE6">
            <w:pPr>
              <w:tabs>
                <w:tab w:val="left" w:pos="1260"/>
                <w:tab w:val="left" w:pos="1620"/>
              </w:tabs>
              <w:adjustRightInd w:val="0"/>
              <w:snapToGrid w:val="0"/>
              <w:textAlignment w:val="baseline"/>
              <w:rPr>
                <w:rFonts w:ascii="宋体" w:hAnsi="宋体"/>
                <w:sz w:val="24"/>
                <w:highlight w:val="none"/>
              </w:rPr>
            </w:pPr>
          </w:p>
        </w:tc>
      </w:tr>
      <w:tr w14:paraId="0E0D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6905F0C">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6FCB204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附加条件</w:t>
            </w:r>
          </w:p>
        </w:tc>
        <w:tc>
          <w:tcPr>
            <w:tcW w:w="5245" w:type="dxa"/>
            <w:vAlign w:val="center"/>
          </w:tcPr>
          <w:p w14:paraId="1AFBC6B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响应文件不含有采购人不能接受的附加条件；</w:t>
            </w:r>
          </w:p>
        </w:tc>
        <w:tc>
          <w:tcPr>
            <w:tcW w:w="1275" w:type="dxa"/>
            <w:vAlign w:val="center"/>
          </w:tcPr>
          <w:p w14:paraId="0EF99E21">
            <w:pPr>
              <w:tabs>
                <w:tab w:val="left" w:pos="1260"/>
                <w:tab w:val="left" w:pos="1620"/>
              </w:tabs>
              <w:adjustRightInd w:val="0"/>
              <w:snapToGrid w:val="0"/>
              <w:textAlignment w:val="baseline"/>
              <w:rPr>
                <w:rFonts w:ascii="宋体" w:hAnsi="宋体"/>
                <w:sz w:val="24"/>
                <w:highlight w:val="none"/>
              </w:rPr>
            </w:pPr>
          </w:p>
        </w:tc>
      </w:tr>
      <w:tr w14:paraId="3FED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AE5282">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2495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公平竞争</w:t>
            </w:r>
          </w:p>
        </w:tc>
        <w:tc>
          <w:tcPr>
            <w:tcW w:w="5245" w:type="dxa"/>
            <w:vAlign w:val="center"/>
          </w:tcPr>
          <w:p w14:paraId="2934311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遵循公平竞争的原则，没有弄虚作假、恶意串通或妨碍其他供应商的竞争行为，损害采购人或者其他供应商的合法权益；</w:t>
            </w:r>
          </w:p>
          <w:p w14:paraId="7929D62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弄虚作假、相互串通的情形见附注</w:t>
            </w:r>
          </w:p>
        </w:tc>
        <w:tc>
          <w:tcPr>
            <w:tcW w:w="1275" w:type="dxa"/>
            <w:vAlign w:val="center"/>
          </w:tcPr>
          <w:p w14:paraId="01D5E519">
            <w:pPr>
              <w:tabs>
                <w:tab w:val="left" w:pos="1260"/>
                <w:tab w:val="left" w:pos="1620"/>
              </w:tabs>
              <w:adjustRightInd w:val="0"/>
              <w:snapToGrid w:val="0"/>
              <w:textAlignment w:val="baseline"/>
              <w:rPr>
                <w:rFonts w:ascii="宋体" w:hAnsi="宋体"/>
                <w:sz w:val="24"/>
                <w:highlight w:val="none"/>
              </w:rPr>
            </w:pPr>
          </w:p>
        </w:tc>
      </w:tr>
      <w:tr w14:paraId="0BDF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17" w:type="dxa"/>
            <w:vAlign w:val="center"/>
          </w:tcPr>
          <w:p w14:paraId="2AEC0BE1">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666414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其他无效情形</w:t>
            </w:r>
          </w:p>
        </w:tc>
        <w:tc>
          <w:tcPr>
            <w:tcW w:w="5245" w:type="dxa"/>
            <w:vAlign w:val="center"/>
          </w:tcPr>
          <w:p w14:paraId="75D1284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无法律、法规和</w:t>
            </w:r>
            <w:r>
              <w:rPr>
                <w:rFonts w:hint="eastAsia" w:ascii="宋体" w:hAnsi="宋体"/>
                <w:sz w:val="24"/>
                <w:highlight w:val="none"/>
                <w:lang w:eastAsia="zh-CN"/>
              </w:rPr>
              <w:t>磋商</w:t>
            </w:r>
            <w:r>
              <w:rPr>
                <w:rFonts w:hint="eastAsia" w:ascii="宋体" w:hAnsi="宋体"/>
                <w:sz w:val="24"/>
                <w:highlight w:val="none"/>
              </w:rPr>
              <w:t>文件规定的其他无效情形；</w:t>
            </w:r>
          </w:p>
        </w:tc>
        <w:tc>
          <w:tcPr>
            <w:tcW w:w="1275" w:type="dxa"/>
            <w:vAlign w:val="center"/>
          </w:tcPr>
          <w:p w14:paraId="1D6C595A">
            <w:pPr>
              <w:tabs>
                <w:tab w:val="left" w:pos="1260"/>
                <w:tab w:val="left" w:pos="1620"/>
              </w:tabs>
              <w:adjustRightInd w:val="0"/>
              <w:snapToGrid w:val="0"/>
              <w:textAlignment w:val="baseline"/>
              <w:rPr>
                <w:rFonts w:ascii="宋体" w:hAnsi="宋体"/>
                <w:sz w:val="24"/>
                <w:highlight w:val="none"/>
              </w:rPr>
            </w:pPr>
          </w:p>
        </w:tc>
      </w:tr>
      <w:tr w14:paraId="0AC3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7F1F039">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5040D90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响应文件有效期</w:t>
            </w:r>
          </w:p>
        </w:tc>
        <w:tc>
          <w:tcPr>
            <w:tcW w:w="5245" w:type="dxa"/>
            <w:vAlign w:val="center"/>
          </w:tcPr>
          <w:p w14:paraId="661110D4">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有效期满足</w:t>
            </w:r>
            <w:r>
              <w:rPr>
                <w:rFonts w:hint="eastAsia" w:ascii="宋体" w:hAnsi="宋体"/>
                <w:sz w:val="24"/>
                <w:highlight w:val="none"/>
                <w:lang w:eastAsia="zh-CN"/>
              </w:rPr>
              <w:t>磋商</w:t>
            </w:r>
            <w:r>
              <w:rPr>
                <w:rFonts w:ascii="宋体" w:hAnsi="宋体"/>
                <w:sz w:val="24"/>
                <w:highlight w:val="none"/>
              </w:rPr>
              <w:t>文件要求的</w:t>
            </w:r>
            <w:r>
              <w:rPr>
                <w:rFonts w:hint="eastAsia" w:ascii="宋体" w:hAnsi="宋体"/>
                <w:sz w:val="24"/>
                <w:highlight w:val="none"/>
              </w:rPr>
              <w:t>；</w:t>
            </w:r>
          </w:p>
        </w:tc>
        <w:tc>
          <w:tcPr>
            <w:tcW w:w="1275" w:type="dxa"/>
            <w:vAlign w:val="center"/>
          </w:tcPr>
          <w:p w14:paraId="0BC1E9E9">
            <w:pPr>
              <w:tabs>
                <w:tab w:val="left" w:pos="1260"/>
                <w:tab w:val="left" w:pos="1620"/>
              </w:tabs>
              <w:adjustRightInd w:val="0"/>
              <w:snapToGrid w:val="0"/>
              <w:textAlignment w:val="baseline"/>
              <w:rPr>
                <w:rFonts w:ascii="宋体" w:hAnsi="宋体"/>
                <w:sz w:val="24"/>
                <w:highlight w:val="none"/>
              </w:rPr>
            </w:pPr>
          </w:p>
        </w:tc>
      </w:tr>
      <w:tr w14:paraId="3979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A387DA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045A093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响应文件装订方式</w:t>
            </w:r>
          </w:p>
        </w:tc>
        <w:tc>
          <w:tcPr>
            <w:tcW w:w="5245" w:type="dxa"/>
            <w:vAlign w:val="center"/>
          </w:tcPr>
          <w:p w14:paraId="0B6519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vAlign w:val="center"/>
          </w:tcPr>
          <w:p w14:paraId="24D11132">
            <w:pPr>
              <w:tabs>
                <w:tab w:val="left" w:pos="1260"/>
                <w:tab w:val="left" w:pos="1620"/>
              </w:tabs>
              <w:adjustRightInd w:val="0"/>
              <w:snapToGrid w:val="0"/>
              <w:textAlignment w:val="baseline"/>
              <w:rPr>
                <w:rFonts w:ascii="宋体" w:hAnsi="宋体"/>
                <w:sz w:val="24"/>
                <w:highlight w:val="none"/>
              </w:rPr>
            </w:pPr>
          </w:p>
        </w:tc>
      </w:tr>
      <w:tr w14:paraId="5BA7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7078F0">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D22573A">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响应文件格式</w:t>
            </w:r>
          </w:p>
        </w:tc>
        <w:tc>
          <w:tcPr>
            <w:tcW w:w="5245" w:type="dxa"/>
            <w:vAlign w:val="center"/>
          </w:tcPr>
          <w:p w14:paraId="0B48AB1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w:t>
            </w:r>
            <w:r>
              <w:rPr>
                <w:rFonts w:ascii="宋体" w:hAnsi="宋体"/>
                <w:sz w:val="24"/>
                <w:highlight w:val="none"/>
              </w:rPr>
              <w:t>按规定的格式填写，内容</w:t>
            </w:r>
            <w:r>
              <w:rPr>
                <w:rFonts w:hint="eastAsia" w:ascii="宋体" w:hAnsi="宋体"/>
                <w:sz w:val="24"/>
                <w:highlight w:val="none"/>
              </w:rPr>
              <w:t>完整且</w:t>
            </w:r>
            <w:r>
              <w:rPr>
                <w:rFonts w:ascii="宋体" w:hAnsi="宋体"/>
                <w:sz w:val="24"/>
                <w:highlight w:val="none"/>
              </w:rPr>
              <w:t>关键字迹</w:t>
            </w:r>
            <w:r>
              <w:rPr>
                <w:rFonts w:hint="eastAsia" w:ascii="宋体" w:hAnsi="宋体"/>
                <w:sz w:val="24"/>
                <w:highlight w:val="none"/>
              </w:rPr>
              <w:t>清晰；</w:t>
            </w:r>
          </w:p>
        </w:tc>
        <w:tc>
          <w:tcPr>
            <w:tcW w:w="1275" w:type="dxa"/>
            <w:vAlign w:val="center"/>
          </w:tcPr>
          <w:p w14:paraId="41EE576F">
            <w:pPr>
              <w:tabs>
                <w:tab w:val="left" w:pos="1260"/>
                <w:tab w:val="left" w:pos="1620"/>
              </w:tabs>
              <w:adjustRightInd w:val="0"/>
              <w:snapToGrid w:val="0"/>
              <w:textAlignment w:val="baseline"/>
              <w:rPr>
                <w:rFonts w:ascii="宋体" w:hAnsi="宋体"/>
                <w:sz w:val="24"/>
                <w:highlight w:val="none"/>
              </w:rPr>
            </w:pPr>
          </w:p>
        </w:tc>
      </w:tr>
      <w:tr w14:paraId="6789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BDEE44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79D12B9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备选方案</w:t>
            </w:r>
          </w:p>
        </w:tc>
        <w:tc>
          <w:tcPr>
            <w:tcW w:w="5245" w:type="dxa"/>
            <w:vAlign w:val="center"/>
          </w:tcPr>
          <w:p w14:paraId="12D42BA4">
            <w:pPr>
              <w:tabs>
                <w:tab w:val="left" w:pos="1260"/>
                <w:tab w:val="left" w:pos="1620"/>
              </w:tabs>
              <w:adjustRightInd w:val="0"/>
              <w:snapToGrid w:val="0"/>
              <w:textAlignment w:val="baseline"/>
              <w:rPr>
                <w:rFonts w:ascii="宋体" w:hAnsi="宋体"/>
                <w:strike/>
                <w:sz w:val="24"/>
                <w:highlight w:val="none"/>
              </w:rPr>
            </w:pPr>
            <w:r>
              <w:rPr>
                <w:rFonts w:hint="eastAsia" w:ascii="宋体" w:hAnsi="宋体"/>
                <w:sz w:val="24"/>
                <w:highlight w:val="none"/>
              </w:rPr>
              <w:t>供应商不得提交两份或者多份内容不同的响应文件，或者在同一份响应文件中对同一</w:t>
            </w:r>
            <w:r>
              <w:rPr>
                <w:rFonts w:hint="eastAsia" w:ascii="宋体" w:hAnsi="宋体"/>
                <w:sz w:val="24"/>
                <w:highlight w:val="none"/>
                <w:lang w:eastAsia="zh-CN"/>
              </w:rPr>
              <w:t>磋商</w:t>
            </w:r>
            <w:r>
              <w:rPr>
                <w:rFonts w:hint="eastAsia" w:ascii="宋体" w:hAnsi="宋体"/>
                <w:sz w:val="24"/>
                <w:highlight w:val="none"/>
              </w:rPr>
              <w:t>项目有两个或者多个报价；</w:t>
            </w:r>
          </w:p>
        </w:tc>
        <w:tc>
          <w:tcPr>
            <w:tcW w:w="1275" w:type="dxa"/>
            <w:vAlign w:val="center"/>
          </w:tcPr>
          <w:p w14:paraId="50B3FF31">
            <w:pPr>
              <w:tabs>
                <w:tab w:val="left" w:pos="1260"/>
                <w:tab w:val="left" w:pos="1620"/>
              </w:tabs>
              <w:adjustRightInd w:val="0"/>
              <w:snapToGrid w:val="0"/>
              <w:textAlignment w:val="baseline"/>
              <w:rPr>
                <w:rFonts w:ascii="宋体" w:hAnsi="宋体"/>
                <w:sz w:val="24"/>
                <w:highlight w:val="none"/>
              </w:rPr>
            </w:pPr>
          </w:p>
        </w:tc>
      </w:tr>
      <w:tr w14:paraId="14F1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E04600A">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160F16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响应文件内容</w:t>
            </w:r>
          </w:p>
        </w:tc>
        <w:tc>
          <w:tcPr>
            <w:tcW w:w="5245" w:type="dxa"/>
            <w:vAlign w:val="center"/>
          </w:tcPr>
          <w:p w14:paraId="34AC4EF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供应商提供的货物/服务无实质性遗漏</w:t>
            </w:r>
          </w:p>
        </w:tc>
        <w:tc>
          <w:tcPr>
            <w:tcW w:w="1275" w:type="dxa"/>
            <w:vAlign w:val="center"/>
          </w:tcPr>
          <w:p w14:paraId="6968A5AE">
            <w:pPr>
              <w:tabs>
                <w:tab w:val="left" w:pos="1260"/>
                <w:tab w:val="left" w:pos="1620"/>
              </w:tabs>
              <w:adjustRightInd w:val="0"/>
              <w:snapToGrid w:val="0"/>
              <w:textAlignment w:val="baseline"/>
              <w:rPr>
                <w:rFonts w:ascii="宋体" w:hAnsi="宋体"/>
                <w:sz w:val="24"/>
                <w:highlight w:val="none"/>
              </w:rPr>
            </w:pPr>
          </w:p>
        </w:tc>
      </w:tr>
      <w:tr w14:paraId="7111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4C0BE1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FE7091E">
            <w:pPr>
              <w:tabs>
                <w:tab w:val="left" w:pos="1260"/>
                <w:tab w:val="left" w:pos="1620"/>
              </w:tabs>
              <w:adjustRightInd w:val="0"/>
              <w:snapToGrid w:val="0"/>
              <w:textAlignment w:val="baseline"/>
              <w:rPr>
                <w:rFonts w:ascii="宋体" w:hAnsi="宋体"/>
                <w:sz w:val="24"/>
                <w:highlight w:val="none"/>
              </w:rPr>
            </w:pPr>
            <w:r>
              <w:rPr>
                <w:rFonts w:hint="eastAsia" w:ascii="宋体" w:hAnsi="宋体"/>
                <w:iCs/>
                <w:sz w:val="24"/>
                <w:highlight w:val="none"/>
              </w:rPr>
              <w:t>服务标准</w:t>
            </w:r>
          </w:p>
        </w:tc>
        <w:tc>
          <w:tcPr>
            <w:tcW w:w="5245" w:type="dxa"/>
            <w:vAlign w:val="center"/>
          </w:tcPr>
          <w:p w14:paraId="5E6B7050">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符合“采购需求”要求，无重大偏差（满足星号“*”条款要求）</w:t>
            </w:r>
          </w:p>
        </w:tc>
        <w:tc>
          <w:tcPr>
            <w:tcW w:w="1275" w:type="dxa"/>
            <w:vAlign w:val="center"/>
          </w:tcPr>
          <w:p w14:paraId="38630109">
            <w:pPr>
              <w:tabs>
                <w:tab w:val="left" w:pos="1260"/>
                <w:tab w:val="left" w:pos="1620"/>
              </w:tabs>
              <w:adjustRightInd w:val="0"/>
              <w:snapToGrid w:val="0"/>
              <w:textAlignment w:val="baseline"/>
              <w:rPr>
                <w:rFonts w:ascii="宋体" w:hAnsi="宋体"/>
                <w:sz w:val="24"/>
                <w:highlight w:val="none"/>
              </w:rPr>
            </w:pPr>
          </w:p>
        </w:tc>
      </w:tr>
      <w:tr w14:paraId="252B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02FF0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3EB53B3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服务期和服务地点</w:t>
            </w:r>
          </w:p>
        </w:tc>
        <w:tc>
          <w:tcPr>
            <w:tcW w:w="5245" w:type="dxa"/>
            <w:vAlign w:val="center"/>
          </w:tcPr>
          <w:p w14:paraId="316BA72E">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满足</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tcBorders>
              <w:bottom w:val="single" w:color="auto" w:sz="4" w:space="0"/>
            </w:tcBorders>
            <w:vAlign w:val="center"/>
          </w:tcPr>
          <w:p w14:paraId="2A6336BA">
            <w:pPr>
              <w:tabs>
                <w:tab w:val="left" w:pos="1260"/>
                <w:tab w:val="left" w:pos="1620"/>
              </w:tabs>
              <w:adjustRightInd w:val="0"/>
              <w:snapToGrid w:val="0"/>
              <w:textAlignment w:val="baseline"/>
              <w:rPr>
                <w:rFonts w:ascii="宋体" w:hAnsi="宋体"/>
                <w:sz w:val="24"/>
                <w:highlight w:val="none"/>
              </w:rPr>
            </w:pPr>
          </w:p>
        </w:tc>
      </w:tr>
      <w:tr w14:paraId="6620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2325F3AF">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04170AC">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付款</w:t>
            </w:r>
            <w:r>
              <w:rPr>
                <w:rFonts w:hint="eastAsia" w:ascii="宋体" w:hAnsi="宋体"/>
                <w:sz w:val="24"/>
                <w:highlight w:val="none"/>
              </w:rPr>
              <w:t>方式</w:t>
            </w:r>
          </w:p>
        </w:tc>
        <w:tc>
          <w:tcPr>
            <w:tcW w:w="5245" w:type="dxa"/>
            <w:vAlign w:val="center"/>
          </w:tcPr>
          <w:p w14:paraId="387B45E7">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lang w:eastAsia="zh-CN"/>
              </w:rPr>
              <w:t>磋商</w:t>
            </w:r>
            <w:r>
              <w:rPr>
                <w:rFonts w:ascii="宋体" w:hAnsi="宋体"/>
                <w:sz w:val="24"/>
                <w:highlight w:val="none"/>
              </w:rPr>
              <w:t>文件</w:t>
            </w:r>
            <w:r>
              <w:rPr>
                <w:rFonts w:hint="eastAsia" w:ascii="宋体" w:hAnsi="宋体"/>
                <w:sz w:val="24"/>
                <w:highlight w:val="none"/>
              </w:rPr>
              <w:t>不允许偏差时，响应文件无负偏差；</w:t>
            </w:r>
          </w:p>
        </w:tc>
        <w:tc>
          <w:tcPr>
            <w:tcW w:w="1275" w:type="dxa"/>
            <w:tcBorders>
              <w:top w:val="single" w:color="auto" w:sz="4" w:space="0"/>
              <w:bottom w:val="single" w:color="auto" w:sz="4" w:space="0"/>
            </w:tcBorders>
            <w:vAlign w:val="center"/>
          </w:tcPr>
          <w:p w14:paraId="7E557C4A">
            <w:pPr>
              <w:tabs>
                <w:tab w:val="left" w:pos="1260"/>
                <w:tab w:val="left" w:pos="1620"/>
              </w:tabs>
              <w:adjustRightInd w:val="0"/>
              <w:snapToGrid w:val="0"/>
              <w:textAlignment w:val="baseline"/>
              <w:rPr>
                <w:rFonts w:ascii="宋体" w:hAnsi="宋体"/>
                <w:sz w:val="24"/>
                <w:highlight w:val="none"/>
              </w:rPr>
            </w:pPr>
          </w:p>
        </w:tc>
      </w:tr>
      <w:tr w14:paraId="7B53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7D721E8C">
            <w:pPr>
              <w:tabs>
                <w:tab w:val="left" w:pos="1260"/>
                <w:tab w:val="left" w:pos="1620"/>
              </w:tabs>
              <w:adjustRightInd w:val="0"/>
              <w:snapToGrid w:val="0"/>
              <w:textAlignment w:val="baseline"/>
              <w:rPr>
                <w:rFonts w:ascii="宋体" w:hAnsi="宋体"/>
                <w:sz w:val="24"/>
                <w:highlight w:val="none"/>
              </w:rPr>
            </w:pPr>
            <w:r>
              <w:rPr>
                <w:rFonts w:ascii="宋体" w:hAnsi="宋体"/>
                <w:b/>
                <w:sz w:val="24"/>
                <w:highlight w:val="none"/>
              </w:rPr>
              <w:t>结论（通过或未通过）</w:t>
            </w:r>
          </w:p>
        </w:tc>
        <w:tc>
          <w:tcPr>
            <w:tcW w:w="5245" w:type="dxa"/>
            <w:vAlign w:val="center"/>
          </w:tcPr>
          <w:p w14:paraId="541D90E2">
            <w:pPr>
              <w:tabs>
                <w:tab w:val="left" w:pos="1260"/>
                <w:tab w:val="left" w:pos="1620"/>
              </w:tabs>
              <w:adjustRightInd w:val="0"/>
              <w:snapToGrid w:val="0"/>
              <w:textAlignment w:val="baseline"/>
              <w:rPr>
                <w:rFonts w:ascii="宋体" w:hAnsi="宋体"/>
                <w:sz w:val="24"/>
                <w:highlight w:val="none"/>
              </w:rPr>
            </w:pPr>
          </w:p>
        </w:tc>
        <w:tc>
          <w:tcPr>
            <w:tcW w:w="1275" w:type="dxa"/>
            <w:tcBorders>
              <w:top w:val="single" w:color="auto" w:sz="4" w:space="0"/>
            </w:tcBorders>
            <w:vAlign w:val="center"/>
          </w:tcPr>
          <w:p w14:paraId="37A8066C">
            <w:pPr>
              <w:tabs>
                <w:tab w:val="left" w:pos="1260"/>
                <w:tab w:val="left" w:pos="1620"/>
              </w:tabs>
              <w:adjustRightInd w:val="0"/>
              <w:snapToGrid w:val="0"/>
              <w:textAlignment w:val="baseline"/>
              <w:rPr>
                <w:rFonts w:ascii="宋体" w:hAnsi="宋体"/>
                <w:sz w:val="24"/>
                <w:highlight w:val="none"/>
              </w:rPr>
            </w:pPr>
          </w:p>
        </w:tc>
      </w:tr>
    </w:tbl>
    <w:p w14:paraId="1D019FF7">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w:t>
      </w:r>
    </w:p>
    <w:p w14:paraId="69FEEF3D">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1、符合</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文件要求用“○”表示，不符合用“×”表示。有一项不符合要求，结论为不合格。</w:t>
      </w:r>
    </w:p>
    <w:p w14:paraId="210DA199">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2、进行符合性审查过程中，</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小组成员意见不同时，按少数服从多数的原则确定。</w:t>
      </w:r>
    </w:p>
    <w:p w14:paraId="30F3D54B">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3、有下列情形之一的，视为供应商相互串通：</w:t>
      </w:r>
    </w:p>
    <w:p w14:paraId="0AFB9DBC">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（1）不同供应商的响应文件由同一单位或者个人编制；</w:t>
      </w:r>
    </w:p>
    <w:p w14:paraId="4DB6268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（2）不同供应商委托同一单位或者个人办理</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事宜；</w:t>
      </w:r>
    </w:p>
    <w:p w14:paraId="6C39C7E2">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（3）不同供应商的响应文件载明的项目管理成员或者联系人员为同一人；</w:t>
      </w:r>
    </w:p>
    <w:p w14:paraId="6B619505">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（4）不同供应商的响应文件异常一致或者报价呈规律性差异；</w:t>
      </w:r>
    </w:p>
    <w:p w14:paraId="3DB0D7DB">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（5）不同供应商的响应文件相互混装；</w:t>
      </w:r>
    </w:p>
    <w:p w14:paraId="048CECFF">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（6）不同供应商的</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保证金从同一单位或者个人的账户转出。</w:t>
      </w:r>
    </w:p>
    <w:p w14:paraId="4F9ABF3A">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4、有下列情形之一的，属于提供虚假材料谋取成交的行为：</w:t>
      </w:r>
    </w:p>
    <w:p w14:paraId="6CF0DC2D">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（1）使用伪造、变造的许可证件；</w:t>
      </w:r>
    </w:p>
    <w:p w14:paraId="05C487F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（2）提供虚假的财务状况或者业绩；</w:t>
      </w:r>
    </w:p>
    <w:p w14:paraId="57093C3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（3）提供虚假的项目负责人或者主要技术人员简历、劳动关系证明；</w:t>
      </w:r>
    </w:p>
    <w:p w14:paraId="10A4670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（4）提供虚假的信用状况；</w:t>
      </w:r>
    </w:p>
    <w:p w14:paraId="00D8A008">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（5）其他弄虚作假的行为。</w:t>
      </w:r>
    </w:p>
    <w:p w14:paraId="10A5008A">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0E7719A5">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77AB46B2">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12A42E99">
      <w:pPr>
        <w:pStyle w:val="66"/>
        <w:rPr>
          <w:rFonts w:hint="eastAsia" w:asciiTheme="minorEastAsia" w:hAnsiTheme="minorEastAsia" w:eastAsiaTheme="minorEastAsia"/>
          <w:szCs w:val="21"/>
          <w:highlight w:val="none"/>
        </w:rPr>
      </w:pPr>
    </w:p>
    <w:p w14:paraId="15EE844A">
      <w:pPr>
        <w:pStyle w:val="66"/>
        <w:rPr>
          <w:rFonts w:hint="eastAsia" w:asciiTheme="minorEastAsia" w:hAnsiTheme="minorEastAsia" w:eastAsiaTheme="minorEastAsia"/>
          <w:szCs w:val="21"/>
          <w:highlight w:val="none"/>
        </w:rPr>
      </w:pPr>
    </w:p>
    <w:p w14:paraId="4F640D52">
      <w:pPr>
        <w:pStyle w:val="66"/>
        <w:rPr>
          <w:rFonts w:hint="eastAsia" w:asciiTheme="minorEastAsia" w:hAnsiTheme="minorEastAsia" w:eastAsiaTheme="minorEastAsia"/>
          <w:szCs w:val="21"/>
          <w:highlight w:val="none"/>
        </w:rPr>
      </w:pPr>
    </w:p>
    <w:p w14:paraId="79D96905">
      <w:pPr>
        <w:pStyle w:val="66"/>
        <w:rPr>
          <w:rFonts w:hint="eastAsia" w:asciiTheme="minorEastAsia" w:hAnsiTheme="minorEastAsia" w:eastAsiaTheme="minorEastAsia"/>
          <w:szCs w:val="21"/>
          <w:highlight w:val="none"/>
        </w:rPr>
      </w:pPr>
    </w:p>
    <w:p w14:paraId="6AD38761">
      <w:pPr>
        <w:pStyle w:val="66"/>
        <w:rPr>
          <w:rFonts w:hint="eastAsia" w:asciiTheme="minorEastAsia" w:hAnsiTheme="minorEastAsia" w:eastAsiaTheme="minorEastAsia"/>
          <w:szCs w:val="21"/>
          <w:highlight w:val="none"/>
        </w:rPr>
      </w:pPr>
    </w:p>
    <w:p w14:paraId="00024E9A">
      <w:pPr>
        <w:pStyle w:val="66"/>
        <w:rPr>
          <w:rFonts w:hint="eastAsia" w:asciiTheme="minorEastAsia" w:hAnsiTheme="minorEastAsia" w:eastAsiaTheme="minorEastAsia"/>
          <w:szCs w:val="21"/>
          <w:highlight w:val="none"/>
        </w:rPr>
      </w:pPr>
    </w:p>
    <w:p w14:paraId="7120D84A">
      <w:pPr>
        <w:pStyle w:val="66"/>
        <w:rPr>
          <w:rFonts w:hint="eastAsia" w:asciiTheme="minorEastAsia" w:hAnsiTheme="minorEastAsia" w:eastAsiaTheme="minorEastAsia"/>
          <w:szCs w:val="21"/>
          <w:highlight w:val="none"/>
        </w:rPr>
      </w:pPr>
    </w:p>
    <w:p w14:paraId="46EE5810">
      <w:pPr>
        <w:pStyle w:val="66"/>
        <w:rPr>
          <w:rFonts w:hint="eastAsia" w:asciiTheme="minorEastAsia" w:hAnsiTheme="minorEastAsia" w:eastAsiaTheme="minorEastAsia"/>
          <w:szCs w:val="21"/>
          <w:highlight w:val="none"/>
        </w:rPr>
      </w:pPr>
    </w:p>
    <w:p w14:paraId="38A2FFF1">
      <w:pPr>
        <w:pStyle w:val="66"/>
        <w:rPr>
          <w:rFonts w:hint="eastAsia" w:asciiTheme="minorEastAsia" w:hAnsiTheme="minorEastAsia" w:eastAsiaTheme="minorEastAsia"/>
          <w:szCs w:val="21"/>
          <w:highlight w:val="none"/>
        </w:rPr>
      </w:pPr>
    </w:p>
    <w:p w14:paraId="19FCB7A7">
      <w:pPr>
        <w:pStyle w:val="66"/>
        <w:rPr>
          <w:rFonts w:hint="eastAsia" w:asciiTheme="minorEastAsia" w:hAnsiTheme="minorEastAsia" w:eastAsiaTheme="minorEastAsia"/>
          <w:szCs w:val="21"/>
          <w:highlight w:val="none"/>
        </w:rPr>
      </w:pPr>
    </w:p>
    <w:p w14:paraId="17F93586">
      <w:pPr>
        <w:pStyle w:val="66"/>
        <w:rPr>
          <w:rFonts w:hint="eastAsia" w:asciiTheme="minorEastAsia" w:hAnsiTheme="minorEastAsia" w:eastAsiaTheme="minorEastAsia"/>
          <w:szCs w:val="21"/>
          <w:highlight w:val="none"/>
        </w:rPr>
      </w:pPr>
    </w:p>
    <w:p w14:paraId="5EE9A003">
      <w:pPr>
        <w:pStyle w:val="66"/>
        <w:rPr>
          <w:rFonts w:hint="eastAsia" w:asciiTheme="minorEastAsia" w:hAnsiTheme="minorEastAsia" w:eastAsiaTheme="minorEastAsia"/>
          <w:szCs w:val="21"/>
          <w:highlight w:val="none"/>
        </w:rPr>
      </w:pPr>
    </w:p>
    <w:p w14:paraId="4ACADF95">
      <w:pPr>
        <w:pStyle w:val="66"/>
        <w:rPr>
          <w:rFonts w:hint="eastAsia" w:asciiTheme="minorEastAsia" w:hAnsiTheme="minorEastAsia" w:eastAsiaTheme="minorEastAsia"/>
          <w:szCs w:val="21"/>
          <w:highlight w:val="none"/>
        </w:rPr>
      </w:pPr>
    </w:p>
    <w:p w14:paraId="62A79BBB">
      <w:pPr>
        <w:pStyle w:val="66"/>
        <w:rPr>
          <w:rFonts w:hint="eastAsia" w:asciiTheme="minorEastAsia" w:hAnsiTheme="minorEastAsia" w:eastAsiaTheme="minorEastAsia"/>
          <w:szCs w:val="21"/>
          <w:highlight w:val="none"/>
        </w:rPr>
      </w:pPr>
    </w:p>
    <w:p w14:paraId="120278D5">
      <w:pPr>
        <w:pStyle w:val="66"/>
        <w:rPr>
          <w:rFonts w:hint="eastAsia" w:asciiTheme="minorEastAsia" w:hAnsiTheme="minorEastAsia" w:eastAsiaTheme="minorEastAsia"/>
          <w:szCs w:val="21"/>
          <w:highlight w:val="none"/>
        </w:rPr>
      </w:pPr>
    </w:p>
    <w:p w14:paraId="4F8B457E">
      <w:pPr>
        <w:tabs>
          <w:tab w:val="left" w:pos="-94"/>
          <w:tab w:val="left" w:pos="428"/>
        </w:tabs>
        <w:adjustRightInd w:val="0"/>
        <w:spacing w:line="360" w:lineRule="auto"/>
        <w:ind w:left="23" w:leftChars="11"/>
        <w:jc w:val="center"/>
        <w:textAlignment w:val="baseline"/>
        <w:outlineLvl w:val="1"/>
        <w:rPr>
          <w:b/>
          <w:sz w:val="28"/>
          <w:szCs w:val="28"/>
          <w:highlight w:val="none"/>
        </w:rPr>
      </w:pPr>
      <w:bookmarkStart w:id="82" w:name="_Toc414446034"/>
      <w:bookmarkStart w:id="83" w:name="_Toc410631198"/>
      <w:bookmarkStart w:id="84" w:name="_Toc14221"/>
      <w:r>
        <w:rPr>
          <w:b/>
          <w:sz w:val="28"/>
          <w:szCs w:val="28"/>
          <w:highlight w:val="none"/>
        </w:rPr>
        <w:t>附表</w:t>
      </w:r>
      <w:r>
        <w:rPr>
          <w:rFonts w:hint="eastAsia"/>
          <w:b/>
          <w:sz w:val="28"/>
          <w:szCs w:val="28"/>
          <w:highlight w:val="none"/>
        </w:rPr>
        <w:t xml:space="preserve">三 </w:t>
      </w:r>
      <w:bookmarkEnd w:id="82"/>
      <w:bookmarkEnd w:id="83"/>
      <w:bookmarkStart w:id="85" w:name="_Toc410631199"/>
      <w:bookmarkStart w:id="86" w:name="_Toc414446035"/>
      <w:r>
        <w:rPr>
          <w:b/>
          <w:sz w:val="28"/>
          <w:szCs w:val="28"/>
          <w:highlight w:val="none"/>
        </w:rPr>
        <w:t>技术评审因素及分值分配</w:t>
      </w:r>
      <w:bookmarkEnd w:id="85"/>
      <w:bookmarkEnd w:id="86"/>
    </w:p>
    <w:p w14:paraId="2656F89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eastAsia="zh-CN"/>
        </w:rPr>
      </w:pPr>
      <w:r>
        <w:rPr>
          <w:rFonts w:hint="eastAsia"/>
          <w:sz w:val="24"/>
          <w:szCs w:val="32"/>
        </w:rPr>
        <w:t xml:space="preserve">本项目技术分值占总分值的权重为 </w:t>
      </w:r>
      <w:r>
        <w:rPr>
          <w:rFonts w:hint="eastAsia"/>
          <w:sz w:val="24"/>
          <w:szCs w:val="32"/>
          <w:lang w:val="en-US" w:eastAsia="zh-CN"/>
        </w:rPr>
        <w:t>90</w:t>
      </w:r>
      <w:r>
        <w:rPr>
          <w:rFonts w:hint="eastAsia"/>
          <w:sz w:val="24"/>
          <w:szCs w:val="32"/>
        </w:rPr>
        <w:t xml:space="preserve"> %，价格分值占总分值的权重为 </w:t>
      </w:r>
      <w:r>
        <w:rPr>
          <w:rFonts w:hint="eastAsia"/>
          <w:sz w:val="24"/>
          <w:szCs w:val="32"/>
          <w:lang w:val="en-US" w:eastAsia="zh-CN"/>
        </w:rPr>
        <w:t>10</w:t>
      </w:r>
      <w:r>
        <w:rPr>
          <w:rFonts w:hint="eastAsia"/>
          <w:sz w:val="24"/>
          <w:szCs w:val="32"/>
        </w:rPr>
        <w:t>%。具体评分细则如下</w:t>
      </w:r>
      <w:r>
        <w:rPr>
          <w:rFonts w:hint="eastAsia"/>
          <w:sz w:val="24"/>
          <w:szCs w:val="32"/>
          <w:lang w:eastAsia="zh-CN"/>
        </w:rPr>
        <w:t>：</w:t>
      </w:r>
    </w:p>
    <w:tbl>
      <w:tblPr>
        <w:tblStyle w:val="433"/>
        <w:tblW w:w="501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72"/>
        <w:gridCol w:w="1528"/>
        <w:gridCol w:w="4187"/>
        <w:gridCol w:w="1131"/>
        <w:gridCol w:w="242"/>
      </w:tblGrid>
      <w:tr w14:paraId="1B8A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11" w:type="pct"/>
            <w:vAlign w:val="top"/>
          </w:tcPr>
          <w:p w14:paraId="0B3AC166">
            <w:pPr>
              <w:pStyle w:val="434"/>
              <w:spacing w:before="138" w:line="220" w:lineRule="auto"/>
              <w:ind w:left="506"/>
            </w:pPr>
            <w:r>
              <w:rPr>
                <w:b/>
                <w:bCs/>
                <w:spacing w:val="-5"/>
              </w:rPr>
              <w:t>类别</w:t>
            </w:r>
          </w:p>
        </w:tc>
        <w:tc>
          <w:tcPr>
            <w:tcW w:w="903" w:type="pct"/>
            <w:vAlign w:val="top"/>
          </w:tcPr>
          <w:p w14:paraId="0AC783D4">
            <w:pPr>
              <w:pStyle w:val="434"/>
              <w:spacing w:before="138" w:line="220" w:lineRule="auto"/>
              <w:ind w:left="395"/>
            </w:pPr>
            <w:r>
              <w:rPr>
                <w:b/>
                <w:bCs/>
                <w:spacing w:val="-4"/>
              </w:rPr>
              <w:t>评分内容</w:t>
            </w:r>
          </w:p>
        </w:tc>
        <w:tc>
          <w:tcPr>
            <w:tcW w:w="2474" w:type="pct"/>
            <w:vAlign w:val="top"/>
          </w:tcPr>
          <w:p w14:paraId="3618200E">
            <w:pPr>
              <w:pStyle w:val="434"/>
              <w:spacing w:before="139" w:line="220" w:lineRule="auto"/>
              <w:ind w:left="1716"/>
            </w:pPr>
            <w:r>
              <w:rPr>
                <w:b/>
                <w:bCs/>
                <w:spacing w:val="-4"/>
              </w:rPr>
              <w:t>评分标准</w:t>
            </w:r>
          </w:p>
        </w:tc>
        <w:tc>
          <w:tcPr>
            <w:tcW w:w="668" w:type="pct"/>
            <w:vAlign w:val="top"/>
          </w:tcPr>
          <w:p w14:paraId="0FCFF3D9">
            <w:pPr>
              <w:pStyle w:val="434"/>
              <w:spacing w:before="138" w:line="220" w:lineRule="auto"/>
              <w:rPr>
                <w:rFonts w:hint="default" w:eastAsia="宋体"/>
                <w:lang w:val="en-US" w:eastAsia="zh-CN"/>
              </w:rPr>
            </w:pPr>
            <w:r>
              <w:rPr>
                <w:b/>
                <w:bCs/>
                <w:spacing w:val="-5"/>
              </w:rPr>
              <w:t>分值范围</w:t>
            </w:r>
            <w:r>
              <w:rPr>
                <w:rFonts w:hint="eastAsia"/>
                <w:b/>
                <w:bCs/>
                <w:spacing w:val="-5"/>
                <w:lang w:val="en-US" w:eastAsia="zh-CN"/>
              </w:rPr>
              <w:t xml:space="preserve">     </w:t>
            </w:r>
          </w:p>
        </w:tc>
        <w:tc>
          <w:tcPr>
            <w:tcW w:w="141" w:type="pct"/>
            <w:tcBorders>
              <w:top w:val="nil"/>
              <w:right w:val="nil"/>
            </w:tcBorders>
            <w:vAlign w:val="top"/>
          </w:tcPr>
          <w:p w14:paraId="5D766AAC">
            <w:pPr>
              <w:rPr>
                <w:rFonts w:hint="eastAsia" w:ascii="Arial" w:eastAsia="宋体"/>
                <w:sz w:val="21"/>
                <w:lang w:val="en-US" w:eastAsia="zh-CN"/>
              </w:rPr>
            </w:pPr>
            <w:r>
              <w:rPr>
                <w:rFonts w:hint="eastAsia" w:ascii="Arial"/>
                <w:sz w:val="21"/>
                <w:lang w:val="en-US" w:eastAsia="zh-CN"/>
              </w:rPr>
              <w:t xml:space="preserve"> </w:t>
            </w:r>
          </w:p>
        </w:tc>
      </w:tr>
      <w:tr w14:paraId="6279D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3" w:hRule="atLeast"/>
        </w:trPr>
        <w:tc>
          <w:tcPr>
            <w:tcW w:w="811" w:type="pct"/>
            <w:vMerge w:val="restart"/>
            <w:vAlign w:val="top"/>
          </w:tcPr>
          <w:p w14:paraId="156D7739">
            <w:pPr>
              <w:spacing w:line="247" w:lineRule="auto"/>
              <w:rPr>
                <w:rFonts w:ascii="Arial"/>
                <w:sz w:val="21"/>
              </w:rPr>
            </w:pPr>
          </w:p>
          <w:p w14:paraId="322D425D">
            <w:pPr>
              <w:spacing w:line="247" w:lineRule="auto"/>
              <w:rPr>
                <w:rFonts w:ascii="Arial"/>
                <w:sz w:val="21"/>
              </w:rPr>
            </w:pPr>
          </w:p>
          <w:p w14:paraId="1778C7B1">
            <w:pPr>
              <w:spacing w:line="248" w:lineRule="auto"/>
              <w:rPr>
                <w:rFonts w:ascii="Arial"/>
                <w:sz w:val="21"/>
              </w:rPr>
            </w:pPr>
          </w:p>
          <w:p w14:paraId="484359DD">
            <w:pPr>
              <w:spacing w:line="248" w:lineRule="auto"/>
              <w:rPr>
                <w:rFonts w:ascii="Arial"/>
                <w:sz w:val="21"/>
              </w:rPr>
            </w:pPr>
          </w:p>
          <w:p w14:paraId="202641F9">
            <w:pPr>
              <w:spacing w:line="248" w:lineRule="auto"/>
              <w:rPr>
                <w:rFonts w:ascii="Arial"/>
                <w:sz w:val="21"/>
              </w:rPr>
            </w:pPr>
          </w:p>
          <w:p w14:paraId="22692563">
            <w:pPr>
              <w:spacing w:line="248" w:lineRule="auto"/>
              <w:rPr>
                <w:rFonts w:ascii="Arial"/>
                <w:sz w:val="21"/>
              </w:rPr>
            </w:pPr>
          </w:p>
          <w:p w14:paraId="0A372CFD">
            <w:pPr>
              <w:spacing w:line="248" w:lineRule="auto"/>
              <w:rPr>
                <w:rFonts w:ascii="Arial"/>
                <w:sz w:val="21"/>
              </w:rPr>
            </w:pPr>
          </w:p>
          <w:p w14:paraId="43EC1371">
            <w:pPr>
              <w:spacing w:line="248" w:lineRule="auto"/>
              <w:rPr>
                <w:rFonts w:ascii="Arial"/>
                <w:sz w:val="21"/>
              </w:rPr>
            </w:pPr>
          </w:p>
          <w:p w14:paraId="08E48F8F">
            <w:pPr>
              <w:pStyle w:val="434"/>
              <w:spacing w:before="78" w:line="361" w:lineRule="auto"/>
              <w:ind w:left="352" w:right="242" w:firstLine="23"/>
            </w:pPr>
            <w:r>
              <w:rPr>
                <w:spacing w:val="-3"/>
              </w:rPr>
              <w:t>技术标分</w:t>
            </w:r>
            <w:r>
              <w:rPr>
                <w:spacing w:val="-9"/>
              </w:rPr>
              <w:t>（</w:t>
            </w:r>
            <w:r>
              <w:rPr>
                <w:rFonts w:hint="eastAsia"/>
                <w:spacing w:val="-9"/>
                <w:u w:val="single" w:color="auto"/>
                <w:lang w:val="en-US" w:eastAsia="zh-CN"/>
              </w:rPr>
              <w:t>9</w:t>
            </w:r>
            <w:r>
              <w:rPr>
                <w:spacing w:val="-9"/>
                <w:u w:val="single" w:color="auto"/>
              </w:rPr>
              <w:t>0</w:t>
            </w:r>
            <w:r>
              <w:rPr>
                <w:spacing w:val="-48"/>
                <w:u w:val="single" w:color="auto"/>
              </w:rPr>
              <w:t xml:space="preserve"> </w:t>
            </w:r>
            <w:r>
              <w:rPr>
                <w:spacing w:val="-9"/>
              </w:rPr>
              <w:t>分）</w:t>
            </w:r>
          </w:p>
        </w:tc>
        <w:tc>
          <w:tcPr>
            <w:tcW w:w="903" w:type="pct"/>
            <w:vAlign w:val="top"/>
          </w:tcPr>
          <w:p w14:paraId="2A2ED3FF">
            <w:pPr>
              <w:spacing w:line="248" w:lineRule="auto"/>
              <w:rPr>
                <w:rFonts w:ascii="Arial"/>
                <w:sz w:val="21"/>
              </w:rPr>
            </w:pPr>
          </w:p>
          <w:p w14:paraId="38BCC207">
            <w:pPr>
              <w:spacing w:line="248" w:lineRule="auto"/>
              <w:rPr>
                <w:rFonts w:ascii="Arial"/>
                <w:sz w:val="21"/>
              </w:rPr>
            </w:pPr>
          </w:p>
          <w:p w14:paraId="5DB5A538">
            <w:pPr>
              <w:spacing w:line="248" w:lineRule="auto"/>
              <w:rPr>
                <w:rFonts w:ascii="Arial"/>
                <w:sz w:val="21"/>
              </w:rPr>
            </w:pPr>
          </w:p>
          <w:p w14:paraId="32D9A0A5">
            <w:pPr>
              <w:spacing w:line="248" w:lineRule="auto"/>
              <w:rPr>
                <w:rFonts w:ascii="Arial"/>
                <w:sz w:val="21"/>
              </w:rPr>
            </w:pPr>
          </w:p>
          <w:p w14:paraId="13D952F2">
            <w:pPr>
              <w:pStyle w:val="434"/>
              <w:spacing w:before="78" w:line="242" w:lineRule="auto"/>
              <w:ind w:right="283"/>
              <w:jc w:val="center"/>
            </w:pPr>
            <w:r>
              <w:rPr>
                <w:rFonts w:hint="eastAsia"/>
                <w:spacing w:val="-4"/>
                <w:lang w:val="en-US" w:eastAsia="zh-CN"/>
              </w:rPr>
              <w:t xml:space="preserve"> 体系认证</w:t>
            </w:r>
          </w:p>
        </w:tc>
        <w:tc>
          <w:tcPr>
            <w:tcW w:w="2474" w:type="pct"/>
            <w:vAlign w:val="top"/>
          </w:tcPr>
          <w:p w14:paraId="762E5183">
            <w:pPr>
              <w:pStyle w:val="434"/>
              <w:spacing w:before="141" w:line="219" w:lineRule="auto"/>
              <w:ind w:left="609"/>
            </w:pPr>
            <w:r>
              <w:rPr>
                <w:spacing w:val="-4"/>
              </w:rPr>
              <w:t>1、质量管理体系认证证书（3</w:t>
            </w:r>
            <w:r>
              <w:rPr>
                <w:spacing w:val="-48"/>
              </w:rPr>
              <w:t xml:space="preserve"> </w:t>
            </w:r>
            <w:r>
              <w:rPr>
                <w:spacing w:val="-4"/>
              </w:rPr>
              <w:t>分</w:t>
            </w:r>
            <w:r>
              <w:rPr>
                <w:spacing w:val="-7"/>
              </w:rPr>
              <w:t>）；</w:t>
            </w:r>
          </w:p>
          <w:p w14:paraId="6A68A754">
            <w:pPr>
              <w:pStyle w:val="434"/>
              <w:spacing w:before="117" w:line="263" w:lineRule="auto"/>
              <w:ind w:left="118" w:right="125" w:firstLine="476"/>
            </w:pPr>
            <w:r>
              <w:rPr>
                <w:spacing w:val="3"/>
              </w:rPr>
              <w:t>2、职业健康安全管理体系认证证书</w:t>
            </w:r>
            <w:r>
              <w:rPr>
                <w:spacing w:val="-13"/>
              </w:rPr>
              <w:t>（3</w:t>
            </w:r>
            <w:r>
              <w:rPr>
                <w:spacing w:val="-48"/>
              </w:rPr>
              <w:t xml:space="preserve"> </w:t>
            </w:r>
            <w:r>
              <w:rPr>
                <w:spacing w:val="-13"/>
              </w:rPr>
              <w:t>分</w:t>
            </w:r>
            <w:r>
              <w:rPr>
                <w:spacing w:val="-12"/>
              </w:rPr>
              <w:t>）；</w:t>
            </w:r>
          </w:p>
          <w:p w14:paraId="7CCCD43D">
            <w:pPr>
              <w:pStyle w:val="434"/>
              <w:spacing w:before="22" w:line="331" w:lineRule="auto"/>
              <w:ind w:left="111" w:right="100" w:firstLine="426"/>
              <w:jc w:val="both"/>
              <w:rPr>
                <w:sz w:val="21"/>
                <w:szCs w:val="21"/>
              </w:rPr>
            </w:pPr>
            <w:r>
              <w:rPr>
                <w:spacing w:val="-4"/>
              </w:rPr>
              <w:t>3、环境管理体系认证证书（3</w:t>
            </w:r>
            <w:r>
              <w:rPr>
                <w:spacing w:val="-42"/>
              </w:rPr>
              <w:t xml:space="preserve"> </w:t>
            </w:r>
            <w:r>
              <w:rPr>
                <w:spacing w:val="-4"/>
              </w:rPr>
              <w:t>分）。</w:t>
            </w:r>
            <w:r>
              <w:rPr>
                <w:rFonts w:hint="eastAsia" w:cs="宋体" w:asciiTheme="minorEastAsia" w:hAnsiTheme="minorEastAsia" w:eastAsiaTheme="minorEastAsia"/>
                <w:b/>
                <w:bCs/>
                <w:color w:val="000000"/>
                <w:sz w:val="24"/>
                <w:szCs w:val="24"/>
                <w:highlight w:val="none"/>
              </w:rPr>
              <w:t>注：响应文件中提供认证证书复印件或扫描件。</w:t>
            </w:r>
          </w:p>
        </w:tc>
        <w:tc>
          <w:tcPr>
            <w:tcW w:w="810" w:type="pct"/>
            <w:gridSpan w:val="2"/>
            <w:vAlign w:val="top"/>
          </w:tcPr>
          <w:p w14:paraId="5009B99D">
            <w:pPr>
              <w:spacing w:line="246" w:lineRule="auto"/>
              <w:rPr>
                <w:rFonts w:ascii="Arial"/>
                <w:sz w:val="21"/>
              </w:rPr>
            </w:pPr>
          </w:p>
          <w:p w14:paraId="0CEEFDC1">
            <w:pPr>
              <w:spacing w:line="246" w:lineRule="auto"/>
              <w:rPr>
                <w:rFonts w:ascii="Arial"/>
                <w:sz w:val="21"/>
              </w:rPr>
            </w:pPr>
          </w:p>
          <w:p w14:paraId="3A342354">
            <w:pPr>
              <w:spacing w:line="246" w:lineRule="auto"/>
              <w:rPr>
                <w:rFonts w:ascii="Arial"/>
                <w:sz w:val="21"/>
              </w:rPr>
            </w:pPr>
          </w:p>
          <w:p w14:paraId="7CE0BED5">
            <w:pPr>
              <w:spacing w:line="247" w:lineRule="auto"/>
              <w:rPr>
                <w:rFonts w:ascii="Arial"/>
                <w:sz w:val="21"/>
              </w:rPr>
            </w:pPr>
          </w:p>
          <w:p w14:paraId="35C9E410">
            <w:pPr>
              <w:pStyle w:val="434"/>
              <w:spacing w:before="78" w:line="220" w:lineRule="auto"/>
              <w:ind w:left="601"/>
            </w:pPr>
            <w:r>
              <w:rPr>
                <w:b/>
                <w:bCs/>
                <w:spacing w:val="-5"/>
              </w:rPr>
              <w:t>0-9</w:t>
            </w:r>
            <w:r>
              <w:rPr>
                <w:spacing w:val="-46"/>
              </w:rPr>
              <w:t xml:space="preserve"> </w:t>
            </w:r>
            <w:r>
              <w:rPr>
                <w:b/>
                <w:bCs/>
                <w:spacing w:val="-5"/>
              </w:rPr>
              <w:t>分</w:t>
            </w:r>
          </w:p>
        </w:tc>
      </w:tr>
      <w:tr w14:paraId="4F99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0" w:hRule="atLeast"/>
        </w:trPr>
        <w:tc>
          <w:tcPr>
            <w:tcW w:w="811" w:type="pct"/>
            <w:vMerge w:val="continue"/>
            <w:vAlign w:val="top"/>
          </w:tcPr>
          <w:p w14:paraId="6F6B810B">
            <w:pPr>
              <w:rPr>
                <w:rFonts w:ascii="Arial"/>
                <w:sz w:val="21"/>
              </w:rPr>
            </w:pPr>
          </w:p>
        </w:tc>
        <w:tc>
          <w:tcPr>
            <w:tcW w:w="903" w:type="pct"/>
            <w:vAlign w:val="center"/>
          </w:tcPr>
          <w:p w14:paraId="76562B2E">
            <w:pPr>
              <w:widowControl/>
              <w:spacing w:line="360" w:lineRule="auto"/>
              <w:jc w:val="center"/>
            </w:pPr>
            <w:r>
              <w:rPr>
                <w:rFonts w:hint="eastAsia" w:ascii="宋体" w:hAnsi="宋体" w:cs="宋体"/>
                <w:color w:val="000000"/>
                <w:sz w:val="24"/>
                <w:szCs w:val="24"/>
                <w:highlight w:val="none"/>
              </w:rPr>
              <w:t>环保实力</w:t>
            </w:r>
          </w:p>
        </w:tc>
        <w:tc>
          <w:tcPr>
            <w:tcW w:w="2474" w:type="pct"/>
            <w:vAlign w:val="center"/>
          </w:tcPr>
          <w:p w14:paraId="158286DE">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1、供应商所用洗涤化料具有第三方检验检测机构出具的检测报告（具有CMA标志），得4分；</w:t>
            </w:r>
          </w:p>
          <w:p w14:paraId="542C567F">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2、供应商具有第三方检验检测机构出具的洗涤污水排放合格检验检测报告，得4分；</w:t>
            </w:r>
          </w:p>
          <w:p w14:paraId="5855C6D8">
            <w:pPr>
              <w:pStyle w:val="2"/>
              <w:spacing w:after="0" w:line="500" w:lineRule="exact"/>
              <w:ind w:left="0" w:leftChars="0" w:firstLine="0" w:firstLineChars="0"/>
            </w:pPr>
            <w:r>
              <w:rPr>
                <w:rFonts w:hint="eastAsia" w:cs="宋体" w:asciiTheme="minorEastAsia" w:hAnsiTheme="minorEastAsia" w:eastAsiaTheme="minorEastAsia"/>
                <w:b/>
                <w:bCs/>
                <w:color w:val="000000"/>
                <w:sz w:val="24"/>
                <w:szCs w:val="24"/>
                <w:highlight w:val="none"/>
              </w:rPr>
              <w:t>注：响应文件中提供检测报告复印件或扫描件。</w:t>
            </w:r>
          </w:p>
        </w:tc>
        <w:tc>
          <w:tcPr>
            <w:tcW w:w="810" w:type="pct"/>
            <w:gridSpan w:val="2"/>
            <w:vAlign w:val="top"/>
          </w:tcPr>
          <w:p w14:paraId="01A80779">
            <w:pPr>
              <w:spacing w:line="241" w:lineRule="auto"/>
              <w:rPr>
                <w:rFonts w:ascii="Arial"/>
                <w:sz w:val="21"/>
              </w:rPr>
            </w:pPr>
          </w:p>
          <w:p w14:paraId="43465FB7">
            <w:pPr>
              <w:spacing w:line="241" w:lineRule="auto"/>
              <w:rPr>
                <w:rFonts w:ascii="Arial"/>
                <w:sz w:val="21"/>
              </w:rPr>
            </w:pPr>
          </w:p>
          <w:p w14:paraId="190E3418">
            <w:pPr>
              <w:spacing w:line="241" w:lineRule="auto"/>
              <w:rPr>
                <w:rFonts w:ascii="Arial"/>
                <w:sz w:val="21"/>
              </w:rPr>
            </w:pPr>
          </w:p>
          <w:p w14:paraId="4A46D231">
            <w:pPr>
              <w:spacing w:line="241" w:lineRule="auto"/>
              <w:rPr>
                <w:rFonts w:ascii="Arial"/>
                <w:sz w:val="21"/>
              </w:rPr>
            </w:pPr>
          </w:p>
          <w:p w14:paraId="5C3F7CE3">
            <w:pPr>
              <w:spacing w:line="242" w:lineRule="auto"/>
              <w:rPr>
                <w:rFonts w:ascii="Arial"/>
                <w:sz w:val="21"/>
              </w:rPr>
            </w:pPr>
          </w:p>
          <w:p w14:paraId="40414349">
            <w:pPr>
              <w:spacing w:line="242" w:lineRule="auto"/>
              <w:rPr>
                <w:rFonts w:ascii="Arial"/>
                <w:sz w:val="21"/>
              </w:rPr>
            </w:pPr>
          </w:p>
          <w:p w14:paraId="7182240C">
            <w:pPr>
              <w:spacing w:line="242" w:lineRule="auto"/>
              <w:rPr>
                <w:rFonts w:ascii="Arial"/>
                <w:sz w:val="21"/>
              </w:rPr>
            </w:pPr>
          </w:p>
          <w:p w14:paraId="4AB0214A">
            <w:pPr>
              <w:pStyle w:val="434"/>
              <w:spacing w:before="78" w:line="220" w:lineRule="auto"/>
              <w:ind w:left="602"/>
            </w:pPr>
            <w:r>
              <w:rPr>
                <w:rFonts w:hint="eastAsia"/>
                <w:b/>
                <w:bCs/>
                <w:spacing w:val="-5"/>
                <w:lang w:val="en-US" w:eastAsia="zh-CN"/>
              </w:rPr>
              <w:t>0-8</w:t>
            </w:r>
            <w:r>
              <w:rPr>
                <w:spacing w:val="-46"/>
              </w:rPr>
              <w:t xml:space="preserve"> </w:t>
            </w:r>
            <w:r>
              <w:rPr>
                <w:b/>
                <w:bCs/>
                <w:spacing w:val="-5"/>
              </w:rPr>
              <w:t>分</w:t>
            </w:r>
          </w:p>
        </w:tc>
      </w:tr>
      <w:tr w14:paraId="587B1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1" w:type="pct"/>
            <w:vMerge w:val="continue"/>
            <w:vAlign w:val="top"/>
          </w:tcPr>
          <w:p w14:paraId="4B404ACF">
            <w:pPr>
              <w:rPr>
                <w:rFonts w:ascii="Arial"/>
                <w:sz w:val="21"/>
              </w:rPr>
            </w:pPr>
          </w:p>
        </w:tc>
        <w:tc>
          <w:tcPr>
            <w:tcW w:w="903" w:type="pct"/>
            <w:vAlign w:val="center"/>
          </w:tcPr>
          <w:p w14:paraId="1CD72446">
            <w:pPr>
              <w:widowControl/>
              <w:spacing w:line="360" w:lineRule="auto"/>
              <w:jc w:val="center"/>
            </w:pPr>
            <w:r>
              <w:rPr>
                <w:rFonts w:hint="eastAsia" w:ascii="宋体" w:hAnsi="宋体" w:cs="宋体"/>
                <w:color w:val="000000"/>
                <w:sz w:val="24"/>
                <w:szCs w:val="24"/>
                <w:highlight w:val="none"/>
              </w:rPr>
              <w:t>企业设备</w:t>
            </w:r>
          </w:p>
        </w:tc>
        <w:tc>
          <w:tcPr>
            <w:tcW w:w="2474" w:type="pct"/>
            <w:vAlign w:val="center"/>
          </w:tcPr>
          <w:p w14:paraId="15243EE1">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供应商根据本项目提供洗涤设备设施：</w:t>
            </w:r>
          </w:p>
          <w:p w14:paraId="5D876E0E">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1、隧道式洗衣龙每拥有1条得</w:t>
            </w:r>
            <w:r>
              <w:rPr>
                <w:rFonts w:hint="eastAsia" w:cs="宋体" w:asciiTheme="minorEastAsia" w:hAnsiTheme="minorEastAsia" w:eastAsiaTheme="minorEastAsia"/>
                <w:color w:val="000000"/>
                <w:sz w:val="24"/>
                <w:szCs w:val="24"/>
                <w:highlight w:val="none"/>
                <w:lang w:val="en-US" w:eastAsia="zh-CN"/>
              </w:rPr>
              <w:t>5</w:t>
            </w:r>
            <w:r>
              <w:rPr>
                <w:rFonts w:hint="eastAsia" w:cs="宋体" w:asciiTheme="minorEastAsia" w:hAnsiTheme="minorEastAsia" w:eastAsiaTheme="minorEastAsia"/>
                <w:color w:val="000000"/>
                <w:sz w:val="24"/>
                <w:szCs w:val="24"/>
                <w:highlight w:val="none"/>
              </w:rPr>
              <w:t>分，满分</w:t>
            </w:r>
            <w:r>
              <w:rPr>
                <w:rFonts w:hint="eastAsia" w:cs="宋体" w:asciiTheme="minorEastAsia" w:hAnsiTheme="minorEastAsia" w:eastAsiaTheme="minorEastAsia"/>
                <w:color w:val="000000"/>
                <w:sz w:val="24"/>
                <w:szCs w:val="24"/>
                <w:highlight w:val="none"/>
                <w:lang w:val="en-US" w:eastAsia="zh-CN"/>
              </w:rPr>
              <w:t>5</w:t>
            </w:r>
            <w:r>
              <w:rPr>
                <w:rFonts w:hint="eastAsia" w:cs="宋体" w:asciiTheme="minorEastAsia" w:hAnsiTheme="minorEastAsia" w:eastAsiaTheme="minorEastAsia"/>
                <w:color w:val="000000"/>
                <w:sz w:val="24"/>
                <w:szCs w:val="24"/>
                <w:highlight w:val="none"/>
              </w:rPr>
              <w:t>分；</w:t>
            </w:r>
          </w:p>
          <w:p w14:paraId="5196EC8A">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2、卫生隔离式（进、出料通道分开式）洗涤设备每拥有1条，得1分，满分2分；</w:t>
            </w:r>
          </w:p>
          <w:p w14:paraId="7FE546F9">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3、快速烫平机每拥有1组得2分，满分2分；</w:t>
            </w:r>
          </w:p>
          <w:p w14:paraId="612F2712">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4、其他专业洗涤设备理论洗涤重量（一次）合计达到 500公斤或以上的，得2分；</w:t>
            </w:r>
          </w:p>
          <w:p w14:paraId="63392581">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5、具备洁污分离货物通道的，得2分；</w:t>
            </w:r>
          </w:p>
          <w:p w14:paraId="572C999C">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6、具备洁污分离人员通道的，得2分；</w:t>
            </w:r>
          </w:p>
          <w:p w14:paraId="22305B04">
            <w:pPr>
              <w:pStyle w:val="2"/>
              <w:spacing w:after="0" w:line="500" w:lineRule="exact"/>
              <w:ind w:left="0" w:leftChars="0" w:firstLine="0" w:firstLineChars="0"/>
            </w:pPr>
            <w:r>
              <w:rPr>
                <w:rFonts w:hint="eastAsia" w:cs="宋体" w:asciiTheme="minorEastAsia" w:hAnsiTheme="minorEastAsia" w:eastAsiaTheme="minorEastAsia"/>
                <w:b/>
                <w:bCs/>
                <w:color w:val="000000"/>
                <w:sz w:val="24"/>
                <w:szCs w:val="24"/>
                <w:highlight w:val="none"/>
              </w:rPr>
              <w:t>注：响应文件中提供图片且加盖供应商公章的书面证明材料（格式自拟，自证具备上述通道），否则不得分。</w:t>
            </w:r>
          </w:p>
        </w:tc>
        <w:tc>
          <w:tcPr>
            <w:tcW w:w="810" w:type="pct"/>
            <w:gridSpan w:val="2"/>
            <w:vAlign w:val="center"/>
          </w:tcPr>
          <w:p w14:paraId="21AEC34B">
            <w:pPr>
              <w:pStyle w:val="434"/>
              <w:spacing w:before="78" w:line="220" w:lineRule="auto"/>
              <w:ind w:left="602"/>
              <w:rPr>
                <w:rFonts w:hint="default"/>
                <w:lang w:val="en-US"/>
              </w:rPr>
            </w:pPr>
            <w:r>
              <w:rPr>
                <w:rFonts w:hint="eastAsia" w:ascii="宋体" w:hAnsi="宋体" w:eastAsia="宋体" w:cs="宋体"/>
                <w:b/>
                <w:bCs/>
                <w:spacing w:val="-5"/>
                <w:lang w:val="en-US" w:eastAsia="zh-CN"/>
              </w:rPr>
              <w:t>0-1</w:t>
            </w:r>
            <w:r>
              <w:rPr>
                <w:rFonts w:hint="eastAsia" w:cs="宋体"/>
                <w:b/>
                <w:bCs/>
                <w:spacing w:val="-5"/>
                <w:lang w:val="en-US" w:eastAsia="zh-CN"/>
              </w:rPr>
              <w:t>5</w:t>
            </w:r>
            <w:r>
              <w:rPr>
                <w:rFonts w:hint="eastAsia" w:ascii="宋体" w:hAnsi="宋体" w:eastAsia="宋体" w:cs="宋体"/>
                <w:b/>
                <w:bCs/>
                <w:spacing w:val="-5"/>
                <w:lang w:val="en-US" w:eastAsia="zh-CN"/>
              </w:rPr>
              <w:t>分</w:t>
            </w:r>
          </w:p>
        </w:tc>
      </w:tr>
      <w:tr w14:paraId="06A4F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11" w:type="pct"/>
            <w:vMerge w:val="continue"/>
            <w:vAlign w:val="top"/>
          </w:tcPr>
          <w:p w14:paraId="6D5C06E2">
            <w:pPr>
              <w:rPr>
                <w:rFonts w:ascii="Arial"/>
                <w:sz w:val="21"/>
              </w:rPr>
            </w:pPr>
          </w:p>
        </w:tc>
        <w:tc>
          <w:tcPr>
            <w:tcW w:w="903" w:type="pct"/>
            <w:vAlign w:val="center"/>
          </w:tcPr>
          <w:p w14:paraId="4990F6D6">
            <w:pPr>
              <w:widowControl/>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人员配备</w:t>
            </w:r>
          </w:p>
          <w:p w14:paraId="03777A4A">
            <w:pPr>
              <w:widowControl/>
              <w:spacing w:line="400" w:lineRule="exact"/>
              <w:jc w:val="center"/>
            </w:pPr>
          </w:p>
        </w:tc>
        <w:tc>
          <w:tcPr>
            <w:tcW w:w="2474" w:type="pct"/>
            <w:vAlign w:val="center"/>
          </w:tcPr>
          <w:p w14:paraId="6C2DE605">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 xml:space="preserve">1、派驻项目负责人具有洗涤外包服务业绩的，得4分： </w:t>
            </w:r>
          </w:p>
          <w:p w14:paraId="59B8BA64">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2、拟派项目组成员（不含项目负责人）为4人的，得4分，在此基础上每增加1人，得0.5分，满分5分。</w:t>
            </w:r>
          </w:p>
          <w:p w14:paraId="6694DBCE">
            <w:pPr>
              <w:pStyle w:val="2"/>
              <w:spacing w:after="0" w:line="500" w:lineRule="exact"/>
              <w:ind w:left="0" w:leftChars="0" w:firstLine="0" w:firstLineChars="0"/>
              <w:rPr>
                <w:rFonts w:cs="宋体" w:asciiTheme="minorEastAsia" w:hAnsiTheme="minorEastAsia" w:eastAsiaTheme="minorEastAsia"/>
                <w:b/>
                <w:bCs/>
                <w:color w:val="000000"/>
                <w:sz w:val="24"/>
                <w:szCs w:val="24"/>
                <w:highlight w:val="none"/>
              </w:rPr>
            </w:pPr>
            <w:r>
              <w:rPr>
                <w:rFonts w:hint="eastAsia" w:cs="宋体" w:asciiTheme="minorEastAsia" w:hAnsiTheme="minorEastAsia" w:eastAsiaTheme="minorEastAsia"/>
                <w:b/>
                <w:bCs/>
                <w:color w:val="000000"/>
                <w:sz w:val="24"/>
                <w:szCs w:val="24"/>
                <w:highlight w:val="none"/>
              </w:rPr>
              <w:t>注：（1）项目负责人业绩提供合同复印件（或扫描件）或业主加盖公章出具的业绩证明文件复印件（或扫描件）。</w:t>
            </w:r>
          </w:p>
          <w:p w14:paraId="24D7B260">
            <w:pPr>
              <w:pStyle w:val="2"/>
              <w:spacing w:after="0" w:line="500" w:lineRule="exact"/>
              <w:ind w:left="0" w:leftChars="0" w:firstLine="0" w:firstLineChars="0"/>
            </w:pPr>
            <w:r>
              <w:rPr>
                <w:rFonts w:hint="eastAsia" w:cs="宋体" w:asciiTheme="minorEastAsia" w:hAnsiTheme="minorEastAsia" w:eastAsiaTheme="minorEastAsia"/>
                <w:b/>
                <w:bCs/>
                <w:color w:val="000000"/>
                <w:sz w:val="24"/>
                <w:szCs w:val="24"/>
                <w:highlight w:val="none"/>
              </w:rPr>
              <w:t>（2）人员配置须满足项目运行需要。</w:t>
            </w:r>
          </w:p>
        </w:tc>
        <w:tc>
          <w:tcPr>
            <w:tcW w:w="810" w:type="pct"/>
            <w:gridSpan w:val="2"/>
            <w:vAlign w:val="center"/>
          </w:tcPr>
          <w:p w14:paraId="7FD30114">
            <w:pPr>
              <w:widowControl/>
              <w:spacing w:line="400" w:lineRule="exact"/>
              <w:jc w:val="center"/>
              <w:rPr>
                <w:rFonts w:hint="default" w:eastAsia="宋体"/>
                <w:lang w:val="en-US" w:eastAsia="zh-CN"/>
              </w:rPr>
            </w:pPr>
            <w:r>
              <w:rPr>
                <w:rFonts w:hint="eastAsia" w:ascii="宋体" w:hAnsi="宋体" w:cs="宋体"/>
                <w:b/>
                <w:bCs/>
                <w:color w:val="000000"/>
                <w:sz w:val="24"/>
                <w:szCs w:val="24"/>
                <w:highlight w:val="none"/>
              </w:rPr>
              <w:t>0-9</w:t>
            </w:r>
            <w:r>
              <w:rPr>
                <w:rFonts w:hint="eastAsia" w:ascii="宋体" w:hAnsi="宋体" w:cs="宋体"/>
                <w:b/>
                <w:bCs/>
                <w:color w:val="000000"/>
                <w:sz w:val="24"/>
                <w:szCs w:val="24"/>
                <w:highlight w:val="none"/>
                <w:lang w:val="en-US" w:eastAsia="zh-CN"/>
              </w:rPr>
              <w:t>分</w:t>
            </w:r>
          </w:p>
        </w:tc>
      </w:tr>
      <w:tr w14:paraId="3BB3B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11" w:type="pct"/>
            <w:vMerge w:val="continue"/>
            <w:vAlign w:val="top"/>
          </w:tcPr>
          <w:p w14:paraId="73B29081">
            <w:pPr>
              <w:rPr>
                <w:rFonts w:ascii="Arial"/>
                <w:sz w:val="21"/>
              </w:rPr>
            </w:pPr>
          </w:p>
        </w:tc>
        <w:tc>
          <w:tcPr>
            <w:tcW w:w="903" w:type="pct"/>
            <w:vAlign w:val="top"/>
          </w:tcPr>
          <w:p w14:paraId="0A06EDE4">
            <w:pPr>
              <w:spacing w:line="250" w:lineRule="auto"/>
              <w:rPr>
                <w:rFonts w:ascii="Arial"/>
                <w:sz w:val="21"/>
              </w:rPr>
            </w:pPr>
          </w:p>
          <w:p w14:paraId="19F2E109">
            <w:pPr>
              <w:spacing w:line="250" w:lineRule="auto"/>
              <w:rPr>
                <w:rFonts w:ascii="Arial"/>
                <w:sz w:val="21"/>
              </w:rPr>
            </w:pPr>
          </w:p>
          <w:p w14:paraId="11679D7D">
            <w:pPr>
              <w:spacing w:line="251" w:lineRule="auto"/>
              <w:rPr>
                <w:rFonts w:ascii="Arial"/>
                <w:sz w:val="21"/>
              </w:rPr>
            </w:pPr>
          </w:p>
          <w:p w14:paraId="43B61EA3">
            <w:pPr>
              <w:spacing w:line="251" w:lineRule="auto"/>
              <w:rPr>
                <w:rFonts w:ascii="Arial"/>
                <w:sz w:val="21"/>
              </w:rPr>
            </w:pPr>
          </w:p>
          <w:p w14:paraId="0304AE28">
            <w:pPr>
              <w:spacing w:line="251" w:lineRule="auto"/>
              <w:rPr>
                <w:rFonts w:ascii="Arial"/>
                <w:sz w:val="21"/>
              </w:rPr>
            </w:pPr>
          </w:p>
          <w:p w14:paraId="01CFA411">
            <w:pPr>
              <w:pStyle w:val="434"/>
              <w:spacing w:before="78" w:line="362" w:lineRule="auto"/>
              <w:ind w:left="402" w:right="163"/>
              <w:jc w:val="right"/>
            </w:pPr>
            <w:r>
              <w:rPr>
                <w:spacing w:val="-4"/>
              </w:rPr>
              <w:t>企业业绩</w:t>
            </w:r>
            <w:r>
              <w:t xml:space="preserve"> </w:t>
            </w:r>
          </w:p>
        </w:tc>
        <w:tc>
          <w:tcPr>
            <w:tcW w:w="2474" w:type="pct"/>
            <w:vAlign w:val="top"/>
          </w:tcPr>
          <w:p w14:paraId="51B9825A">
            <w:pPr>
              <w:pStyle w:val="434"/>
              <w:spacing w:before="63" w:line="220" w:lineRule="auto"/>
              <w:ind w:left="595"/>
            </w:pPr>
            <w:r>
              <w:rPr>
                <w:spacing w:val="-4"/>
              </w:rPr>
              <w:t>投标人自20</w:t>
            </w:r>
            <w:r>
              <w:rPr>
                <w:rFonts w:hint="eastAsia"/>
                <w:spacing w:val="-4"/>
                <w:lang w:val="en-US" w:eastAsia="zh-CN"/>
              </w:rPr>
              <w:t>20</w:t>
            </w:r>
            <w:r>
              <w:rPr>
                <w:spacing w:val="-4"/>
              </w:rPr>
              <w:t>年1月1日以来：</w:t>
            </w:r>
          </w:p>
          <w:p w14:paraId="2806F193">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供应商具有洗涤外包服务业绩的，每提供1个得</w:t>
            </w:r>
            <w:r>
              <w:rPr>
                <w:rFonts w:hint="eastAsia" w:cs="宋体" w:asciiTheme="minorEastAsia" w:hAnsiTheme="minorEastAsia" w:eastAsiaTheme="minorEastAsia"/>
                <w:color w:val="000000"/>
                <w:sz w:val="24"/>
                <w:szCs w:val="24"/>
                <w:highlight w:val="none"/>
                <w:lang w:val="en-US" w:eastAsia="zh-CN"/>
              </w:rPr>
              <w:t>5</w:t>
            </w:r>
            <w:r>
              <w:rPr>
                <w:rFonts w:hint="eastAsia" w:cs="宋体" w:asciiTheme="minorEastAsia" w:hAnsiTheme="minorEastAsia" w:eastAsiaTheme="minorEastAsia"/>
                <w:color w:val="000000"/>
                <w:sz w:val="24"/>
                <w:szCs w:val="24"/>
                <w:highlight w:val="none"/>
              </w:rPr>
              <w:t>分，满分</w:t>
            </w:r>
            <w:r>
              <w:rPr>
                <w:rFonts w:hint="eastAsia" w:cs="宋体" w:asciiTheme="minorEastAsia" w:hAnsiTheme="minorEastAsia" w:eastAsiaTheme="minorEastAsia"/>
                <w:color w:val="000000"/>
                <w:sz w:val="24"/>
                <w:szCs w:val="24"/>
                <w:highlight w:val="none"/>
                <w:lang w:val="en-US" w:eastAsia="zh-CN"/>
              </w:rPr>
              <w:t>25</w:t>
            </w:r>
            <w:r>
              <w:rPr>
                <w:rFonts w:hint="eastAsia" w:cs="宋体" w:asciiTheme="minorEastAsia" w:hAnsiTheme="minorEastAsia" w:eastAsiaTheme="minorEastAsia"/>
                <w:color w:val="000000"/>
                <w:sz w:val="24"/>
                <w:szCs w:val="24"/>
                <w:highlight w:val="none"/>
              </w:rPr>
              <w:t>分。</w:t>
            </w:r>
          </w:p>
          <w:p w14:paraId="28F79018">
            <w:pPr>
              <w:pStyle w:val="434"/>
              <w:spacing w:before="181" w:line="336" w:lineRule="auto"/>
              <w:ind w:left="116" w:right="85" w:firstLine="482"/>
            </w:pPr>
            <w:r>
              <w:rPr>
                <w:rFonts w:hint="eastAsia" w:cs="宋体" w:asciiTheme="minorEastAsia" w:hAnsiTheme="minorEastAsia" w:eastAsiaTheme="minorEastAsia"/>
                <w:b/>
                <w:bCs/>
                <w:color w:val="000000"/>
                <w:sz w:val="24"/>
                <w:szCs w:val="24"/>
                <w:highlight w:val="none"/>
              </w:rPr>
              <w:t>注：响应文件中提供合同复印件或扫描件，同一医院多份合同只算一份业绩。</w:t>
            </w:r>
          </w:p>
        </w:tc>
        <w:tc>
          <w:tcPr>
            <w:tcW w:w="810" w:type="pct"/>
            <w:gridSpan w:val="2"/>
            <w:vAlign w:val="top"/>
          </w:tcPr>
          <w:p w14:paraId="35929136">
            <w:pPr>
              <w:spacing w:line="254" w:lineRule="auto"/>
              <w:rPr>
                <w:rFonts w:ascii="Arial"/>
                <w:sz w:val="21"/>
              </w:rPr>
            </w:pPr>
          </w:p>
          <w:p w14:paraId="6A4DAEB3">
            <w:pPr>
              <w:spacing w:line="254" w:lineRule="auto"/>
              <w:rPr>
                <w:rFonts w:ascii="Arial"/>
                <w:sz w:val="21"/>
              </w:rPr>
            </w:pPr>
          </w:p>
          <w:p w14:paraId="5CFF1D27">
            <w:pPr>
              <w:spacing w:line="254" w:lineRule="auto"/>
              <w:rPr>
                <w:rFonts w:ascii="Arial"/>
                <w:sz w:val="21"/>
              </w:rPr>
            </w:pPr>
          </w:p>
          <w:p w14:paraId="0B64C9C2">
            <w:pPr>
              <w:spacing w:line="255" w:lineRule="auto"/>
              <w:rPr>
                <w:rFonts w:ascii="Arial"/>
                <w:sz w:val="21"/>
              </w:rPr>
            </w:pPr>
          </w:p>
          <w:p w14:paraId="79C0B29F">
            <w:pPr>
              <w:spacing w:line="255" w:lineRule="auto"/>
              <w:rPr>
                <w:rFonts w:ascii="Arial"/>
                <w:sz w:val="21"/>
              </w:rPr>
            </w:pPr>
          </w:p>
          <w:p w14:paraId="5C83CE9C">
            <w:pPr>
              <w:spacing w:line="255" w:lineRule="auto"/>
              <w:rPr>
                <w:rFonts w:ascii="Arial"/>
                <w:sz w:val="21"/>
              </w:rPr>
            </w:pPr>
          </w:p>
          <w:p w14:paraId="0D2E366D">
            <w:pPr>
              <w:spacing w:line="255" w:lineRule="auto"/>
              <w:rPr>
                <w:rFonts w:ascii="Arial"/>
                <w:sz w:val="21"/>
              </w:rPr>
            </w:pPr>
          </w:p>
          <w:p w14:paraId="0D2DB834">
            <w:pPr>
              <w:pStyle w:val="434"/>
              <w:spacing w:before="78" w:line="220" w:lineRule="auto"/>
              <w:ind w:firstLine="233" w:firstLineChars="100"/>
            </w:pPr>
            <w:r>
              <w:rPr>
                <w:b/>
                <w:bCs/>
                <w:spacing w:val="-4"/>
              </w:rPr>
              <w:t>0-</w:t>
            </w:r>
            <w:r>
              <w:rPr>
                <w:rFonts w:hint="eastAsia"/>
                <w:b/>
                <w:bCs/>
                <w:spacing w:val="-4"/>
                <w:lang w:val="en-US" w:eastAsia="zh-CN"/>
              </w:rPr>
              <w:t>25</w:t>
            </w:r>
            <w:r>
              <w:rPr>
                <w:b/>
                <w:bCs/>
                <w:spacing w:val="-4"/>
              </w:rPr>
              <w:t>分</w:t>
            </w:r>
          </w:p>
        </w:tc>
      </w:tr>
      <w:tr w14:paraId="119F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11" w:type="pct"/>
            <w:vMerge w:val="continue"/>
            <w:vAlign w:val="top"/>
          </w:tcPr>
          <w:p w14:paraId="1E45FA4F">
            <w:pPr>
              <w:rPr>
                <w:rFonts w:ascii="Arial"/>
                <w:sz w:val="21"/>
              </w:rPr>
            </w:pPr>
          </w:p>
        </w:tc>
        <w:tc>
          <w:tcPr>
            <w:tcW w:w="903" w:type="pct"/>
            <w:vAlign w:val="center"/>
          </w:tcPr>
          <w:p w14:paraId="6EF43D85">
            <w:pPr>
              <w:widowControl/>
              <w:spacing w:line="360" w:lineRule="auto"/>
              <w:jc w:val="center"/>
            </w:pPr>
            <w:r>
              <w:rPr>
                <w:rFonts w:hint="eastAsia" w:ascii="宋体" w:hAnsi="宋体" w:cs="宋体"/>
                <w:color w:val="000000"/>
                <w:sz w:val="24"/>
                <w:szCs w:val="24"/>
                <w:highlight w:val="none"/>
              </w:rPr>
              <w:t>服务方案</w:t>
            </w:r>
          </w:p>
        </w:tc>
        <w:tc>
          <w:tcPr>
            <w:tcW w:w="2474" w:type="pct"/>
            <w:vAlign w:val="center"/>
          </w:tcPr>
          <w:p w14:paraId="6FCCA39A">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1、洗涤服务流程规范、实施方案（按时收送运输等方面）科学、管理细则明确、服务方案统一完整的得</w:t>
            </w:r>
            <w:r>
              <w:rPr>
                <w:rFonts w:hint="eastAsia" w:cs="宋体" w:asciiTheme="minorEastAsia" w:hAnsiTheme="minorEastAsia" w:eastAsiaTheme="minorEastAsia"/>
                <w:color w:val="000000"/>
                <w:sz w:val="24"/>
                <w:szCs w:val="24"/>
                <w:highlight w:val="none"/>
                <w:lang w:val="en-US" w:eastAsia="zh-CN"/>
              </w:rPr>
              <w:t>6</w:t>
            </w:r>
            <w:r>
              <w:rPr>
                <w:rFonts w:hint="eastAsia" w:cs="宋体" w:asciiTheme="minorEastAsia" w:hAnsiTheme="minorEastAsia" w:eastAsiaTheme="minorEastAsia"/>
                <w:color w:val="000000"/>
                <w:sz w:val="24"/>
                <w:szCs w:val="24"/>
                <w:highlight w:val="none"/>
              </w:rPr>
              <w:t>分，洗涤服务流程较规范、实施方案（按时收送运输等方面）较科学、管理细则较明确、服务方案较统一完整的得</w:t>
            </w:r>
            <w:r>
              <w:rPr>
                <w:rFonts w:hint="eastAsia" w:cs="宋体" w:asciiTheme="minorEastAsia" w:hAnsiTheme="minorEastAsia" w:eastAsiaTheme="minorEastAsia"/>
                <w:color w:val="000000"/>
                <w:sz w:val="24"/>
                <w:szCs w:val="24"/>
                <w:highlight w:val="none"/>
                <w:lang w:val="en-US" w:eastAsia="zh-CN"/>
              </w:rPr>
              <w:t>4</w:t>
            </w:r>
            <w:r>
              <w:rPr>
                <w:rFonts w:hint="eastAsia" w:cs="宋体" w:asciiTheme="minorEastAsia" w:hAnsiTheme="minorEastAsia" w:eastAsiaTheme="minorEastAsia"/>
                <w:color w:val="000000"/>
                <w:sz w:val="24"/>
                <w:szCs w:val="24"/>
                <w:highlight w:val="none"/>
              </w:rPr>
              <w:t>分，洗涤服务流程不够规范、实施方案（按时收送运输等方面）不够科学、管理细则不够明确、服务方案不够统一完整的得</w:t>
            </w:r>
            <w:r>
              <w:rPr>
                <w:rFonts w:hint="eastAsia" w:cs="宋体" w:asciiTheme="minorEastAsia" w:hAnsiTheme="minorEastAsia" w:eastAsiaTheme="minorEastAsia"/>
                <w:color w:val="000000"/>
                <w:sz w:val="24"/>
                <w:szCs w:val="24"/>
                <w:highlight w:val="none"/>
                <w:lang w:val="en-US" w:eastAsia="zh-CN"/>
              </w:rPr>
              <w:t>2</w:t>
            </w:r>
            <w:r>
              <w:rPr>
                <w:rFonts w:hint="eastAsia" w:cs="宋体" w:asciiTheme="minorEastAsia" w:hAnsiTheme="minorEastAsia" w:eastAsiaTheme="minorEastAsia"/>
                <w:color w:val="000000"/>
                <w:sz w:val="24"/>
                <w:szCs w:val="24"/>
                <w:highlight w:val="none"/>
              </w:rPr>
              <w:t>分，未提供或经评审不合格不得分；</w:t>
            </w:r>
          </w:p>
          <w:p w14:paraId="2285897F">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2、对传染病源布草的洗涤、消毒和对传染病源的防控措施到位，对医护服装、手术敷料、床单元、感染类织物的洗涤程序规范的得</w:t>
            </w:r>
            <w:r>
              <w:rPr>
                <w:rFonts w:hint="eastAsia" w:cs="宋体" w:asciiTheme="minorEastAsia" w:hAnsiTheme="minorEastAsia" w:eastAsiaTheme="minorEastAsia"/>
                <w:color w:val="000000"/>
                <w:sz w:val="24"/>
                <w:szCs w:val="24"/>
                <w:highlight w:val="none"/>
                <w:lang w:val="en-US" w:eastAsia="zh-CN"/>
              </w:rPr>
              <w:t>6</w:t>
            </w:r>
            <w:r>
              <w:rPr>
                <w:rFonts w:hint="eastAsia" w:cs="宋体" w:asciiTheme="minorEastAsia" w:hAnsiTheme="minorEastAsia" w:eastAsiaTheme="minorEastAsia"/>
                <w:color w:val="000000"/>
                <w:sz w:val="24"/>
                <w:szCs w:val="24"/>
                <w:highlight w:val="none"/>
              </w:rPr>
              <w:t>分，对传染病源布草的洗涤、消毒和对传染病源的防控措施较到位，对医护服装、手术敷料、床单元、感染类织物的洗涤程序较规范的得</w:t>
            </w:r>
            <w:r>
              <w:rPr>
                <w:rFonts w:hint="eastAsia" w:cs="宋体" w:asciiTheme="minorEastAsia" w:hAnsiTheme="minorEastAsia" w:eastAsiaTheme="minorEastAsia"/>
                <w:color w:val="000000"/>
                <w:sz w:val="24"/>
                <w:szCs w:val="24"/>
                <w:highlight w:val="none"/>
                <w:lang w:val="en-US" w:eastAsia="zh-CN"/>
              </w:rPr>
              <w:t>4</w:t>
            </w:r>
            <w:r>
              <w:rPr>
                <w:rFonts w:hint="eastAsia" w:cs="宋体" w:asciiTheme="minorEastAsia" w:hAnsiTheme="minorEastAsia" w:eastAsiaTheme="minorEastAsia"/>
                <w:color w:val="000000"/>
                <w:sz w:val="24"/>
                <w:szCs w:val="24"/>
                <w:highlight w:val="none"/>
              </w:rPr>
              <w:t>分，对传染病源布草的洗涤、消毒和对传染病源的防控措施一般，对医护服装、手术敷料、床单元、感染类织物的洗涤程序一般的得</w:t>
            </w:r>
            <w:r>
              <w:rPr>
                <w:rFonts w:hint="eastAsia" w:cs="宋体" w:asciiTheme="minorEastAsia" w:hAnsiTheme="minorEastAsia" w:eastAsiaTheme="minorEastAsia"/>
                <w:color w:val="000000"/>
                <w:sz w:val="24"/>
                <w:szCs w:val="24"/>
                <w:highlight w:val="none"/>
                <w:lang w:val="en-US" w:eastAsia="zh-CN"/>
              </w:rPr>
              <w:t>2</w:t>
            </w:r>
            <w:r>
              <w:rPr>
                <w:rFonts w:hint="eastAsia" w:cs="宋体" w:asciiTheme="minorEastAsia" w:hAnsiTheme="minorEastAsia" w:eastAsiaTheme="minorEastAsia"/>
                <w:color w:val="000000"/>
                <w:sz w:val="24"/>
                <w:szCs w:val="24"/>
                <w:highlight w:val="none"/>
              </w:rPr>
              <w:t>分，未提供或经评审不合格不得分；</w:t>
            </w:r>
          </w:p>
          <w:p w14:paraId="3E2D9DA3">
            <w:pPr>
              <w:pStyle w:val="2"/>
              <w:spacing w:after="0" w:line="500" w:lineRule="exact"/>
              <w:ind w:left="0" w:leftChars="0"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3、遇到突发停水、停电、停气等特殊情况下的应急方案及服务保障措施安排合理的得</w:t>
            </w:r>
            <w:r>
              <w:rPr>
                <w:rFonts w:hint="eastAsia" w:cs="宋体" w:asciiTheme="minorEastAsia" w:hAnsiTheme="minorEastAsia" w:eastAsiaTheme="minorEastAsia"/>
                <w:color w:val="000000"/>
                <w:sz w:val="24"/>
                <w:szCs w:val="24"/>
                <w:highlight w:val="none"/>
                <w:lang w:val="en-US" w:eastAsia="zh-CN"/>
              </w:rPr>
              <w:t>6</w:t>
            </w:r>
            <w:r>
              <w:rPr>
                <w:rFonts w:hint="eastAsia" w:cs="宋体" w:asciiTheme="minorEastAsia" w:hAnsiTheme="minorEastAsia" w:eastAsiaTheme="minorEastAsia"/>
                <w:color w:val="000000"/>
                <w:sz w:val="24"/>
                <w:szCs w:val="24"/>
                <w:highlight w:val="none"/>
              </w:rPr>
              <w:t>分，遇到突发停水、停电、停气等特殊情况下的应急方案及服务保障措施安排较合理的得</w:t>
            </w:r>
            <w:r>
              <w:rPr>
                <w:rFonts w:hint="eastAsia" w:cs="宋体" w:asciiTheme="minorEastAsia" w:hAnsiTheme="minorEastAsia" w:eastAsiaTheme="minorEastAsia"/>
                <w:color w:val="000000"/>
                <w:sz w:val="24"/>
                <w:szCs w:val="24"/>
                <w:highlight w:val="none"/>
                <w:lang w:val="en-US" w:eastAsia="zh-CN"/>
              </w:rPr>
              <w:t>4</w:t>
            </w:r>
            <w:r>
              <w:rPr>
                <w:rFonts w:hint="eastAsia" w:cs="宋体" w:asciiTheme="minorEastAsia" w:hAnsiTheme="minorEastAsia" w:eastAsiaTheme="minorEastAsia"/>
                <w:color w:val="000000"/>
                <w:sz w:val="24"/>
                <w:szCs w:val="24"/>
                <w:highlight w:val="none"/>
              </w:rPr>
              <w:t>分，遇到突发停水、停电、停气等特殊情况下的应急方案及服务保障措施安排一般的得</w:t>
            </w:r>
            <w:r>
              <w:rPr>
                <w:rFonts w:hint="eastAsia" w:cs="宋体" w:asciiTheme="minorEastAsia" w:hAnsiTheme="minorEastAsia" w:eastAsiaTheme="minorEastAsia"/>
                <w:color w:val="000000"/>
                <w:sz w:val="24"/>
                <w:szCs w:val="24"/>
                <w:highlight w:val="none"/>
                <w:lang w:val="en-US" w:eastAsia="zh-CN"/>
              </w:rPr>
              <w:t>2</w:t>
            </w:r>
            <w:r>
              <w:rPr>
                <w:rFonts w:hint="eastAsia" w:cs="宋体" w:asciiTheme="minorEastAsia" w:hAnsiTheme="minorEastAsia" w:eastAsiaTheme="minorEastAsia"/>
                <w:color w:val="000000"/>
                <w:sz w:val="24"/>
                <w:szCs w:val="24"/>
                <w:highlight w:val="none"/>
              </w:rPr>
              <w:t>分，未提供或经评审不合格不得分；</w:t>
            </w:r>
          </w:p>
          <w:p w14:paraId="61737392">
            <w:pPr>
              <w:pStyle w:val="2"/>
              <w:spacing w:after="0" w:line="500" w:lineRule="exact"/>
              <w:ind w:left="0" w:leftChars="0" w:firstLine="0" w:firstLineChars="0"/>
            </w:pPr>
            <w:r>
              <w:rPr>
                <w:rFonts w:hint="eastAsia" w:cs="宋体" w:asciiTheme="minorEastAsia" w:hAnsiTheme="minorEastAsia" w:eastAsiaTheme="minorEastAsia"/>
                <w:color w:val="000000"/>
                <w:sz w:val="24"/>
                <w:szCs w:val="24"/>
                <w:highlight w:val="none"/>
              </w:rPr>
              <w:t>4、对医护服装、手术敷料、床单元、感染类织物的洗涤程序规范的得</w:t>
            </w:r>
            <w:r>
              <w:rPr>
                <w:rFonts w:hint="eastAsia" w:cs="宋体" w:asciiTheme="minorEastAsia" w:hAnsiTheme="minorEastAsia" w:eastAsiaTheme="minorEastAsia"/>
                <w:color w:val="000000"/>
                <w:sz w:val="24"/>
                <w:szCs w:val="24"/>
                <w:highlight w:val="none"/>
                <w:lang w:val="en-US" w:eastAsia="zh-CN"/>
              </w:rPr>
              <w:t>6</w:t>
            </w:r>
            <w:r>
              <w:rPr>
                <w:rFonts w:hint="eastAsia" w:cs="宋体" w:asciiTheme="minorEastAsia" w:hAnsiTheme="minorEastAsia" w:eastAsiaTheme="minorEastAsia"/>
                <w:color w:val="000000"/>
                <w:sz w:val="24"/>
                <w:szCs w:val="24"/>
                <w:highlight w:val="none"/>
              </w:rPr>
              <w:t>分，对医护服装、手术敷料、床单元、感染类织物的洗涤程序较规范的得</w:t>
            </w:r>
            <w:r>
              <w:rPr>
                <w:rFonts w:hint="eastAsia" w:cs="宋体" w:asciiTheme="minorEastAsia" w:hAnsiTheme="minorEastAsia" w:eastAsiaTheme="minorEastAsia"/>
                <w:color w:val="000000"/>
                <w:sz w:val="24"/>
                <w:szCs w:val="24"/>
                <w:highlight w:val="none"/>
                <w:lang w:val="en-US" w:eastAsia="zh-CN"/>
              </w:rPr>
              <w:t>4</w:t>
            </w:r>
            <w:r>
              <w:rPr>
                <w:rFonts w:hint="eastAsia" w:cs="宋体" w:asciiTheme="minorEastAsia" w:hAnsiTheme="minorEastAsia" w:eastAsiaTheme="minorEastAsia"/>
                <w:color w:val="000000"/>
                <w:sz w:val="24"/>
                <w:szCs w:val="24"/>
                <w:highlight w:val="none"/>
              </w:rPr>
              <w:t>分，对医护服装、手术敷料、床单元、感染类织物的洗涤程序规范性一般的得</w:t>
            </w:r>
            <w:r>
              <w:rPr>
                <w:rFonts w:hint="eastAsia" w:cs="宋体" w:asciiTheme="minorEastAsia" w:hAnsiTheme="minorEastAsia" w:eastAsiaTheme="minorEastAsia"/>
                <w:color w:val="000000"/>
                <w:sz w:val="24"/>
                <w:szCs w:val="24"/>
                <w:highlight w:val="none"/>
                <w:lang w:val="en-US" w:eastAsia="zh-CN"/>
              </w:rPr>
              <w:t>2</w:t>
            </w:r>
            <w:r>
              <w:rPr>
                <w:rFonts w:hint="eastAsia" w:cs="宋体" w:asciiTheme="minorEastAsia" w:hAnsiTheme="minorEastAsia" w:eastAsiaTheme="minorEastAsia"/>
                <w:color w:val="000000"/>
                <w:sz w:val="24"/>
                <w:szCs w:val="24"/>
                <w:highlight w:val="none"/>
              </w:rPr>
              <w:t>分，未提供或经评审不合格不得分。</w:t>
            </w:r>
          </w:p>
        </w:tc>
        <w:tc>
          <w:tcPr>
            <w:tcW w:w="810" w:type="pct"/>
            <w:gridSpan w:val="2"/>
            <w:vAlign w:val="center"/>
          </w:tcPr>
          <w:p w14:paraId="43E5058A">
            <w:pPr>
              <w:pStyle w:val="2"/>
              <w:spacing w:after="0" w:line="500" w:lineRule="exact"/>
              <w:ind w:left="0" w:leftChars="0" w:firstLine="0" w:firstLineChars="0"/>
              <w:jc w:val="center"/>
              <w:rPr>
                <w:rFonts w:hint="eastAsia" w:cs="宋体" w:asciiTheme="minorEastAsia" w:hAnsiTheme="minorEastAsia" w:eastAsiaTheme="minorEastAsia"/>
                <w:b/>
                <w:bCs/>
                <w:color w:val="000000"/>
                <w:sz w:val="24"/>
                <w:szCs w:val="24"/>
                <w:highlight w:val="none"/>
                <w:lang w:val="en-US" w:eastAsia="zh-CN"/>
              </w:rPr>
            </w:pPr>
            <w:r>
              <w:rPr>
                <w:rFonts w:hint="eastAsia" w:cs="宋体" w:asciiTheme="minorEastAsia" w:hAnsiTheme="minorEastAsia" w:eastAsiaTheme="minorEastAsia"/>
                <w:b/>
                <w:bCs/>
                <w:color w:val="000000"/>
                <w:sz w:val="24"/>
                <w:szCs w:val="24"/>
                <w:highlight w:val="none"/>
              </w:rPr>
              <w:t>0-24</w:t>
            </w:r>
            <w:r>
              <w:rPr>
                <w:rFonts w:hint="eastAsia" w:cs="宋体" w:asciiTheme="minorEastAsia" w:hAnsiTheme="minorEastAsia" w:eastAsiaTheme="minorEastAsia"/>
                <w:b/>
                <w:bCs/>
                <w:color w:val="000000"/>
                <w:sz w:val="24"/>
                <w:szCs w:val="24"/>
                <w:highlight w:val="none"/>
                <w:lang w:val="en-US" w:eastAsia="zh-CN"/>
              </w:rPr>
              <w:t>分</w:t>
            </w:r>
          </w:p>
          <w:p w14:paraId="5685D1D2">
            <w:pPr>
              <w:pStyle w:val="2"/>
              <w:spacing w:after="0" w:line="500" w:lineRule="exact"/>
              <w:ind w:left="0" w:leftChars="0" w:firstLine="0" w:firstLineChars="0"/>
              <w:jc w:val="center"/>
            </w:pPr>
          </w:p>
        </w:tc>
      </w:tr>
      <w:tr w14:paraId="2A6A1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11" w:type="pct"/>
            <w:vAlign w:val="top"/>
          </w:tcPr>
          <w:p w14:paraId="1776F58D">
            <w:pPr>
              <w:spacing w:line="257" w:lineRule="auto"/>
              <w:rPr>
                <w:rFonts w:ascii="Arial"/>
                <w:sz w:val="21"/>
              </w:rPr>
            </w:pPr>
          </w:p>
          <w:p w14:paraId="270393EF">
            <w:pPr>
              <w:spacing w:line="258" w:lineRule="auto"/>
              <w:rPr>
                <w:rFonts w:ascii="Arial"/>
                <w:sz w:val="21"/>
              </w:rPr>
            </w:pPr>
          </w:p>
          <w:p w14:paraId="013C546F">
            <w:pPr>
              <w:spacing w:line="258" w:lineRule="auto"/>
              <w:rPr>
                <w:rFonts w:ascii="Arial"/>
                <w:sz w:val="21"/>
              </w:rPr>
            </w:pPr>
          </w:p>
          <w:p w14:paraId="18AC2A25">
            <w:pPr>
              <w:pStyle w:val="434"/>
              <w:spacing w:before="78" w:line="242" w:lineRule="auto"/>
              <w:ind w:left="244" w:right="242" w:firstLine="143"/>
            </w:pPr>
            <w:r>
              <w:rPr>
                <w:spacing w:val="-4"/>
              </w:rPr>
              <w:t>价格分</w:t>
            </w:r>
            <w:r>
              <w:rPr>
                <w:spacing w:val="-9"/>
              </w:rPr>
              <w:t>（</w:t>
            </w:r>
            <w:r>
              <w:rPr>
                <w:rFonts w:hint="eastAsia"/>
                <w:spacing w:val="-9"/>
                <w:u w:val="single" w:color="auto"/>
                <w:lang w:val="en-US" w:eastAsia="zh-CN"/>
              </w:rPr>
              <w:t>10</w:t>
            </w:r>
            <w:r>
              <w:rPr>
                <w:spacing w:val="-48"/>
                <w:u w:val="single" w:color="auto"/>
              </w:rPr>
              <w:t xml:space="preserve"> </w:t>
            </w:r>
            <w:r>
              <w:rPr>
                <w:spacing w:val="-9"/>
              </w:rPr>
              <w:t>分）</w:t>
            </w:r>
          </w:p>
        </w:tc>
        <w:tc>
          <w:tcPr>
            <w:tcW w:w="4188" w:type="pct"/>
            <w:gridSpan w:val="4"/>
            <w:vAlign w:val="top"/>
          </w:tcPr>
          <w:p w14:paraId="62AE9576">
            <w:pPr>
              <w:pStyle w:val="434"/>
              <w:spacing w:before="182" w:line="338" w:lineRule="auto"/>
              <w:ind w:left="109" w:right="110" w:firstLine="2"/>
              <w:jc w:val="both"/>
              <w:rPr>
                <w:spacing w:val="-7"/>
              </w:rPr>
            </w:pPr>
            <w:r>
              <w:rPr>
                <w:spacing w:val="3"/>
              </w:rPr>
              <w:t>价格分统一采用低价优先法，即满足招标文件</w:t>
            </w:r>
            <w:r>
              <w:rPr>
                <w:spacing w:val="2"/>
              </w:rPr>
              <w:t>要求且投标价格最低的投标</w:t>
            </w:r>
            <w:r>
              <w:rPr>
                <w:spacing w:val="-2"/>
              </w:rPr>
              <w:t>报价为评标基准价，其价格分为满分</w:t>
            </w:r>
            <w:r>
              <w:rPr>
                <w:spacing w:val="-34"/>
              </w:rPr>
              <w:t xml:space="preserve"> </w:t>
            </w:r>
            <w:r>
              <w:rPr>
                <w:rFonts w:hint="eastAsia"/>
                <w:spacing w:val="-2"/>
                <w:u w:val="single" w:color="auto"/>
                <w:lang w:val="en-US" w:eastAsia="zh-CN"/>
              </w:rPr>
              <w:t>10</w:t>
            </w:r>
            <w:r>
              <w:rPr>
                <w:spacing w:val="-2"/>
              </w:rPr>
              <w:t>分。其他投标供应商的价格分统一</w:t>
            </w:r>
            <w:r>
              <w:rPr>
                <w:spacing w:val="-7"/>
              </w:rPr>
              <w:t>按照下列公式计算：</w:t>
            </w:r>
          </w:p>
          <w:p w14:paraId="5A912C78">
            <w:pPr>
              <w:pStyle w:val="434"/>
              <w:spacing w:before="182" w:line="338" w:lineRule="auto"/>
              <w:ind w:left="109" w:right="110" w:firstLine="2"/>
              <w:jc w:val="both"/>
              <w:rPr>
                <w:rFonts w:hint="eastAsia"/>
                <w:spacing w:val="-7"/>
              </w:rPr>
            </w:pPr>
            <w:r>
              <w:rPr>
                <w:rFonts w:hint="eastAsia"/>
                <w:spacing w:val="-7"/>
              </w:rPr>
              <w:t>投标报价得分＝（评标基准价/投标报价）×10%×100</w:t>
            </w:r>
          </w:p>
          <w:p w14:paraId="302E4C48">
            <w:pPr>
              <w:pStyle w:val="434"/>
              <w:spacing w:before="182" w:line="338" w:lineRule="auto"/>
              <w:ind w:left="109" w:right="110" w:firstLine="2"/>
              <w:jc w:val="both"/>
              <w:rPr>
                <w:spacing w:val="-7"/>
              </w:rPr>
            </w:pPr>
            <w:r>
              <w:rPr>
                <w:rFonts w:hint="eastAsia"/>
                <w:spacing w:val="-7"/>
              </w:rPr>
              <w:t>注：经评审有效的投标人报价（单价）进行价格计算</w:t>
            </w:r>
          </w:p>
        </w:tc>
      </w:tr>
    </w:tbl>
    <w:p w14:paraId="21943210">
      <w:pPr>
        <w:rPr>
          <w:szCs w:val="21"/>
          <w:highlight w:val="none"/>
        </w:rPr>
      </w:pPr>
    </w:p>
    <w:p w14:paraId="06653406">
      <w:pPr>
        <w:bidi w:val="0"/>
        <w:rPr>
          <w:rFonts w:hint="eastAsia"/>
          <w:highlight w:val="none"/>
          <w:lang w:val="en-US" w:eastAsia="zh-CN"/>
        </w:rPr>
      </w:pPr>
    </w:p>
    <w:p w14:paraId="03BB4728">
      <w:pPr>
        <w:numPr>
          <w:ilvl w:val="0"/>
          <w:numId w:val="13"/>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技术标得分：对某一供应商的技术标的得分，取各位评委评分之平均值，四舍五入保留至小数点后两位数，得到该供应商技术标得分。</w:t>
      </w:r>
    </w:p>
    <w:p w14:paraId="33DD1FAC">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、按照有效磋商供应商技术标得分由高到低依次排出成交供应商及成交候选供应商。</w:t>
      </w:r>
      <w:bookmarkStart w:id="87" w:name="_Toc31228"/>
      <w:bookmarkEnd w:id="87"/>
    </w:p>
    <w:p w14:paraId="2B734D94">
      <w:pPr>
        <w:pStyle w:val="40"/>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4B994E0C">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EE44120">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1174A31C">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1FE1072">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93BDB08">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56FE370">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9932319">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0AD3C7CA">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01DC935">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697515FE">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D993126">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BB82F61">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62AE1B4">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2128F72">
      <w:pPr>
        <w:pStyle w:val="40"/>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566BA92C">
      <w:pPr>
        <w:pStyle w:val="40"/>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21D6B444">
      <w:pPr>
        <w:pStyle w:val="40"/>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16D0F633">
      <w:pPr>
        <w:pStyle w:val="40"/>
        <w:snapToGrid w:val="0"/>
        <w:spacing w:after="156" w:afterLines="50"/>
        <w:jc w:val="center"/>
        <w:outlineLvl w:val="0"/>
        <w:rPr>
          <w:rFonts w:hint="default" w:ascii="宋体" w:hAnsi="宋体" w:eastAsia="宋体" w:cs="黑体"/>
          <w:kern w:val="0"/>
          <w:sz w:val="32"/>
          <w:szCs w:val="32"/>
          <w:highlight w:val="none"/>
          <w:lang w:val="en-US" w:eastAsia="zh-CN" w:bidi="ar-SA"/>
        </w:rPr>
      </w:pPr>
      <w:r>
        <w:rPr>
          <w:rFonts w:hint="eastAsia" w:ascii="宋体" w:hAnsi="宋体" w:eastAsia="宋体" w:cs="黑体"/>
          <w:kern w:val="0"/>
          <w:sz w:val="32"/>
          <w:szCs w:val="32"/>
          <w:highlight w:val="none"/>
          <w:lang w:val="en-US" w:eastAsia="zh-CN" w:bidi="ar-SA"/>
        </w:rPr>
        <w:t>第四章 合同条款</w:t>
      </w:r>
      <w:r>
        <w:rPr>
          <w:rFonts w:hint="eastAsia" w:hAnsi="宋体" w:cs="黑体"/>
          <w:kern w:val="0"/>
          <w:sz w:val="32"/>
          <w:szCs w:val="32"/>
          <w:highlight w:val="none"/>
          <w:lang w:val="en-US" w:eastAsia="zh-CN" w:bidi="ar-SA"/>
        </w:rPr>
        <w:t>及格式</w:t>
      </w:r>
      <w:bookmarkEnd w:id="84"/>
    </w:p>
    <w:p w14:paraId="7BEDF8D0">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（仅供参考）</w:t>
      </w:r>
    </w:p>
    <w:p w14:paraId="0F956E9E">
      <w:pPr>
        <w:spacing w:line="255" w:lineRule="auto"/>
        <w:rPr>
          <w:rFonts w:ascii="Arial"/>
          <w:sz w:val="21"/>
          <w:highlight w:val="none"/>
        </w:rPr>
      </w:pPr>
    </w:p>
    <w:p w14:paraId="3F6B77E2">
      <w:pPr>
        <w:pStyle w:val="31"/>
        <w:spacing w:before="91" w:line="220" w:lineRule="auto"/>
        <w:ind w:left="3528"/>
        <w:rPr>
          <w:rFonts w:ascii="Arial"/>
          <w:sz w:val="21"/>
          <w:highlight w:val="none"/>
        </w:rPr>
      </w:pPr>
      <w:r>
        <w:rPr>
          <w:b/>
          <w:bCs/>
          <w:spacing w:val="-6"/>
          <w:highlight w:val="none"/>
        </w:rPr>
        <w:t>（服务类）</w:t>
      </w:r>
    </w:p>
    <w:p w14:paraId="41129FFE">
      <w:pPr>
        <w:spacing w:line="249" w:lineRule="auto"/>
        <w:rPr>
          <w:rFonts w:ascii="Arial"/>
          <w:sz w:val="21"/>
          <w:highlight w:val="none"/>
        </w:rPr>
      </w:pPr>
    </w:p>
    <w:p w14:paraId="5BDC983A">
      <w:pPr>
        <w:spacing w:line="249" w:lineRule="auto"/>
        <w:rPr>
          <w:rFonts w:ascii="Arial"/>
          <w:sz w:val="21"/>
          <w:highlight w:val="none"/>
        </w:rPr>
      </w:pPr>
    </w:p>
    <w:p w14:paraId="7303C3BD">
      <w:pPr>
        <w:spacing w:line="249" w:lineRule="auto"/>
        <w:rPr>
          <w:rFonts w:ascii="Arial"/>
          <w:sz w:val="21"/>
          <w:highlight w:val="none"/>
        </w:rPr>
      </w:pPr>
    </w:p>
    <w:p w14:paraId="063ADB87">
      <w:pPr>
        <w:spacing w:line="249" w:lineRule="auto"/>
        <w:rPr>
          <w:rFonts w:ascii="Arial"/>
          <w:sz w:val="21"/>
          <w:highlight w:val="none"/>
        </w:rPr>
      </w:pPr>
    </w:p>
    <w:p w14:paraId="68F83984">
      <w:pPr>
        <w:spacing w:line="249" w:lineRule="auto"/>
        <w:rPr>
          <w:rFonts w:ascii="Arial"/>
          <w:sz w:val="21"/>
          <w:highlight w:val="none"/>
        </w:rPr>
      </w:pPr>
    </w:p>
    <w:p w14:paraId="143C2F5D">
      <w:pPr>
        <w:spacing w:line="249" w:lineRule="auto"/>
        <w:rPr>
          <w:rFonts w:ascii="Arial"/>
          <w:sz w:val="21"/>
          <w:highlight w:val="none"/>
        </w:rPr>
      </w:pPr>
    </w:p>
    <w:p w14:paraId="4AFC78CD">
      <w:pPr>
        <w:spacing w:line="249" w:lineRule="auto"/>
        <w:rPr>
          <w:rFonts w:ascii="Arial"/>
          <w:sz w:val="21"/>
          <w:highlight w:val="none"/>
        </w:rPr>
      </w:pPr>
    </w:p>
    <w:p w14:paraId="3ACB294F">
      <w:pPr>
        <w:pStyle w:val="31"/>
        <w:spacing w:before="78" w:line="219" w:lineRule="auto"/>
        <w:ind w:left="3317"/>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43B380D1">
      <w:pPr>
        <w:spacing w:line="253" w:lineRule="auto"/>
        <w:rPr>
          <w:rFonts w:ascii="Arial"/>
          <w:sz w:val="21"/>
          <w:highlight w:val="none"/>
        </w:rPr>
      </w:pPr>
    </w:p>
    <w:p w14:paraId="676AD2C4">
      <w:pPr>
        <w:spacing w:line="253" w:lineRule="auto"/>
        <w:rPr>
          <w:rFonts w:ascii="Arial"/>
          <w:sz w:val="21"/>
          <w:highlight w:val="none"/>
        </w:rPr>
      </w:pPr>
    </w:p>
    <w:p w14:paraId="5ADF6125">
      <w:pPr>
        <w:spacing w:line="253" w:lineRule="auto"/>
        <w:rPr>
          <w:rFonts w:ascii="Arial"/>
          <w:sz w:val="21"/>
          <w:highlight w:val="none"/>
        </w:rPr>
      </w:pPr>
    </w:p>
    <w:p w14:paraId="50984008">
      <w:pPr>
        <w:spacing w:line="253" w:lineRule="auto"/>
        <w:rPr>
          <w:rFonts w:ascii="Arial"/>
          <w:sz w:val="21"/>
          <w:highlight w:val="none"/>
        </w:rPr>
      </w:pPr>
    </w:p>
    <w:p w14:paraId="2C26A944">
      <w:pPr>
        <w:spacing w:line="253" w:lineRule="auto"/>
        <w:rPr>
          <w:rFonts w:ascii="Arial"/>
          <w:sz w:val="21"/>
          <w:highlight w:val="none"/>
        </w:rPr>
      </w:pPr>
    </w:p>
    <w:p w14:paraId="1AE5301A">
      <w:pPr>
        <w:spacing w:line="253" w:lineRule="auto"/>
        <w:rPr>
          <w:rFonts w:ascii="Arial"/>
          <w:sz w:val="21"/>
          <w:highlight w:val="none"/>
        </w:rPr>
      </w:pPr>
    </w:p>
    <w:p w14:paraId="6CCF6F79">
      <w:pPr>
        <w:spacing w:line="253" w:lineRule="auto"/>
        <w:rPr>
          <w:rFonts w:ascii="Arial"/>
          <w:sz w:val="21"/>
          <w:highlight w:val="none"/>
        </w:rPr>
      </w:pPr>
    </w:p>
    <w:p w14:paraId="6CFC0759">
      <w:pPr>
        <w:spacing w:line="253" w:lineRule="auto"/>
        <w:rPr>
          <w:rFonts w:ascii="Arial"/>
          <w:sz w:val="21"/>
          <w:highlight w:val="none"/>
        </w:rPr>
      </w:pPr>
    </w:p>
    <w:p w14:paraId="5077CEB4">
      <w:pPr>
        <w:pStyle w:val="31"/>
        <w:spacing w:before="79" w:line="220" w:lineRule="auto"/>
        <w:ind w:left="1093"/>
        <w:rPr>
          <w:rFonts w:hint="eastAsia" w:eastAsia="宋体"/>
          <w:sz w:val="24"/>
          <w:szCs w:val="24"/>
          <w:highlight w:val="none"/>
          <w:lang w:eastAsia="zh-CN"/>
        </w:rPr>
      </w:pPr>
      <w:r>
        <w:rPr>
          <w:spacing w:val="-1"/>
          <w:sz w:val="24"/>
          <w:szCs w:val="24"/>
          <w:highlight w:val="none"/>
        </w:rPr>
        <w:t>项目名称：</w:t>
      </w:r>
      <w:r>
        <w:rPr>
          <w:rFonts w:hint="eastAsia"/>
          <w:spacing w:val="-1"/>
          <w:sz w:val="24"/>
          <w:szCs w:val="24"/>
          <w:highlight w:val="none"/>
        </w:rPr>
        <w:t>六安市叶集区人民医院被服等租赁洗涤服务项目</w:t>
      </w:r>
    </w:p>
    <w:p w14:paraId="4DF56CEE">
      <w:pPr>
        <w:spacing w:line="334" w:lineRule="auto"/>
        <w:rPr>
          <w:rFonts w:ascii="Arial"/>
          <w:sz w:val="21"/>
          <w:highlight w:val="none"/>
        </w:rPr>
      </w:pPr>
    </w:p>
    <w:p w14:paraId="5E7F9979">
      <w:pPr>
        <w:pStyle w:val="31"/>
        <w:spacing w:before="79" w:line="220" w:lineRule="auto"/>
        <w:ind w:left="1093"/>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val="en-US" w:eastAsia="zh-CN"/>
        </w:rPr>
        <w:t>HY-ZB-2026004</w:t>
      </w:r>
    </w:p>
    <w:p w14:paraId="7058582F">
      <w:pPr>
        <w:spacing w:line="332" w:lineRule="auto"/>
        <w:rPr>
          <w:rFonts w:ascii="Arial"/>
          <w:sz w:val="21"/>
          <w:highlight w:val="none"/>
        </w:rPr>
      </w:pPr>
    </w:p>
    <w:p w14:paraId="0BBEAC42">
      <w:pPr>
        <w:pStyle w:val="31"/>
        <w:spacing w:before="78" w:line="219" w:lineRule="auto"/>
        <w:ind w:left="1120"/>
        <w:rPr>
          <w:sz w:val="24"/>
          <w:szCs w:val="24"/>
          <w:highlight w:val="none"/>
        </w:rPr>
      </w:pPr>
      <w:r>
        <w:rPr>
          <w:spacing w:val="-4"/>
          <w:sz w:val="24"/>
          <w:szCs w:val="24"/>
          <w:highlight w:val="none"/>
        </w:rPr>
        <w:t>甲方(采购人)：</w:t>
      </w:r>
      <w:r>
        <w:rPr>
          <w:rFonts w:hint="eastAsia"/>
          <w:spacing w:val="-4"/>
          <w:sz w:val="24"/>
          <w:szCs w:val="24"/>
          <w:highlight w:val="none"/>
        </w:rPr>
        <w:t>六安市叶集区人民医院</w:t>
      </w:r>
    </w:p>
    <w:p w14:paraId="3CBC486A">
      <w:pPr>
        <w:spacing w:line="336" w:lineRule="auto"/>
        <w:rPr>
          <w:rFonts w:ascii="Arial"/>
          <w:sz w:val="21"/>
          <w:highlight w:val="none"/>
        </w:rPr>
      </w:pPr>
    </w:p>
    <w:p w14:paraId="0302E859">
      <w:pPr>
        <w:pStyle w:val="31"/>
        <w:spacing w:before="78" w:line="219" w:lineRule="auto"/>
        <w:ind w:left="1112"/>
        <w:rPr>
          <w:sz w:val="24"/>
          <w:szCs w:val="24"/>
          <w:highlight w:val="none"/>
        </w:rPr>
      </w:pPr>
      <w:r>
        <w:rPr>
          <w:spacing w:val="-4"/>
          <w:sz w:val="24"/>
          <w:szCs w:val="24"/>
          <w:highlight w:val="none"/>
        </w:rPr>
        <w:t>乙方(成交供应商)：</w:t>
      </w:r>
    </w:p>
    <w:p w14:paraId="0CA32DD9">
      <w:pPr>
        <w:spacing w:line="335" w:lineRule="auto"/>
        <w:rPr>
          <w:rFonts w:ascii="Arial"/>
          <w:sz w:val="21"/>
          <w:highlight w:val="none"/>
        </w:rPr>
      </w:pPr>
    </w:p>
    <w:p w14:paraId="78E120B7">
      <w:pPr>
        <w:pStyle w:val="31"/>
        <w:spacing w:before="79" w:line="220" w:lineRule="auto"/>
        <w:ind w:left="1089"/>
        <w:rPr>
          <w:sz w:val="24"/>
          <w:szCs w:val="24"/>
          <w:highlight w:val="none"/>
        </w:rPr>
      </w:pPr>
      <w:r>
        <w:rPr>
          <w:spacing w:val="-1"/>
          <w:sz w:val="24"/>
          <w:szCs w:val="24"/>
          <w:highlight w:val="none"/>
        </w:rPr>
        <w:t>签 订 地：</w:t>
      </w:r>
      <w:r>
        <w:rPr>
          <w:rFonts w:hint="eastAsia"/>
          <w:spacing w:val="-1"/>
          <w:sz w:val="24"/>
          <w:szCs w:val="24"/>
          <w:highlight w:val="none"/>
        </w:rPr>
        <w:t>六安市叶集区人民医院</w:t>
      </w:r>
    </w:p>
    <w:p w14:paraId="0C90F0E0">
      <w:pPr>
        <w:spacing w:line="332" w:lineRule="auto"/>
        <w:rPr>
          <w:rFonts w:ascii="Arial"/>
          <w:sz w:val="21"/>
          <w:highlight w:val="none"/>
        </w:rPr>
      </w:pPr>
    </w:p>
    <w:p w14:paraId="5A2CE223">
      <w:pPr>
        <w:pStyle w:val="31"/>
        <w:spacing w:before="79"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1DF3A6FA">
      <w:pPr>
        <w:spacing w:line="220" w:lineRule="auto"/>
        <w:rPr>
          <w:sz w:val="24"/>
          <w:szCs w:val="24"/>
          <w:highlight w:val="none"/>
        </w:rPr>
        <w:sectPr>
          <w:footerReference r:id="rId3" w:type="default"/>
          <w:pgSz w:w="11907" w:h="16839"/>
          <w:pgMar w:top="1147" w:right="1738" w:bottom="1380" w:left="1742" w:header="826" w:footer="1180" w:gutter="0"/>
          <w:pgBorders>
            <w:top w:val="none" w:sz="0" w:space="0"/>
            <w:left w:val="none" w:sz="0" w:space="0"/>
            <w:bottom w:val="none" w:sz="0" w:space="0"/>
            <w:right w:val="none" w:sz="0" w:space="0"/>
          </w:pgBorders>
          <w:pgNumType w:fmt="decimal" w:start="1"/>
          <w:cols w:space="720" w:num="1"/>
        </w:sectPr>
      </w:pPr>
    </w:p>
    <w:p w14:paraId="2B5A20EB">
      <w:pPr>
        <w:spacing w:line="281" w:lineRule="auto"/>
        <w:rPr>
          <w:rFonts w:ascii="Arial"/>
          <w:sz w:val="21"/>
          <w:highlight w:val="none"/>
        </w:rPr>
      </w:pPr>
    </w:p>
    <w:p w14:paraId="64EA246C">
      <w:pPr>
        <w:spacing w:line="281" w:lineRule="auto"/>
        <w:rPr>
          <w:rFonts w:ascii="Arial"/>
          <w:sz w:val="21"/>
          <w:highlight w:val="none"/>
        </w:rPr>
      </w:pPr>
    </w:p>
    <w:p w14:paraId="700C3B5D">
      <w:pPr>
        <w:spacing w:line="282" w:lineRule="auto"/>
        <w:rPr>
          <w:rFonts w:ascii="Arial"/>
          <w:sz w:val="21"/>
          <w:highlight w:val="none"/>
        </w:rPr>
      </w:pPr>
    </w:p>
    <w:p w14:paraId="5566659F">
      <w:pPr>
        <w:pStyle w:val="31"/>
        <w:spacing w:before="78" w:line="400" w:lineRule="auto"/>
        <w:ind w:left="5" w:right="81" w:firstLine="479"/>
        <w:jc w:val="both"/>
        <w:rPr>
          <w:sz w:val="24"/>
          <w:szCs w:val="24"/>
          <w:highlight w:val="none"/>
        </w:rPr>
      </w:pPr>
      <w:r>
        <w:rPr>
          <w:rFonts w:hint="eastAsia"/>
          <w:sz w:val="24"/>
          <w:szCs w:val="24"/>
          <w:highlight w:val="none"/>
          <w:u w:val="single" w:color="auto"/>
        </w:rPr>
        <w:t>六安市叶集区人民医院</w:t>
      </w:r>
      <w:r>
        <w:rPr>
          <w:sz w:val="24"/>
          <w:szCs w:val="24"/>
          <w:highlight w:val="none"/>
        </w:rPr>
        <w:t>以下简称：甲方) 通过</w:t>
      </w:r>
      <w:r>
        <w:rPr>
          <w:rFonts w:hint="eastAsia"/>
          <w:sz w:val="24"/>
          <w:szCs w:val="24"/>
          <w:highlight w:val="none"/>
          <w:u w:val="single" w:color="auto"/>
        </w:rPr>
        <w:t>六安弘跃商务代理有限公司</w:t>
      </w:r>
      <w:r>
        <w:rPr>
          <w:spacing w:val="-1"/>
          <w:sz w:val="24"/>
          <w:szCs w:val="24"/>
          <w:highlight w:val="none"/>
        </w:rPr>
        <w:t>组织</w:t>
      </w:r>
      <w:r>
        <w:rPr>
          <w:spacing w:val="-3"/>
          <w:sz w:val="24"/>
          <w:szCs w:val="24"/>
          <w:highlight w:val="none"/>
        </w:rPr>
        <w:t>的</w:t>
      </w:r>
      <w:r>
        <w:rPr>
          <w:rFonts w:hint="eastAsia"/>
          <w:spacing w:val="-3"/>
          <w:sz w:val="24"/>
          <w:szCs w:val="24"/>
          <w:highlight w:val="none"/>
          <w:u w:val="single" w:color="auto"/>
          <w:lang w:val="en-US" w:eastAsia="zh-CN"/>
        </w:rPr>
        <w:t>竞争性磋商</w:t>
      </w:r>
      <w:r>
        <w:rPr>
          <w:spacing w:val="-3"/>
          <w:sz w:val="24"/>
          <w:szCs w:val="24"/>
          <w:highlight w:val="none"/>
        </w:rPr>
        <w:t>方式采购活动，经</w:t>
      </w:r>
      <w:r>
        <w:rPr>
          <w:rFonts w:hint="eastAsia"/>
          <w:spacing w:val="-3"/>
          <w:sz w:val="24"/>
          <w:szCs w:val="24"/>
          <w:highlight w:val="none"/>
          <w:u w:val="single" w:color="auto"/>
          <w:lang w:val="en-US" w:eastAsia="zh-CN"/>
        </w:rPr>
        <w:t>磋商</w:t>
      </w:r>
      <w:r>
        <w:rPr>
          <w:spacing w:val="-3"/>
          <w:sz w:val="24"/>
          <w:szCs w:val="24"/>
          <w:highlight w:val="none"/>
          <w:u w:val="single" w:color="auto"/>
        </w:rPr>
        <w:t>小组</w:t>
      </w:r>
      <w:r>
        <w:rPr>
          <w:spacing w:val="-3"/>
          <w:sz w:val="24"/>
          <w:szCs w:val="24"/>
          <w:highlight w:val="none"/>
        </w:rPr>
        <w:t>评定，</w:t>
      </w:r>
      <w:r>
        <w:rPr>
          <w:spacing w:val="-68"/>
          <w:sz w:val="24"/>
          <w:szCs w:val="24"/>
          <w:highlight w:val="none"/>
        </w:rPr>
        <w:t xml:space="preserve"> </w:t>
      </w:r>
      <w:r>
        <w:rPr>
          <w:spacing w:val="-3"/>
          <w:sz w:val="24"/>
          <w:szCs w:val="24"/>
          <w:highlight w:val="none"/>
        </w:rPr>
        <w:t>(</w:t>
      </w:r>
      <w:r>
        <w:rPr>
          <w:spacing w:val="-3"/>
          <w:sz w:val="24"/>
          <w:szCs w:val="24"/>
          <w:highlight w:val="none"/>
          <w:u w:val="single" w:color="auto"/>
        </w:rPr>
        <w:t>成交供应商名称)</w:t>
      </w:r>
      <w:r>
        <w:rPr>
          <w:spacing w:val="52"/>
          <w:sz w:val="24"/>
          <w:szCs w:val="24"/>
          <w:highlight w:val="none"/>
        </w:rPr>
        <w:t xml:space="preserve"> </w:t>
      </w:r>
      <w:r>
        <w:rPr>
          <w:spacing w:val="-4"/>
          <w:sz w:val="24"/>
          <w:szCs w:val="24"/>
          <w:highlight w:val="none"/>
        </w:rPr>
        <w:t>(以下</w:t>
      </w:r>
      <w:r>
        <w:rPr>
          <w:spacing w:val="-1"/>
          <w:sz w:val="24"/>
          <w:szCs w:val="24"/>
          <w:highlight w:val="none"/>
        </w:rPr>
        <w:t>简称：乙方)为本项目成交供应商，现按照</w:t>
      </w:r>
      <w:r>
        <w:rPr>
          <w:spacing w:val="-2"/>
          <w:sz w:val="24"/>
          <w:szCs w:val="24"/>
          <w:highlight w:val="none"/>
        </w:rPr>
        <w:t>采购文件确定的事项签订本合同。</w:t>
      </w:r>
    </w:p>
    <w:p w14:paraId="7CE39234">
      <w:pPr>
        <w:pStyle w:val="31"/>
        <w:spacing w:line="400" w:lineRule="auto"/>
        <w:ind w:right="84" w:firstLine="479"/>
        <w:jc w:val="both"/>
        <w:rPr>
          <w:sz w:val="24"/>
          <w:szCs w:val="24"/>
          <w:highlight w:val="none"/>
        </w:rPr>
      </w:pPr>
      <w:r>
        <w:rPr>
          <w:sz w:val="24"/>
          <w:szCs w:val="24"/>
          <w:highlight w:val="none"/>
        </w:rPr>
        <w:t>根据《中华人民共和国民法典》、《中华人民共和国政府采购法》</w:t>
      </w:r>
      <w:r>
        <w:rPr>
          <w:spacing w:val="-1"/>
          <w:sz w:val="24"/>
          <w:szCs w:val="24"/>
          <w:highlight w:val="none"/>
        </w:rPr>
        <w:t>等相关法</w:t>
      </w:r>
      <w:r>
        <w:rPr>
          <w:sz w:val="24"/>
          <w:szCs w:val="24"/>
          <w:highlight w:val="none"/>
        </w:rPr>
        <w:t>律法规之规定，按照平等、自愿、公平和诚实信用的原则，经甲方和乙</w:t>
      </w:r>
      <w:r>
        <w:rPr>
          <w:spacing w:val="-1"/>
          <w:sz w:val="24"/>
          <w:szCs w:val="24"/>
          <w:highlight w:val="none"/>
        </w:rPr>
        <w:t>方协商一</w:t>
      </w:r>
      <w:r>
        <w:rPr>
          <w:spacing w:val="-2"/>
          <w:sz w:val="24"/>
          <w:szCs w:val="24"/>
          <w:highlight w:val="none"/>
        </w:rPr>
        <w:t>致，约定以下合同条款，以兹共同遵守、全面履行。</w:t>
      </w:r>
    </w:p>
    <w:p w14:paraId="2F918F29">
      <w:pPr>
        <w:pStyle w:val="31"/>
        <w:spacing w:line="219" w:lineRule="auto"/>
        <w:ind w:left="498"/>
        <w:outlineLvl w:val="0"/>
        <w:rPr>
          <w:sz w:val="24"/>
          <w:szCs w:val="24"/>
          <w:highlight w:val="none"/>
        </w:rPr>
      </w:pPr>
      <w:r>
        <w:rPr>
          <w:spacing w:val="-3"/>
          <w:sz w:val="24"/>
          <w:szCs w:val="24"/>
          <w:highlight w:val="none"/>
        </w:rPr>
        <w:t>1.1 合同组成部分</w:t>
      </w:r>
    </w:p>
    <w:p w14:paraId="27670A36">
      <w:pPr>
        <w:pStyle w:val="31"/>
        <w:spacing w:before="236" w:line="400" w:lineRule="auto"/>
        <w:ind w:left="4" w:right="84" w:firstLine="483"/>
        <w:rPr>
          <w:sz w:val="24"/>
          <w:szCs w:val="24"/>
          <w:highlight w:val="none"/>
        </w:rPr>
      </w:pPr>
      <w:r>
        <w:rPr>
          <w:spacing w:val="-1"/>
          <w:sz w:val="24"/>
          <w:szCs w:val="24"/>
          <w:highlight w:val="none"/>
        </w:rPr>
        <w:t>下列文件为本合同的组成部分，并构成一个</w:t>
      </w:r>
      <w:r>
        <w:rPr>
          <w:spacing w:val="-2"/>
          <w:sz w:val="24"/>
          <w:szCs w:val="24"/>
          <w:highlight w:val="none"/>
        </w:rPr>
        <w:t>整体，需综合解释、相互补充。</w:t>
      </w:r>
      <w:r>
        <w:rPr>
          <w:sz w:val="24"/>
          <w:szCs w:val="24"/>
          <w:highlight w:val="none"/>
        </w:rPr>
        <w:t>如果下列文件内容出现不一致的情形，那么在保证按照采购文</w:t>
      </w:r>
      <w:r>
        <w:rPr>
          <w:spacing w:val="-1"/>
          <w:sz w:val="24"/>
          <w:szCs w:val="24"/>
          <w:highlight w:val="none"/>
        </w:rPr>
        <w:t>件确定的事项前提</w:t>
      </w:r>
      <w:r>
        <w:rPr>
          <w:spacing w:val="-3"/>
          <w:sz w:val="24"/>
          <w:szCs w:val="24"/>
          <w:highlight w:val="none"/>
        </w:rPr>
        <w:t>下，组成本合同的多个文件的优先适用顺序如下：</w:t>
      </w:r>
    </w:p>
    <w:p w14:paraId="72C151AD">
      <w:pPr>
        <w:pStyle w:val="31"/>
        <w:spacing w:before="1" w:line="218" w:lineRule="auto"/>
        <w:ind w:left="498"/>
        <w:rPr>
          <w:sz w:val="24"/>
          <w:szCs w:val="24"/>
          <w:highlight w:val="none"/>
        </w:rPr>
      </w:pPr>
      <w:r>
        <w:rPr>
          <w:spacing w:val="-4"/>
          <w:sz w:val="24"/>
          <w:szCs w:val="24"/>
          <w:highlight w:val="none"/>
        </w:rPr>
        <w:t>1.1.1 本合同及其补充合同、变更协议；</w:t>
      </w:r>
    </w:p>
    <w:p w14:paraId="23D80856">
      <w:pPr>
        <w:pStyle w:val="31"/>
        <w:spacing w:before="233" w:line="219" w:lineRule="auto"/>
        <w:ind w:left="498"/>
        <w:rPr>
          <w:sz w:val="24"/>
          <w:szCs w:val="24"/>
          <w:highlight w:val="none"/>
        </w:rPr>
      </w:pPr>
      <w:r>
        <w:rPr>
          <w:spacing w:val="-6"/>
          <w:sz w:val="24"/>
          <w:szCs w:val="24"/>
          <w:highlight w:val="none"/>
        </w:rPr>
        <w:t>1.1.2 成交通知书；</w:t>
      </w:r>
    </w:p>
    <w:p w14:paraId="7125A936">
      <w:pPr>
        <w:pStyle w:val="31"/>
        <w:spacing w:before="235" w:line="220" w:lineRule="auto"/>
        <w:ind w:left="498"/>
        <w:rPr>
          <w:sz w:val="24"/>
          <w:szCs w:val="24"/>
          <w:highlight w:val="none"/>
        </w:rPr>
      </w:pPr>
      <w:r>
        <w:rPr>
          <w:spacing w:val="-2"/>
          <w:sz w:val="24"/>
          <w:szCs w:val="24"/>
          <w:highlight w:val="none"/>
        </w:rPr>
        <w:t>1.1.3 响应文件(含澄清或者说明文件)；</w:t>
      </w:r>
    </w:p>
    <w:p w14:paraId="229C4C15">
      <w:pPr>
        <w:pStyle w:val="31"/>
        <w:spacing w:before="235" w:line="219" w:lineRule="auto"/>
        <w:ind w:left="498"/>
        <w:rPr>
          <w:sz w:val="24"/>
          <w:szCs w:val="24"/>
          <w:highlight w:val="none"/>
        </w:rPr>
      </w:pPr>
      <w:r>
        <w:rPr>
          <w:spacing w:val="-2"/>
          <w:sz w:val="24"/>
          <w:szCs w:val="24"/>
          <w:highlight w:val="none"/>
        </w:rPr>
        <w:t>1.1.4 采购文件(含澄清或者修改文件)；</w:t>
      </w:r>
    </w:p>
    <w:p w14:paraId="291DF10F">
      <w:pPr>
        <w:pStyle w:val="31"/>
        <w:spacing w:before="234" w:line="219" w:lineRule="auto"/>
        <w:ind w:left="498"/>
        <w:rPr>
          <w:sz w:val="24"/>
          <w:szCs w:val="24"/>
          <w:highlight w:val="none"/>
        </w:rPr>
      </w:pPr>
      <w:r>
        <w:rPr>
          <w:spacing w:val="-4"/>
          <w:sz w:val="24"/>
          <w:szCs w:val="24"/>
          <w:highlight w:val="none"/>
        </w:rPr>
        <w:t>1.1.5 其他相关采购文件。</w:t>
      </w:r>
    </w:p>
    <w:p w14:paraId="7D960C6D">
      <w:pPr>
        <w:pStyle w:val="31"/>
        <w:spacing w:before="236" w:line="220" w:lineRule="auto"/>
        <w:ind w:left="498"/>
        <w:outlineLvl w:val="0"/>
        <w:rPr>
          <w:sz w:val="24"/>
          <w:szCs w:val="24"/>
          <w:highlight w:val="none"/>
        </w:rPr>
      </w:pPr>
      <w:r>
        <w:rPr>
          <w:spacing w:val="-7"/>
          <w:sz w:val="24"/>
          <w:szCs w:val="24"/>
          <w:highlight w:val="none"/>
        </w:rPr>
        <w:t>1.2</w:t>
      </w:r>
      <w:r>
        <w:rPr>
          <w:spacing w:val="11"/>
          <w:sz w:val="24"/>
          <w:szCs w:val="24"/>
          <w:highlight w:val="none"/>
        </w:rPr>
        <w:t xml:space="preserve"> </w:t>
      </w:r>
      <w:r>
        <w:rPr>
          <w:spacing w:val="-7"/>
          <w:sz w:val="24"/>
          <w:szCs w:val="24"/>
          <w:highlight w:val="none"/>
        </w:rPr>
        <w:t>服务</w:t>
      </w:r>
    </w:p>
    <w:p w14:paraId="0E6920C8">
      <w:pPr>
        <w:pStyle w:val="31"/>
        <w:spacing w:before="235" w:line="220" w:lineRule="auto"/>
        <w:ind w:left="498"/>
        <w:rPr>
          <w:sz w:val="24"/>
          <w:szCs w:val="24"/>
          <w:highlight w:val="none"/>
        </w:rPr>
      </w:pPr>
      <w:r>
        <w:rPr>
          <w:spacing w:val="-1"/>
          <w:sz w:val="24"/>
          <w:szCs w:val="24"/>
          <w:highlight w:val="none"/>
        </w:rPr>
        <w:t>1.2.1 服务名称：</w:t>
      </w:r>
      <w:r>
        <w:rPr>
          <w:rFonts w:hint="eastAsia"/>
          <w:spacing w:val="-1"/>
          <w:sz w:val="24"/>
          <w:szCs w:val="24"/>
          <w:highlight w:val="none"/>
        </w:rPr>
        <w:t>六安市叶集区人民医院被服等租赁洗涤服务项目</w:t>
      </w:r>
      <w:r>
        <w:rPr>
          <w:spacing w:val="-2"/>
          <w:sz w:val="24"/>
          <w:szCs w:val="24"/>
          <w:highlight w:val="none"/>
        </w:rPr>
        <w:t>；</w:t>
      </w:r>
    </w:p>
    <w:p w14:paraId="2B9C3493">
      <w:pPr>
        <w:pStyle w:val="31"/>
        <w:spacing w:before="232" w:line="310" w:lineRule="auto"/>
        <w:ind w:left="30" w:firstLine="468"/>
        <w:rPr>
          <w:sz w:val="24"/>
          <w:szCs w:val="24"/>
          <w:highlight w:val="none"/>
        </w:rPr>
      </w:pPr>
      <w:r>
        <w:rPr>
          <w:spacing w:val="-5"/>
          <w:sz w:val="24"/>
          <w:szCs w:val="24"/>
          <w:highlight w:val="none"/>
        </w:rPr>
        <w:t>1.2.2 服务内容：</w:t>
      </w:r>
      <w:r>
        <w:rPr>
          <w:rFonts w:hint="eastAsia"/>
          <w:spacing w:val="-5"/>
          <w:sz w:val="24"/>
          <w:szCs w:val="24"/>
          <w:highlight w:val="none"/>
        </w:rPr>
        <w:t>主要为六安市叶集区人民医院被服等租赁洗涤服务，具体内容详见采购需求</w:t>
      </w:r>
      <w:r>
        <w:rPr>
          <w:spacing w:val="-2"/>
          <w:sz w:val="24"/>
          <w:szCs w:val="24"/>
          <w:highlight w:val="none"/>
        </w:rPr>
        <w:t>；</w:t>
      </w:r>
    </w:p>
    <w:p w14:paraId="1F08BF68">
      <w:pPr>
        <w:pStyle w:val="31"/>
        <w:spacing w:before="236" w:line="309" w:lineRule="auto"/>
        <w:ind w:right="83" w:firstLine="498"/>
        <w:rPr>
          <w:sz w:val="24"/>
          <w:szCs w:val="24"/>
          <w:highlight w:val="none"/>
        </w:rPr>
      </w:pPr>
      <w:r>
        <w:rPr>
          <w:spacing w:val="-1"/>
          <w:sz w:val="24"/>
          <w:szCs w:val="24"/>
          <w:highlight w:val="none"/>
        </w:rPr>
        <w:t>1.2.3 服务质量：</w:t>
      </w:r>
      <w:r>
        <w:rPr>
          <w:rFonts w:hint="eastAsia"/>
          <w:spacing w:val="-1"/>
          <w:sz w:val="24"/>
          <w:szCs w:val="24"/>
          <w:highlight w:val="none"/>
        </w:rPr>
        <w:t>严格按照《医院医用织物洗涤消毒技术规范》WS/T508-2016 规定执行</w:t>
      </w:r>
      <w:r>
        <w:rPr>
          <w:sz w:val="24"/>
          <w:szCs w:val="24"/>
          <w:highlight w:val="none"/>
        </w:rPr>
        <w:t>，并按照采购方的管</w:t>
      </w:r>
      <w:r>
        <w:rPr>
          <w:spacing w:val="-1"/>
          <w:sz w:val="24"/>
          <w:szCs w:val="24"/>
          <w:highlight w:val="none"/>
        </w:rPr>
        <w:t>理制度进行工作安排。</w:t>
      </w:r>
    </w:p>
    <w:p w14:paraId="63C242BF">
      <w:pPr>
        <w:pStyle w:val="31"/>
        <w:spacing w:before="237" w:line="218" w:lineRule="auto"/>
        <w:ind w:left="498"/>
        <w:outlineLvl w:val="0"/>
        <w:rPr>
          <w:sz w:val="24"/>
          <w:szCs w:val="24"/>
          <w:highlight w:val="none"/>
        </w:rPr>
      </w:pPr>
      <w:r>
        <w:rPr>
          <w:spacing w:val="-7"/>
          <w:sz w:val="24"/>
          <w:szCs w:val="24"/>
          <w:highlight w:val="none"/>
        </w:rPr>
        <w:t>1.3</w:t>
      </w:r>
      <w:r>
        <w:rPr>
          <w:spacing w:val="12"/>
          <w:sz w:val="24"/>
          <w:szCs w:val="24"/>
          <w:highlight w:val="none"/>
        </w:rPr>
        <w:t xml:space="preserve"> </w:t>
      </w:r>
      <w:r>
        <w:rPr>
          <w:spacing w:val="-7"/>
          <w:sz w:val="24"/>
          <w:szCs w:val="24"/>
          <w:highlight w:val="none"/>
        </w:rPr>
        <w:t>价款</w:t>
      </w:r>
    </w:p>
    <w:p w14:paraId="715AD634">
      <w:pPr>
        <w:pStyle w:val="31"/>
        <w:spacing w:before="238" w:line="218" w:lineRule="auto"/>
        <w:ind w:left="481"/>
        <w:rPr>
          <w:sz w:val="24"/>
          <w:szCs w:val="24"/>
          <w:highlight w:val="none"/>
        </w:rPr>
      </w:pPr>
      <w:r>
        <w:rPr>
          <w:spacing w:val="-4"/>
          <w:sz w:val="24"/>
          <w:szCs w:val="24"/>
          <w:highlight w:val="none"/>
        </w:rPr>
        <w:t>本合同总价为：¥</w:t>
      </w:r>
      <w:r>
        <w:rPr>
          <w:spacing w:val="-4"/>
          <w:sz w:val="24"/>
          <w:szCs w:val="24"/>
          <w:highlight w:val="none"/>
          <w:u w:val="single" w:color="auto"/>
        </w:rPr>
        <w:t xml:space="preserve">      </w:t>
      </w:r>
      <w:r>
        <w:rPr>
          <w:spacing w:val="-94"/>
          <w:sz w:val="24"/>
          <w:szCs w:val="24"/>
          <w:highlight w:val="none"/>
        </w:rPr>
        <w:t xml:space="preserve"> </w:t>
      </w:r>
      <w:r>
        <w:rPr>
          <w:spacing w:val="-4"/>
          <w:sz w:val="24"/>
          <w:szCs w:val="24"/>
          <w:highlight w:val="none"/>
        </w:rPr>
        <w:t>元</w:t>
      </w:r>
      <w:r>
        <w:rPr>
          <w:spacing w:val="52"/>
          <w:sz w:val="24"/>
          <w:szCs w:val="24"/>
          <w:highlight w:val="none"/>
        </w:rPr>
        <w:t xml:space="preserve"> </w:t>
      </w:r>
      <w:r>
        <w:rPr>
          <w:spacing w:val="-4"/>
          <w:sz w:val="24"/>
          <w:szCs w:val="24"/>
          <w:highlight w:val="none"/>
        </w:rPr>
        <w:t>(大写：人民币</w:t>
      </w:r>
      <w:r>
        <w:rPr>
          <w:spacing w:val="-120"/>
          <w:sz w:val="24"/>
          <w:szCs w:val="24"/>
          <w:highlight w:val="none"/>
        </w:rPr>
        <w:t xml:space="preserve"> </w:t>
      </w:r>
      <w:r>
        <w:rPr>
          <w:sz w:val="24"/>
          <w:szCs w:val="24"/>
          <w:highlight w:val="none"/>
          <w:u w:val="single" w:color="auto"/>
        </w:rPr>
        <w:t xml:space="preserve">        </w:t>
      </w:r>
      <w:r>
        <w:rPr>
          <w:spacing w:val="-109"/>
          <w:sz w:val="24"/>
          <w:szCs w:val="24"/>
          <w:highlight w:val="none"/>
        </w:rPr>
        <w:t xml:space="preserve"> </w:t>
      </w:r>
      <w:r>
        <w:rPr>
          <w:spacing w:val="-4"/>
          <w:sz w:val="24"/>
          <w:szCs w:val="24"/>
          <w:highlight w:val="none"/>
        </w:rPr>
        <w:t>元)。</w:t>
      </w:r>
    </w:p>
    <w:p w14:paraId="250489DC">
      <w:pPr>
        <w:pStyle w:val="31"/>
        <w:spacing w:before="235" w:line="218" w:lineRule="auto"/>
        <w:ind w:left="483"/>
        <w:rPr>
          <w:sz w:val="24"/>
          <w:szCs w:val="24"/>
          <w:highlight w:val="none"/>
        </w:rPr>
      </w:pPr>
      <w:r>
        <w:rPr>
          <w:spacing w:val="-11"/>
          <w:sz w:val="24"/>
          <w:szCs w:val="24"/>
          <w:highlight w:val="none"/>
        </w:rPr>
        <w:t>分项价格：</w:t>
      </w:r>
    </w:p>
    <w:p w14:paraId="4B251AF2">
      <w:pPr>
        <w:spacing w:line="100" w:lineRule="exact"/>
        <w:rPr>
          <w:highlight w:val="none"/>
        </w:rPr>
      </w:pPr>
    </w:p>
    <w:tbl>
      <w:tblPr>
        <w:tblStyle w:val="433"/>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5352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1542A24F">
            <w:pPr>
              <w:spacing w:before="139"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序号</w:t>
            </w:r>
          </w:p>
        </w:tc>
        <w:tc>
          <w:tcPr>
            <w:tcW w:w="4280" w:type="dxa"/>
            <w:vAlign w:val="top"/>
          </w:tcPr>
          <w:p w14:paraId="5F29B43F">
            <w:pPr>
              <w:spacing w:before="139" w:line="220" w:lineRule="auto"/>
              <w:ind w:left="1667"/>
              <w:rPr>
                <w:rFonts w:ascii="宋体" w:hAnsi="宋体" w:eastAsia="宋体" w:cs="宋体"/>
                <w:sz w:val="24"/>
                <w:szCs w:val="24"/>
                <w:highlight w:val="none"/>
              </w:rPr>
            </w:pPr>
            <w:r>
              <w:rPr>
                <w:rFonts w:ascii="宋体" w:hAnsi="宋体" w:eastAsia="宋体" w:cs="宋体"/>
                <w:spacing w:val="-3"/>
                <w:sz w:val="24"/>
                <w:szCs w:val="24"/>
                <w:highlight w:val="none"/>
              </w:rPr>
              <w:t>分项名称</w:t>
            </w:r>
          </w:p>
        </w:tc>
        <w:tc>
          <w:tcPr>
            <w:tcW w:w="3049" w:type="dxa"/>
            <w:vAlign w:val="top"/>
          </w:tcPr>
          <w:p w14:paraId="1EF96D91">
            <w:pPr>
              <w:spacing w:before="139" w:line="218" w:lineRule="auto"/>
              <w:ind w:left="1055"/>
              <w:rPr>
                <w:rFonts w:ascii="宋体" w:hAnsi="宋体" w:eastAsia="宋体" w:cs="宋体"/>
                <w:sz w:val="24"/>
                <w:szCs w:val="24"/>
                <w:highlight w:val="none"/>
              </w:rPr>
            </w:pPr>
            <w:r>
              <w:rPr>
                <w:rFonts w:ascii="宋体" w:hAnsi="宋体" w:eastAsia="宋体" w:cs="宋体"/>
                <w:spacing w:val="-3"/>
                <w:sz w:val="24"/>
                <w:szCs w:val="24"/>
                <w:highlight w:val="none"/>
              </w:rPr>
              <w:t>分项价格</w:t>
            </w:r>
          </w:p>
        </w:tc>
      </w:tr>
      <w:tr w14:paraId="1E5D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4F960A5">
            <w:pPr>
              <w:spacing w:before="138" w:line="23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280" w:type="dxa"/>
            <w:vAlign w:val="top"/>
          </w:tcPr>
          <w:p w14:paraId="75CE9B95">
            <w:pPr>
              <w:spacing w:before="137" w:line="220" w:lineRule="auto"/>
              <w:rPr>
                <w:rFonts w:hint="eastAsia" w:ascii="宋体" w:hAnsi="宋体" w:eastAsia="宋体" w:cs="宋体"/>
                <w:sz w:val="24"/>
                <w:szCs w:val="24"/>
                <w:highlight w:val="none"/>
                <w:lang w:eastAsia="zh-CN"/>
              </w:rPr>
            </w:pPr>
          </w:p>
        </w:tc>
        <w:tc>
          <w:tcPr>
            <w:tcW w:w="3049" w:type="dxa"/>
            <w:vAlign w:val="top"/>
          </w:tcPr>
          <w:p w14:paraId="486658DC">
            <w:pPr>
              <w:rPr>
                <w:rFonts w:ascii="Arial"/>
                <w:sz w:val="21"/>
                <w:highlight w:val="none"/>
              </w:rPr>
            </w:pPr>
          </w:p>
        </w:tc>
      </w:tr>
      <w:tr w14:paraId="48B4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652EF98">
            <w:pPr>
              <w:spacing w:before="142" w:line="232"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280" w:type="dxa"/>
            <w:vAlign w:val="top"/>
          </w:tcPr>
          <w:p w14:paraId="0BBC1A5C">
            <w:pPr>
              <w:rPr>
                <w:rFonts w:ascii="Arial"/>
                <w:sz w:val="21"/>
                <w:highlight w:val="none"/>
              </w:rPr>
            </w:pPr>
          </w:p>
        </w:tc>
        <w:tc>
          <w:tcPr>
            <w:tcW w:w="3049" w:type="dxa"/>
            <w:vAlign w:val="top"/>
          </w:tcPr>
          <w:p w14:paraId="1945C74A">
            <w:pPr>
              <w:rPr>
                <w:rFonts w:ascii="Arial"/>
                <w:sz w:val="21"/>
                <w:highlight w:val="none"/>
              </w:rPr>
            </w:pPr>
          </w:p>
        </w:tc>
      </w:tr>
      <w:tr w14:paraId="73FE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4B6CA193">
            <w:pPr>
              <w:spacing w:before="144" w:line="23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280" w:type="dxa"/>
            <w:vAlign w:val="top"/>
          </w:tcPr>
          <w:p w14:paraId="3FD84985">
            <w:pPr>
              <w:rPr>
                <w:rFonts w:ascii="Arial"/>
                <w:sz w:val="21"/>
                <w:highlight w:val="none"/>
              </w:rPr>
            </w:pPr>
          </w:p>
        </w:tc>
        <w:tc>
          <w:tcPr>
            <w:tcW w:w="3049" w:type="dxa"/>
            <w:vAlign w:val="top"/>
          </w:tcPr>
          <w:p w14:paraId="46678BDC">
            <w:pPr>
              <w:rPr>
                <w:rFonts w:ascii="Arial"/>
                <w:sz w:val="21"/>
                <w:highlight w:val="none"/>
              </w:rPr>
            </w:pPr>
          </w:p>
        </w:tc>
      </w:tr>
      <w:tr w14:paraId="21D8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1D1B50C2">
            <w:pPr>
              <w:spacing w:before="142" w:line="233" w:lineRule="auto"/>
              <w:ind w:left="261"/>
              <w:rPr>
                <w:rFonts w:ascii="宋体" w:hAnsi="宋体" w:eastAsia="宋体" w:cs="宋体"/>
                <w:sz w:val="24"/>
                <w:szCs w:val="24"/>
                <w:highlight w:val="none"/>
              </w:rPr>
            </w:pPr>
            <w:r>
              <w:rPr>
                <w:rFonts w:ascii="宋体" w:hAnsi="宋体" w:eastAsia="宋体" w:cs="宋体"/>
                <w:spacing w:val="-7"/>
                <w:sz w:val="24"/>
                <w:szCs w:val="24"/>
                <w:highlight w:val="none"/>
              </w:rPr>
              <w:t>……</w:t>
            </w:r>
          </w:p>
        </w:tc>
        <w:tc>
          <w:tcPr>
            <w:tcW w:w="4280" w:type="dxa"/>
            <w:vAlign w:val="top"/>
          </w:tcPr>
          <w:p w14:paraId="050C1F14">
            <w:pPr>
              <w:rPr>
                <w:rFonts w:ascii="Arial"/>
                <w:sz w:val="21"/>
                <w:highlight w:val="none"/>
              </w:rPr>
            </w:pPr>
          </w:p>
        </w:tc>
        <w:tc>
          <w:tcPr>
            <w:tcW w:w="3049" w:type="dxa"/>
            <w:vAlign w:val="top"/>
          </w:tcPr>
          <w:p w14:paraId="7B4FACC3">
            <w:pPr>
              <w:rPr>
                <w:rFonts w:ascii="Arial"/>
                <w:sz w:val="21"/>
                <w:highlight w:val="none"/>
              </w:rPr>
            </w:pPr>
          </w:p>
        </w:tc>
      </w:tr>
      <w:tr w14:paraId="3B04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241" w:type="dxa"/>
            <w:gridSpan w:val="2"/>
            <w:vAlign w:val="top"/>
          </w:tcPr>
          <w:p w14:paraId="51A70757">
            <w:pPr>
              <w:spacing w:before="142" w:line="218" w:lineRule="auto"/>
              <w:ind w:left="2334"/>
              <w:rPr>
                <w:rFonts w:ascii="宋体" w:hAnsi="宋体" w:eastAsia="宋体" w:cs="宋体"/>
                <w:sz w:val="24"/>
                <w:szCs w:val="24"/>
                <w:highlight w:val="none"/>
              </w:rPr>
            </w:pPr>
            <w:r>
              <w:rPr>
                <w:rFonts w:ascii="宋体" w:hAnsi="宋体" w:eastAsia="宋体" w:cs="宋体"/>
                <w:spacing w:val="-8"/>
                <w:sz w:val="24"/>
                <w:szCs w:val="24"/>
                <w:highlight w:val="none"/>
              </w:rPr>
              <w:t>总</w:t>
            </w:r>
            <w:r>
              <w:rPr>
                <w:rFonts w:ascii="宋体" w:hAnsi="宋体" w:eastAsia="宋体" w:cs="宋体"/>
                <w:spacing w:val="10"/>
                <w:sz w:val="24"/>
                <w:szCs w:val="24"/>
                <w:highlight w:val="none"/>
              </w:rPr>
              <w:t xml:space="preserve"> </w:t>
            </w:r>
            <w:r>
              <w:rPr>
                <w:rFonts w:ascii="宋体" w:hAnsi="宋体" w:eastAsia="宋体" w:cs="宋体"/>
                <w:spacing w:val="-8"/>
                <w:sz w:val="24"/>
                <w:szCs w:val="24"/>
                <w:highlight w:val="none"/>
              </w:rPr>
              <w:t>价</w:t>
            </w:r>
          </w:p>
        </w:tc>
        <w:tc>
          <w:tcPr>
            <w:tcW w:w="3049" w:type="dxa"/>
            <w:vAlign w:val="top"/>
          </w:tcPr>
          <w:p w14:paraId="707E5403">
            <w:pPr>
              <w:rPr>
                <w:rFonts w:ascii="Arial"/>
                <w:sz w:val="21"/>
                <w:highlight w:val="none"/>
              </w:rPr>
            </w:pPr>
          </w:p>
        </w:tc>
      </w:tr>
    </w:tbl>
    <w:p w14:paraId="3CA6E4A4">
      <w:pPr>
        <w:pStyle w:val="31"/>
        <w:spacing w:before="208" w:line="220" w:lineRule="auto"/>
        <w:ind w:left="498"/>
        <w:outlineLvl w:val="0"/>
        <w:rPr>
          <w:sz w:val="24"/>
          <w:szCs w:val="24"/>
          <w:highlight w:val="none"/>
        </w:rPr>
      </w:pPr>
      <w:r>
        <w:rPr>
          <w:spacing w:val="-2"/>
          <w:sz w:val="24"/>
          <w:szCs w:val="24"/>
          <w:highlight w:val="none"/>
        </w:rPr>
        <w:t>1.4 付款方式和发票开具方式</w:t>
      </w:r>
    </w:p>
    <w:p w14:paraId="74117963">
      <w:pPr>
        <w:pStyle w:val="31"/>
        <w:spacing w:before="233" w:line="370" w:lineRule="auto"/>
        <w:ind w:right="62" w:firstLine="498"/>
        <w:rPr>
          <w:rFonts w:hint="default" w:eastAsia="宋体"/>
          <w:sz w:val="24"/>
          <w:szCs w:val="24"/>
          <w:highlight w:val="none"/>
          <w:lang w:val="en-US" w:eastAsia="zh-CN"/>
        </w:rPr>
      </w:pPr>
      <w:r>
        <w:rPr>
          <w:spacing w:val="-1"/>
          <w:sz w:val="24"/>
          <w:szCs w:val="24"/>
          <w:highlight w:val="none"/>
        </w:rPr>
        <w:t>1.4.1 付款方式：</w:t>
      </w:r>
      <w:r>
        <w:rPr>
          <w:rFonts w:hint="eastAsia"/>
          <w:spacing w:val="-1"/>
          <w:sz w:val="24"/>
          <w:szCs w:val="24"/>
          <w:highlight w:val="none"/>
          <w:lang w:val="en-US" w:eastAsia="zh-CN"/>
        </w:rPr>
        <w:t>按需供货据实季度结算。</w:t>
      </w:r>
    </w:p>
    <w:p w14:paraId="4DBBB251">
      <w:pPr>
        <w:pStyle w:val="31"/>
        <w:spacing w:before="235" w:line="220" w:lineRule="auto"/>
        <w:ind w:left="498"/>
        <w:rPr>
          <w:sz w:val="24"/>
          <w:szCs w:val="24"/>
          <w:highlight w:val="none"/>
        </w:rPr>
      </w:pPr>
      <w:r>
        <w:rPr>
          <w:spacing w:val="-2"/>
          <w:sz w:val="24"/>
          <w:szCs w:val="24"/>
          <w:highlight w:val="none"/>
        </w:rPr>
        <w:t>1.4.2 发票开具方式：税务部门合法发票</w:t>
      </w:r>
    </w:p>
    <w:p w14:paraId="7D31601E">
      <w:pPr>
        <w:pStyle w:val="31"/>
        <w:spacing w:before="235" w:line="220" w:lineRule="auto"/>
        <w:ind w:left="498"/>
        <w:outlineLvl w:val="0"/>
        <w:rPr>
          <w:sz w:val="24"/>
          <w:szCs w:val="24"/>
          <w:highlight w:val="none"/>
        </w:rPr>
      </w:pPr>
      <w:r>
        <w:rPr>
          <w:spacing w:val="-2"/>
          <w:sz w:val="24"/>
          <w:szCs w:val="24"/>
          <w:highlight w:val="none"/>
        </w:rPr>
        <w:t>1.5 服务期限、地点和方式</w:t>
      </w:r>
    </w:p>
    <w:p w14:paraId="1379C552">
      <w:pPr>
        <w:pStyle w:val="31"/>
        <w:keepNext w:val="0"/>
        <w:keepLines w:val="0"/>
        <w:pageBreakBefore w:val="0"/>
        <w:widowControl w:val="0"/>
        <w:kinsoku/>
        <w:wordWrap/>
        <w:overflowPunct/>
        <w:topLinePunct w:val="0"/>
        <w:autoSpaceDE/>
        <w:autoSpaceDN/>
        <w:bidi w:val="0"/>
        <w:adjustRightInd/>
        <w:snapToGrid/>
        <w:spacing w:before="232" w:line="360" w:lineRule="auto"/>
        <w:ind w:firstLine="456" w:firstLineChars="200"/>
        <w:textAlignment w:val="auto"/>
        <w:rPr>
          <w:rFonts w:hint="eastAsia" w:eastAsia="宋体"/>
          <w:sz w:val="24"/>
          <w:szCs w:val="24"/>
          <w:highlight w:val="none"/>
          <w:lang w:eastAsia="zh-CN"/>
        </w:rPr>
      </w:pPr>
      <w:r>
        <w:rPr>
          <w:spacing w:val="-6"/>
          <w:sz w:val="24"/>
          <w:szCs w:val="24"/>
          <w:highlight w:val="none"/>
        </w:rPr>
        <w:t>1.5.1 服务期限：</w:t>
      </w:r>
      <w:r>
        <w:rPr>
          <w:rFonts w:hint="eastAsia"/>
          <w:spacing w:val="-6"/>
          <w:sz w:val="24"/>
          <w:szCs w:val="24"/>
          <w:highlight w:val="none"/>
        </w:rPr>
        <w:t>本项目服务期限暂定为三年，服务合同一年一签一考核（招标人根据考核情况【季度】，考核合格续签下一年度合同，否则不予续签）。</w:t>
      </w:r>
    </w:p>
    <w:p w14:paraId="0C27CB02">
      <w:pPr>
        <w:pStyle w:val="31"/>
        <w:spacing w:before="235" w:line="220" w:lineRule="auto"/>
        <w:ind w:left="498"/>
        <w:rPr>
          <w:sz w:val="24"/>
          <w:szCs w:val="24"/>
          <w:highlight w:val="none"/>
        </w:rPr>
      </w:pPr>
      <w:r>
        <w:rPr>
          <w:spacing w:val="-2"/>
          <w:sz w:val="24"/>
          <w:szCs w:val="24"/>
          <w:highlight w:val="none"/>
        </w:rPr>
        <w:t>1.5.2 服务地点：</w:t>
      </w:r>
      <w:r>
        <w:rPr>
          <w:rFonts w:hint="eastAsia"/>
          <w:spacing w:val="-2"/>
          <w:sz w:val="24"/>
          <w:szCs w:val="24"/>
          <w:highlight w:val="none"/>
        </w:rPr>
        <w:t>六安市叶集区人民医院</w:t>
      </w:r>
    </w:p>
    <w:p w14:paraId="58AE20CB">
      <w:pPr>
        <w:pStyle w:val="31"/>
        <w:keepNext w:val="0"/>
        <w:keepLines w:val="0"/>
        <w:pageBreakBefore w:val="0"/>
        <w:widowControl w:val="0"/>
        <w:kinsoku/>
        <w:wordWrap/>
        <w:overflowPunct/>
        <w:topLinePunct w:val="0"/>
        <w:autoSpaceDE/>
        <w:autoSpaceDN/>
        <w:bidi w:val="0"/>
        <w:adjustRightInd/>
        <w:snapToGrid/>
        <w:spacing w:before="235" w:line="360" w:lineRule="auto"/>
        <w:ind w:left="499"/>
        <w:textAlignment w:val="auto"/>
        <w:rPr>
          <w:rFonts w:hint="default" w:eastAsia="宋体"/>
          <w:sz w:val="24"/>
          <w:szCs w:val="24"/>
          <w:highlight w:val="none"/>
          <w:lang w:val="en-US" w:eastAsia="zh-CN"/>
        </w:rPr>
      </w:pPr>
      <w:r>
        <w:rPr>
          <w:spacing w:val="-2"/>
          <w:sz w:val="24"/>
          <w:szCs w:val="24"/>
          <w:highlight w:val="none"/>
        </w:rPr>
        <w:t>1.5.3 服务方式：</w:t>
      </w:r>
      <w:r>
        <w:rPr>
          <w:rFonts w:hint="eastAsia"/>
          <w:spacing w:val="-2"/>
          <w:sz w:val="24"/>
          <w:szCs w:val="24"/>
          <w:highlight w:val="none"/>
          <w:lang w:val="en-US" w:eastAsia="zh-CN"/>
        </w:rPr>
        <w:t>医院采购期内成交单价不得改变，包括下收下送、缝补、折叠、被扣和熨烫。根据医院规定的时间，按时将待洗用品从各病区、部门收取等。</w:t>
      </w:r>
    </w:p>
    <w:p w14:paraId="4F7A05C9">
      <w:pPr>
        <w:pStyle w:val="31"/>
        <w:spacing w:before="232" w:line="220" w:lineRule="auto"/>
        <w:ind w:left="498"/>
        <w:outlineLvl w:val="0"/>
        <w:rPr>
          <w:sz w:val="24"/>
          <w:szCs w:val="24"/>
          <w:highlight w:val="none"/>
        </w:rPr>
      </w:pPr>
      <w:r>
        <w:rPr>
          <w:spacing w:val="-4"/>
          <w:sz w:val="24"/>
          <w:szCs w:val="24"/>
          <w:highlight w:val="none"/>
        </w:rPr>
        <w:t>1.6 违约责任</w:t>
      </w:r>
    </w:p>
    <w:p w14:paraId="413A5DF2">
      <w:pPr>
        <w:pStyle w:val="31"/>
        <w:spacing w:before="235" w:line="364" w:lineRule="auto"/>
        <w:ind w:right="62" w:firstLine="497"/>
        <w:rPr>
          <w:sz w:val="24"/>
          <w:szCs w:val="24"/>
          <w:highlight w:val="none"/>
        </w:rPr>
      </w:pPr>
      <w:r>
        <w:rPr>
          <w:spacing w:val="-1"/>
          <w:sz w:val="24"/>
          <w:szCs w:val="24"/>
          <w:highlight w:val="none"/>
        </w:rPr>
        <w:t>1.6.1 除不可抗力外，如果乙方没有按照本合同约定的期限、地点和方式履</w:t>
      </w:r>
      <w:r>
        <w:rPr>
          <w:sz w:val="24"/>
          <w:szCs w:val="24"/>
          <w:highlight w:val="none"/>
        </w:rPr>
        <w:t>行，那么甲方可要求乙方支付违约金，违约金按每迟延履行一日的应提</w:t>
      </w:r>
      <w:r>
        <w:rPr>
          <w:spacing w:val="-1"/>
          <w:sz w:val="24"/>
          <w:szCs w:val="24"/>
          <w:highlight w:val="none"/>
        </w:rPr>
        <w:t>供而未提</w:t>
      </w:r>
      <w:r>
        <w:rPr>
          <w:sz w:val="24"/>
          <w:szCs w:val="24"/>
          <w:highlight w:val="none"/>
        </w:rPr>
        <w:t>供服务价格的</w:t>
      </w:r>
      <w:r>
        <w:rPr>
          <w:sz w:val="24"/>
          <w:szCs w:val="24"/>
          <w:highlight w:val="none"/>
          <w:u w:val="single" w:color="auto"/>
        </w:rPr>
        <w:t xml:space="preserve"> 0.5 </w:t>
      </w:r>
      <w:r>
        <w:rPr>
          <w:sz w:val="24"/>
          <w:szCs w:val="24"/>
          <w:highlight w:val="none"/>
        </w:rPr>
        <w:t>%计算，最高限额为本合同总价的</w:t>
      </w:r>
      <w:r>
        <w:rPr>
          <w:sz w:val="24"/>
          <w:szCs w:val="24"/>
          <w:highlight w:val="none"/>
          <w:u w:val="single" w:color="auto"/>
        </w:rPr>
        <w:t xml:space="preserve"> 5 </w:t>
      </w:r>
      <w:r>
        <w:rPr>
          <w:sz w:val="24"/>
          <w:szCs w:val="24"/>
          <w:highlight w:val="none"/>
        </w:rPr>
        <w:t>%；迟延履行的</w:t>
      </w:r>
      <w:r>
        <w:rPr>
          <w:spacing w:val="-1"/>
          <w:sz w:val="24"/>
          <w:szCs w:val="24"/>
          <w:highlight w:val="none"/>
        </w:rPr>
        <w:t>违约金计</w:t>
      </w:r>
      <w:r>
        <w:rPr>
          <w:sz w:val="24"/>
          <w:szCs w:val="24"/>
          <w:highlight w:val="none"/>
        </w:rPr>
        <w:t>算数额达到前述最高限额之日起，甲方有权在要求乙方支付违约金的同</w:t>
      </w:r>
      <w:r>
        <w:rPr>
          <w:spacing w:val="-1"/>
          <w:sz w:val="24"/>
          <w:szCs w:val="24"/>
          <w:highlight w:val="none"/>
        </w:rPr>
        <w:t>时，书面</w:t>
      </w:r>
      <w:r>
        <w:rPr>
          <w:spacing w:val="-6"/>
          <w:sz w:val="24"/>
          <w:szCs w:val="24"/>
          <w:highlight w:val="none"/>
        </w:rPr>
        <w:t>通知乙方解除本合同；</w:t>
      </w:r>
    </w:p>
    <w:p w14:paraId="039F2BE8">
      <w:pPr>
        <w:pStyle w:val="31"/>
        <w:spacing w:before="233" w:line="355" w:lineRule="auto"/>
        <w:ind w:firstLine="497"/>
        <w:rPr>
          <w:sz w:val="24"/>
          <w:szCs w:val="24"/>
          <w:highlight w:val="none"/>
        </w:rPr>
      </w:pPr>
      <w:r>
        <w:rPr>
          <w:spacing w:val="-2"/>
          <w:sz w:val="24"/>
          <w:szCs w:val="24"/>
          <w:highlight w:val="none"/>
        </w:rPr>
        <w:t>1.6.2 除不可抗力外，如果甲方没有按照本合同约定的付款方式付款，那么</w:t>
      </w:r>
      <w:r>
        <w:rPr>
          <w:sz w:val="24"/>
          <w:szCs w:val="24"/>
          <w:highlight w:val="none"/>
        </w:rPr>
        <w:t xml:space="preserve">乙方可要求甲方支付违约金，违约金按每迟延付款一日的应付而未付款的 </w:t>
      </w:r>
      <w:r>
        <w:rPr>
          <w:sz w:val="24"/>
          <w:szCs w:val="24"/>
          <w:highlight w:val="none"/>
          <w:u w:val="single" w:color="auto"/>
        </w:rPr>
        <w:t>0.5</w:t>
      </w:r>
      <w:r>
        <w:rPr>
          <w:spacing w:val="-1"/>
          <w:sz w:val="24"/>
          <w:szCs w:val="24"/>
          <w:highlight w:val="none"/>
          <w:u w:val="single" w:color="auto"/>
        </w:rPr>
        <w:t xml:space="preserve"> </w:t>
      </w:r>
      <w:r>
        <w:rPr>
          <w:spacing w:val="-1"/>
          <w:sz w:val="24"/>
          <w:szCs w:val="24"/>
          <w:highlight w:val="none"/>
        </w:rPr>
        <w:t>%</w:t>
      </w:r>
      <w:r>
        <w:rPr>
          <w:sz w:val="24"/>
          <w:szCs w:val="24"/>
          <w:highlight w:val="none"/>
        </w:rPr>
        <w:t xml:space="preserve">计算，最高限额为本合同总价的 </w:t>
      </w:r>
      <w:r>
        <w:rPr>
          <w:sz w:val="24"/>
          <w:szCs w:val="24"/>
          <w:highlight w:val="none"/>
          <w:u w:val="single" w:color="auto"/>
        </w:rPr>
        <w:t xml:space="preserve">5 </w:t>
      </w:r>
      <w:r>
        <w:rPr>
          <w:sz w:val="24"/>
          <w:szCs w:val="24"/>
          <w:highlight w:val="none"/>
        </w:rPr>
        <w:t>%；迟延付款的违约金计算数额达到前述</w:t>
      </w:r>
      <w:r>
        <w:rPr>
          <w:spacing w:val="-1"/>
          <w:sz w:val="24"/>
          <w:szCs w:val="24"/>
          <w:highlight w:val="none"/>
        </w:rPr>
        <w:t>最高</w:t>
      </w:r>
      <w:r>
        <w:rPr>
          <w:spacing w:val="-5"/>
          <w:sz w:val="24"/>
          <w:szCs w:val="24"/>
          <w:highlight w:val="none"/>
        </w:rPr>
        <w:t>限额之日起，乙方有权在要求甲方支付违约金的同时，书面通知甲方解除本合</w:t>
      </w:r>
      <w:r>
        <w:rPr>
          <w:spacing w:val="-6"/>
          <w:sz w:val="24"/>
          <w:szCs w:val="24"/>
          <w:highlight w:val="none"/>
        </w:rPr>
        <w:t>同；</w:t>
      </w:r>
    </w:p>
    <w:p w14:paraId="7816AAB7">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Arial"/>
          <w:sz w:val="21"/>
          <w:highlight w:val="none"/>
        </w:rPr>
      </w:pPr>
      <w:r>
        <w:rPr>
          <w:spacing w:val="-1"/>
          <w:sz w:val="24"/>
          <w:szCs w:val="24"/>
          <w:highlight w:val="none"/>
        </w:rPr>
        <w:t>1.6.3 除不可抗力外，任何一方未能履行本合同约定的其他主要义务，经催</w:t>
      </w:r>
      <w:r>
        <w:rPr>
          <w:sz w:val="24"/>
          <w:szCs w:val="24"/>
          <w:highlight w:val="none"/>
        </w:rPr>
        <w:t>告后在合理期限内仍未履行的，或者任何一方有其他违约行为致使不能</w:t>
      </w:r>
      <w:r>
        <w:rPr>
          <w:spacing w:val="-1"/>
          <w:sz w:val="24"/>
          <w:szCs w:val="24"/>
          <w:highlight w:val="none"/>
        </w:rPr>
        <w:t>实现合同</w:t>
      </w:r>
      <w:r>
        <w:rPr>
          <w:spacing w:val="-4"/>
          <w:sz w:val="24"/>
          <w:szCs w:val="24"/>
          <w:highlight w:val="none"/>
        </w:rPr>
        <w:t>目的的，或者任何一方有腐败行为(即：提供或给予或接受或索取任何财物或其他</w:t>
      </w:r>
      <w:r>
        <w:rPr>
          <w:spacing w:val="3"/>
          <w:sz w:val="24"/>
          <w:szCs w:val="24"/>
          <w:highlight w:val="none"/>
        </w:rPr>
        <w:t>好处或者采取其他不正当手段影响对方当事人在合同签订、履行过程中的行为)</w:t>
      </w:r>
    </w:p>
    <w:p w14:paraId="37C6A1F2">
      <w:pPr>
        <w:pStyle w:val="31"/>
        <w:spacing w:before="78" w:line="400" w:lineRule="auto"/>
        <w:ind w:left="3" w:right="73"/>
        <w:rPr>
          <w:sz w:val="24"/>
          <w:szCs w:val="24"/>
          <w:highlight w:val="none"/>
        </w:rPr>
      </w:pPr>
      <w:r>
        <w:rPr>
          <w:spacing w:val="3"/>
          <w:sz w:val="24"/>
          <w:szCs w:val="24"/>
          <w:highlight w:val="none"/>
        </w:rPr>
        <w:t>或者欺诈行为(即：以谎报事实或者隐瞒真相的方法来影响对方当事人在合同签</w:t>
      </w:r>
      <w:r>
        <w:rPr>
          <w:spacing w:val="-2"/>
          <w:sz w:val="24"/>
          <w:szCs w:val="24"/>
          <w:highlight w:val="none"/>
        </w:rPr>
        <w:t>订、履行过程中的行为)的，对方当事人可以书面通知违约方解除本合同；</w:t>
      </w:r>
    </w:p>
    <w:p w14:paraId="09BEBA87">
      <w:pPr>
        <w:pStyle w:val="31"/>
        <w:spacing w:line="364" w:lineRule="auto"/>
        <w:ind w:right="65" w:firstLine="498"/>
        <w:rPr>
          <w:sz w:val="24"/>
          <w:szCs w:val="24"/>
          <w:highlight w:val="none"/>
        </w:rPr>
      </w:pPr>
      <w:r>
        <w:rPr>
          <w:spacing w:val="-1"/>
          <w:sz w:val="24"/>
          <w:szCs w:val="24"/>
          <w:highlight w:val="none"/>
        </w:rPr>
        <w:t>1.6.4 任何一方按照前述约定要求违约方支付违约金的同时，仍有权要求违</w:t>
      </w:r>
      <w:r>
        <w:rPr>
          <w:sz w:val="24"/>
          <w:szCs w:val="24"/>
          <w:highlight w:val="none"/>
        </w:rPr>
        <w:t>约方继续履行合同、采取补救措施，并有权按照己方实际损失情况要求违</w:t>
      </w:r>
      <w:r>
        <w:rPr>
          <w:spacing w:val="-1"/>
          <w:sz w:val="24"/>
          <w:szCs w:val="24"/>
          <w:highlight w:val="none"/>
        </w:rPr>
        <w:t>约方赔</w:t>
      </w:r>
      <w:r>
        <w:rPr>
          <w:sz w:val="24"/>
          <w:szCs w:val="24"/>
          <w:highlight w:val="none"/>
        </w:rPr>
        <w:t>偿损失；任何一方按照前述约定要求解除本合同的同时，仍有权要求违约</w:t>
      </w:r>
      <w:r>
        <w:rPr>
          <w:spacing w:val="-1"/>
          <w:sz w:val="24"/>
          <w:szCs w:val="24"/>
          <w:highlight w:val="none"/>
        </w:rPr>
        <w:t>方支付</w:t>
      </w:r>
      <w:r>
        <w:rPr>
          <w:sz w:val="24"/>
          <w:szCs w:val="24"/>
          <w:highlight w:val="none"/>
        </w:rPr>
        <w:t>违</w:t>
      </w:r>
    </w:p>
    <w:p w14:paraId="4D70381F">
      <w:pPr>
        <w:pStyle w:val="31"/>
        <w:spacing w:line="364" w:lineRule="auto"/>
        <w:ind w:right="65"/>
        <w:rPr>
          <w:sz w:val="24"/>
          <w:szCs w:val="24"/>
          <w:highlight w:val="none"/>
        </w:rPr>
      </w:pPr>
      <w:r>
        <w:rPr>
          <w:sz w:val="24"/>
          <w:szCs w:val="24"/>
          <w:highlight w:val="none"/>
        </w:rPr>
        <w:t>约金和按照己方实际损失情况要求违约方赔偿损失；且守约方行使的任</w:t>
      </w:r>
      <w:r>
        <w:rPr>
          <w:spacing w:val="-1"/>
          <w:sz w:val="24"/>
          <w:szCs w:val="24"/>
          <w:highlight w:val="none"/>
        </w:rPr>
        <w:t>何权利</w:t>
      </w:r>
      <w:r>
        <w:rPr>
          <w:spacing w:val="-2"/>
          <w:sz w:val="24"/>
          <w:szCs w:val="24"/>
          <w:highlight w:val="none"/>
        </w:rPr>
        <w:t>救济方式均不视为其放弃了其他法定或者约定</w:t>
      </w:r>
      <w:r>
        <w:rPr>
          <w:spacing w:val="-3"/>
          <w:sz w:val="24"/>
          <w:szCs w:val="24"/>
          <w:highlight w:val="none"/>
        </w:rPr>
        <w:t>的权利救济方式；</w:t>
      </w:r>
    </w:p>
    <w:p w14:paraId="3AB8B7AD">
      <w:pPr>
        <w:pStyle w:val="31"/>
        <w:spacing w:before="234" w:line="340" w:lineRule="auto"/>
        <w:ind w:firstLine="498"/>
        <w:rPr>
          <w:sz w:val="24"/>
          <w:szCs w:val="24"/>
          <w:highlight w:val="none"/>
        </w:rPr>
      </w:pPr>
      <w:r>
        <w:rPr>
          <w:spacing w:val="-5"/>
          <w:sz w:val="24"/>
          <w:szCs w:val="24"/>
          <w:highlight w:val="none"/>
        </w:rPr>
        <w:t>1.6.5 除前述约定外，除不可抗力外，任何一方未</w:t>
      </w:r>
      <w:r>
        <w:rPr>
          <w:spacing w:val="-6"/>
          <w:sz w:val="24"/>
          <w:szCs w:val="24"/>
          <w:highlight w:val="none"/>
        </w:rPr>
        <w:t>能履行本合同约定的义务，</w:t>
      </w:r>
      <w:r>
        <w:rPr>
          <w:sz w:val="24"/>
          <w:szCs w:val="24"/>
          <w:highlight w:val="none"/>
        </w:rPr>
        <w:t>对方当事人均有权要求继续履行、采取补救措施或者赔偿损失等，且对方</w:t>
      </w:r>
      <w:r>
        <w:rPr>
          <w:spacing w:val="-1"/>
          <w:sz w:val="24"/>
          <w:szCs w:val="24"/>
          <w:highlight w:val="none"/>
        </w:rPr>
        <w:t>当事人</w:t>
      </w:r>
      <w:r>
        <w:rPr>
          <w:spacing w:val="-2"/>
          <w:sz w:val="24"/>
          <w:szCs w:val="24"/>
          <w:highlight w:val="none"/>
        </w:rPr>
        <w:t>行使的任何权利救济方式均不视为其放弃了其他法定或者约定的权利救济方式；</w:t>
      </w:r>
    </w:p>
    <w:p w14:paraId="57C6E279">
      <w:pPr>
        <w:pStyle w:val="31"/>
        <w:spacing w:before="234" w:line="340" w:lineRule="auto"/>
        <w:ind w:left="4" w:right="65" w:firstLine="493"/>
        <w:rPr>
          <w:sz w:val="24"/>
          <w:szCs w:val="24"/>
          <w:highlight w:val="none"/>
        </w:rPr>
      </w:pPr>
      <w:r>
        <w:rPr>
          <w:spacing w:val="-1"/>
          <w:sz w:val="24"/>
          <w:szCs w:val="24"/>
          <w:highlight w:val="none"/>
        </w:rPr>
        <w:t>1.6.6 如果出现政府采购监督管理部门在处理投诉事项期间，书面通知甲方</w:t>
      </w:r>
      <w:r>
        <w:rPr>
          <w:sz w:val="24"/>
          <w:szCs w:val="24"/>
          <w:highlight w:val="none"/>
        </w:rPr>
        <w:t>暂停采购活动的情形，或者询问或质疑事项可能影响成交结果</w:t>
      </w:r>
      <w:r>
        <w:rPr>
          <w:spacing w:val="-1"/>
          <w:sz w:val="24"/>
          <w:szCs w:val="24"/>
          <w:highlight w:val="none"/>
        </w:rPr>
        <w:t>的，导致甲方中止</w:t>
      </w:r>
      <w:r>
        <w:rPr>
          <w:spacing w:val="-3"/>
          <w:sz w:val="24"/>
          <w:szCs w:val="24"/>
          <w:highlight w:val="none"/>
        </w:rPr>
        <w:t>履行合同的情形，均不视为甲方违约。</w:t>
      </w:r>
    </w:p>
    <w:p w14:paraId="31CB88F6">
      <w:pPr>
        <w:pStyle w:val="31"/>
        <w:spacing w:before="234" w:line="220" w:lineRule="auto"/>
        <w:ind w:left="498"/>
        <w:outlineLvl w:val="0"/>
        <w:rPr>
          <w:sz w:val="24"/>
          <w:szCs w:val="24"/>
          <w:highlight w:val="none"/>
        </w:rPr>
      </w:pPr>
      <w:r>
        <w:rPr>
          <w:spacing w:val="-3"/>
          <w:sz w:val="24"/>
          <w:szCs w:val="24"/>
          <w:highlight w:val="none"/>
        </w:rPr>
        <w:t>1.7 合同争议的解决</w:t>
      </w:r>
    </w:p>
    <w:p w14:paraId="217F03A3">
      <w:pPr>
        <w:pStyle w:val="31"/>
        <w:spacing w:before="232" w:line="401" w:lineRule="auto"/>
        <w:ind w:left="4" w:right="3" w:firstLine="477"/>
        <w:rPr>
          <w:sz w:val="24"/>
          <w:szCs w:val="24"/>
          <w:highlight w:val="none"/>
        </w:rPr>
      </w:pPr>
      <w:r>
        <w:rPr>
          <w:spacing w:val="-5"/>
          <w:sz w:val="24"/>
          <w:szCs w:val="24"/>
          <w:highlight w:val="none"/>
        </w:rPr>
        <w:t>本合同履行过程中发生的任何争议，双方当事人</w:t>
      </w:r>
      <w:r>
        <w:rPr>
          <w:spacing w:val="-6"/>
          <w:sz w:val="24"/>
          <w:szCs w:val="24"/>
          <w:highlight w:val="none"/>
        </w:rPr>
        <w:t>均可通过和解或者调解解决；</w:t>
      </w:r>
      <w:r>
        <w:rPr>
          <w:spacing w:val="-1"/>
          <w:sz w:val="24"/>
          <w:szCs w:val="24"/>
          <w:highlight w:val="none"/>
        </w:rPr>
        <w:t>不愿和解、调解或者和解、调解不成的，可以选择下列</w:t>
      </w:r>
      <w:r>
        <w:rPr>
          <w:spacing w:val="-1"/>
          <w:sz w:val="24"/>
          <w:szCs w:val="24"/>
          <w:highlight w:val="none"/>
          <w:u w:val="single" w:color="auto"/>
        </w:rPr>
        <w:t>第</w:t>
      </w:r>
      <w:r>
        <w:rPr>
          <w:spacing w:val="-33"/>
          <w:sz w:val="24"/>
          <w:szCs w:val="24"/>
          <w:highlight w:val="none"/>
          <w:u w:val="single" w:color="auto"/>
        </w:rPr>
        <w:t xml:space="preserve"> </w:t>
      </w:r>
      <w:r>
        <w:rPr>
          <w:spacing w:val="-1"/>
          <w:sz w:val="24"/>
          <w:szCs w:val="24"/>
          <w:highlight w:val="none"/>
          <w:u w:val="single" w:color="auto"/>
        </w:rPr>
        <w:t xml:space="preserve">1.7.2 </w:t>
      </w:r>
      <w:r>
        <w:rPr>
          <w:spacing w:val="-1"/>
          <w:sz w:val="24"/>
          <w:szCs w:val="24"/>
          <w:highlight w:val="none"/>
        </w:rPr>
        <w:t>种方</w:t>
      </w:r>
      <w:r>
        <w:rPr>
          <w:spacing w:val="-2"/>
          <w:sz w:val="24"/>
          <w:szCs w:val="24"/>
          <w:highlight w:val="none"/>
        </w:rPr>
        <w:t>式解决：</w:t>
      </w:r>
    </w:p>
    <w:p w14:paraId="69128160">
      <w:pPr>
        <w:pStyle w:val="31"/>
        <w:spacing w:before="1" w:line="218" w:lineRule="auto"/>
        <w:ind w:left="498"/>
        <w:rPr>
          <w:sz w:val="24"/>
          <w:szCs w:val="24"/>
          <w:highlight w:val="none"/>
        </w:rPr>
      </w:pPr>
      <w:r>
        <w:rPr>
          <w:spacing w:val="-2"/>
          <w:sz w:val="24"/>
          <w:szCs w:val="24"/>
          <w:highlight w:val="none"/>
        </w:rPr>
        <w:t>1.7.1 将争议提交仲裁委员会依申请仲裁时</w:t>
      </w:r>
      <w:r>
        <w:rPr>
          <w:spacing w:val="-3"/>
          <w:sz w:val="24"/>
          <w:szCs w:val="24"/>
          <w:highlight w:val="none"/>
        </w:rPr>
        <w:t>其现行有效的仲裁规则裁决；</w:t>
      </w:r>
    </w:p>
    <w:p w14:paraId="27C166B1">
      <w:pPr>
        <w:pStyle w:val="31"/>
        <w:spacing w:before="235" w:line="220" w:lineRule="auto"/>
        <w:ind w:left="498"/>
        <w:rPr>
          <w:sz w:val="24"/>
          <w:szCs w:val="24"/>
          <w:highlight w:val="none"/>
        </w:rPr>
      </w:pPr>
      <w:r>
        <w:rPr>
          <w:spacing w:val="-6"/>
          <w:sz w:val="24"/>
          <w:szCs w:val="24"/>
          <w:highlight w:val="none"/>
        </w:rPr>
        <w:t>1.7.2</w:t>
      </w:r>
      <w:r>
        <w:rPr>
          <w:spacing w:val="44"/>
          <w:sz w:val="24"/>
          <w:szCs w:val="24"/>
          <w:highlight w:val="none"/>
        </w:rPr>
        <w:t xml:space="preserve"> </w:t>
      </w:r>
      <w:r>
        <w:rPr>
          <w:spacing w:val="-6"/>
          <w:sz w:val="24"/>
          <w:szCs w:val="24"/>
          <w:highlight w:val="none"/>
        </w:rPr>
        <w:t xml:space="preserve">向 </w:t>
      </w:r>
      <w:r>
        <w:rPr>
          <w:rFonts w:hint="eastAsia"/>
          <w:spacing w:val="-6"/>
          <w:sz w:val="24"/>
          <w:szCs w:val="24"/>
          <w:highlight w:val="none"/>
          <w:u w:val="single" w:color="auto"/>
          <w:lang w:val="en-US" w:eastAsia="zh-CN"/>
        </w:rPr>
        <w:t>六安市叶集区</w:t>
      </w:r>
      <w:r>
        <w:rPr>
          <w:spacing w:val="-6"/>
          <w:sz w:val="24"/>
          <w:szCs w:val="24"/>
          <w:highlight w:val="none"/>
        </w:rPr>
        <w:t>人民法院起诉。</w:t>
      </w:r>
    </w:p>
    <w:p w14:paraId="3E046417">
      <w:pPr>
        <w:pStyle w:val="31"/>
        <w:spacing w:before="234" w:line="220" w:lineRule="auto"/>
        <w:ind w:left="498"/>
        <w:rPr>
          <w:sz w:val="24"/>
          <w:szCs w:val="24"/>
          <w:highlight w:val="none"/>
        </w:rPr>
      </w:pPr>
      <w:r>
        <w:rPr>
          <w:spacing w:val="-5"/>
          <w:sz w:val="24"/>
          <w:szCs w:val="24"/>
          <w:highlight w:val="none"/>
        </w:rPr>
        <w:t>1.8</w:t>
      </w:r>
      <w:r>
        <w:rPr>
          <w:spacing w:val="10"/>
          <w:sz w:val="24"/>
          <w:szCs w:val="24"/>
          <w:highlight w:val="none"/>
        </w:rPr>
        <w:t xml:space="preserve"> </w:t>
      </w:r>
      <w:r>
        <w:rPr>
          <w:spacing w:val="-5"/>
          <w:sz w:val="24"/>
          <w:szCs w:val="24"/>
          <w:highlight w:val="none"/>
        </w:rPr>
        <w:t>合同生效</w:t>
      </w:r>
    </w:p>
    <w:p w14:paraId="02279C16">
      <w:pPr>
        <w:pStyle w:val="31"/>
        <w:spacing w:before="235" w:line="219" w:lineRule="auto"/>
        <w:ind w:left="481"/>
        <w:rPr>
          <w:sz w:val="24"/>
          <w:szCs w:val="24"/>
          <w:highlight w:val="none"/>
        </w:rPr>
      </w:pPr>
      <w:r>
        <w:rPr>
          <w:spacing w:val="-3"/>
          <w:sz w:val="24"/>
          <w:szCs w:val="24"/>
          <w:highlight w:val="none"/>
        </w:rPr>
        <w:t>本合同自双方当事人盖章时生效。</w:t>
      </w:r>
    </w:p>
    <w:p w14:paraId="02998F7F">
      <w:pPr>
        <w:spacing w:line="260" w:lineRule="auto"/>
        <w:rPr>
          <w:rFonts w:ascii="Arial"/>
          <w:sz w:val="21"/>
          <w:highlight w:val="none"/>
        </w:rPr>
      </w:pPr>
    </w:p>
    <w:p w14:paraId="19B25A3C">
      <w:pPr>
        <w:spacing w:line="260" w:lineRule="auto"/>
        <w:rPr>
          <w:rFonts w:ascii="Arial"/>
          <w:sz w:val="21"/>
          <w:highlight w:val="none"/>
        </w:rPr>
      </w:pPr>
    </w:p>
    <w:p w14:paraId="1806B209">
      <w:pPr>
        <w:pStyle w:val="31"/>
        <w:spacing w:before="78" w:line="218" w:lineRule="auto"/>
        <w:ind w:left="134"/>
        <w:rPr>
          <w:rFonts w:ascii="黑体" w:hAnsi="黑体" w:eastAsia="黑体" w:cs="黑体"/>
          <w:sz w:val="24"/>
          <w:szCs w:val="24"/>
          <w:highlight w:val="none"/>
        </w:rPr>
      </w:pPr>
      <w:r>
        <w:rPr>
          <w:rFonts w:ascii="黑体" w:hAnsi="黑体" w:eastAsia="黑体" w:cs="黑体"/>
          <w:spacing w:val="-4"/>
          <w:sz w:val="24"/>
          <w:szCs w:val="24"/>
          <w:highlight w:val="none"/>
        </w:rPr>
        <w:t>甲方（</w:t>
      </w:r>
      <w:r>
        <w:rPr>
          <w:spacing w:val="-4"/>
          <w:sz w:val="24"/>
          <w:szCs w:val="24"/>
          <w:highlight w:val="none"/>
        </w:rPr>
        <w:t>盖章</w:t>
      </w:r>
      <w:r>
        <w:rPr>
          <w:rFonts w:ascii="黑体" w:hAnsi="黑体" w:eastAsia="黑体" w:cs="黑体"/>
          <w:spacing w:val="1"/>
          <w:sz w:val="24"/>
          <w:szCs w:val="24"/>
          <w:highlight w:val="none"/>
        </w:rPr>
        <w:t>）：</w:t>
      </w:r>
      <w:r>
        <w:rPr>
          <w:rFonts w:hint="eastAsia" w:ascii="黑体" w:hAnsi="黑体" w:eastAsia="黑体" w:cs="黑体"/>
          <w:spacing w:val="-4"/>
          <w:sz w:val="24"/>
          <w:szCs w:val="24"/>
          <w:highlight w:val="none"/>
          <w:lang w:val="en-US" w:eastAsia="zh-CN"/>
        </w:rPr>
        <w:t xml:space="preserve">               </w:t>
      </w:r>
      <w:r>
        <w:rPr>
          <w:rFonts w:ascii="黑体" w:hAnsi="黑体" w:eastAsia="黑体" w:cs="黑体"/>
          <w:spacing w:val="4"/>
          <w:sz w:val="24"/>
          <w:szCs w:val="24"/>
          <w:highlight w:val="none"/>
        </w:rPr>
        <w:t xml:space="preserve">         </w:t>
      </w:r>
      <w:r>
        <w:rPr>
          <w:rFonts w:ascii="黑体" w:hAnsi="黑体" w:eastAsia="黑体" w:cs="黑体"/>
          <w:spacing w:val="-4"/>
          <w:sz w:val="24"/>
          <w:szCs w:val="24"/>
          <w:highlight w:val="none"/>
        </w:rPr>
        <w:t>乙方（</w:t>
      </w:r>
      <w:r>
        <w:rPr>
          <w:spacing w:val="-4"/>
          <w:sz w:val="24"/>
          <w:szCs w:val="24"/>
          <w:highlight w:val="none"/>
        </w:rPr>
        <w:t>盖章</w:t>
      </w:r>
      <w:r>
        <w:rPr>
          <w:rFonts w:ascii="黑体" w:hAnsi="黑体" w:eastAsia="黑体" w:cs="黑体"/>
          <w:spacing w:val="1"/>
          <w:sz w:val="24"/>
          <w:szCs w:val="24"/>
          <w:highlight w:val="none"/>
        </w:rPr>
        <w:t>）：</w:t>
      </w:r>
    </w:p>
    <w:p w14:paraId="0435D970">
      <w:pPr>
        <w:spacing w:line="325" w:lineRule="auto"/>
        <w:rPr>
          <w:rFonts w:ascii="Arial"/>
          <w:sz w:val="21"/>
          <w:highlight w:val="none"/>
        </w:rPr>
      </w:pPr>
    </w:p>
    <w:p w14:paraId="38466DF6">
      <w:pPr>
        <w:pStyle w:val="31"/>
        <w:spacing w:before="78" w:line="220" w:lineRule="auto"/>
        <w:ind w:left="117"/>
        <w:rPr>
          <w:sz w:val="24"/>
          <w:szCs w:val="24"/>
          <w:highlight w:val="none"/>
        </w:rPr>
      </w:pPr>
      <w:r>
        <w:rPr>
          <w:spacing w:val="-6"/>
          <w:sz w:val="24"/>
          <w:szCs w:val="24"/>
          <w:highlight w:val="none"/>
        </w:rPr>
        <w:t>法定代表人：</w:t>
      </w:r>
      <w:r>
        <w:rPr>
          <w:sz w:val="24"/>
          <w:szCs w:val="24"/>
          <w:highlight w:val="none"/>
        </w:rPr>
        <w:t xml:space="preserve">                           </w:t>
      </w:r>
      <w:r>
        <w:rPr>
          <w:spacing w:val="-6"/>
          <w:sz w:val="24"/>
          <w:szCs w:val="24"/>
          <w:highlight w:val="none"/>
        </w:rPr>
        <w:t>法定代表人：</w:t>
      </w:r>
    </w:p>
    <w:p w14:paraId="21F553A5">
      <w:pPr>
        <w:pStyle w:val="31"/>
        <w:spacing w:before="312" w:line="220" w:lineRule="auto"/>
        <w:ind w:left="119"/>
        <w:rPr>
          <w:sz w:val="24"/>
          <w:szCs w:val="24"/>
          <w:highlight w:val="none"/>
        </w:rPr>
      </w:pPr>
      <w:r>
        <w:rPr>
          <w:spacing w:val="-5"/>
          <w:sz w:val="24"/>
          <w:szCs w:val="24"/>
          <w:highlight w:val="none"/>
        </w:rPr>
        <w:t>或授权代表签字：</w:t>
      </w:r>
      <w:r>
        <w:rPr>
          <w:spacing w:val="1"/>
          <w:sz w:val="24"/>
          <w:szCs w:val="24"/>
          <w:highlight w:val="none"/>
        </w:rPr>
        <w:t xml:space="preserve">                   </w:t>
      </w:r>
      <w:r>
        <w:rPr>
          <w:sz w:val="24"/>
          <w:szCs w:val="24"/>
          <w:highlight w:val="none"/>
        </w:rPr>
        <w:t xml:space="preserve">    </w:t>
      </w:r>
      <w:r>
        <w:rPr>
          <w:spacing w:val="-5"/>
          <w:sz w:val="24"/>
          <w:szCs w:val="24"/>
          <w:highlight w:val="none"/>
        </w:rPr>
        <w:t>或授权代表签字：</w:t>
      </w:r>
    </w:p>
    <w:p w14:paraId="71861C6C">
      <w:pPr>
        <w:spacing w:line="322" w:lineRule="auto"/>
        <w:rPr>
          <w:rFonts w:ascii="Arial"/>
          <w:sz w:val="21"/>
          <w:highlight w:val="none"/>
        </w:rPr>
      </w:pPr>
    </w:p>
    <w:p w14:paraId="0B553B3C">
      <w:pPr>
        <w:pStyle w:val="31"/>
        <w:spacing w:before="78" w:line="220" w:lineRule="auto"/>
        <w:ind w:left="157"/>
        <w:rPr>
          <w:sz w:val="24"/>
          <w:szCs w:val="24"/>
          <w:highlight w:val="none"/>
        </w:rPr>
      </w:pPr>
      <w:r>
        <w:rPr>
          <w:spacing w:val="-19"/>
          <w:sz w:val="24"/>
          <w:szCs w:val="24"/>
          <w:highlight w:val="none"/>
        </w:rPr>
        <w:t>日</w:t>
      </w:r>
      <w:r>
        <w:rPr>
          <w:spacing w:val="4"/>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r>
        <w:rPr>
          <w:spacing w:val="4"/>
          <w:sz w:val="24"/>
          <w:szCs w:val="24"/>
          <w:highlight w:val="none"/>
        </w:rPr>
        <w:t xml:space="preserve">           </w:t>
      </w:r>
      <w:r>
        <w:rPr>
          <w:spacing w:val="-19"/>
          <w:sz w:val="24"/>
          <w:szCs w:val="24"/>
          <w:highlight w:val="none"/>
        </w:rPr>
        <w:t>日</w:t>
      </w:r>
      <w:r>
        <w:rPr>
          <w:spacing w:val="7"/>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p>
    <w:p w14:paraId="0F8DBFF2">
      <w:pPr>
        <w:spacing w:line="220" w:lineRule="auto"/>
        <w:rPr>
          <w:sz w:val="24"/>
          <w:szCs w:val="24"/>
          <w:highlight w:val="none"/>
        </w:rPr>
        <w:sectPr>
          <w:headerReference r:id="rId4" w:type="default"/>
          <w:footerReference r:id="rId5" w:type="default"/>
          <w:pgSz w:w="11907" w:h="16839"/>
          <w:pgMar w:top="400" w:right="1662" w:bottom="1190" w:left="1780" w:header="0" w:footer="988" w:gutter="0"/>
          <w:pgBorders>
            <w:top w:val="none" w:sz="0" w:space="0"/>
            <w:left w:val="none" w:sz="0" w:space="0"/>
            <w:bottom w:val="none" w:sz="0" w:space="0"/>
            <w:right w:val="none" w:sz="0" w:space="0"/>
          </w:pgBorders>
          <w:pgNumType w:fmt="decimal"/>
          <w:cols w:space="720" w:num="1"/>
        </w:sectPr>
      </w:pPr>
    </w:p>
    <w:p w14:paraId="564B6FDC">
      <w:pPr>
        <w:spacing w:line="325" w:lineRule="auto"/>
        <w:rPr>
          <w:rFonts w:ascii="Arial"/>
          <w:sz w:val="21"/>
          <w:highlight w:val="none"/>
        </w:rPr>
      </w:pPr>
    </w:p>
    <w:p w14:paraId="61B33107">
      <w:pPr>
        <w:spacing w:line="325" w:lineRule="auto"/>
        <w:rPr>
          <w:rFonts w:ascii="Arial"/>
          <w:sz w:val="21"/>
          <w:highlight w:val="none"/>
        </w:rPr>
      </w:pPr>
    </w:p>
    <w:p w14:paraId="441264C1">
      <w:pPr>
        <w:pStyle w:val="31"/>
        <w:spacing w:before="78" w:line="220" w:lineRule="auto"/>
        <w:ind w:left="298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698835D8">
      <w:pPr>
        <w:pStyle w:val="31"/>
        <w:spacing w:before="195" w:line="220" w:lineRule="auto"/>
        <w:ind w:left="483"/>
        <w:outlineLvl w:val="0"/>
        <w:rPr>
          <w:sz w:val="24"/>
          <w:szCs w:val="24"/>
          <w:highlight w:val="none"/>
        </w:rPr>
      </w:pPr>
      <w:r>
        <w:rPr>
          <w:spacing w:val="-4"/>
          <w:sz w:val="24"/>
          <w:szCs w:val="24"/>
          <w:highlight w:val="none"/>
        </w:rPr>
        <w:t>2.1</w:t>
      </w:r>
      <w:r>
        <w:rPr>
          <w:spacing w:val="15"/>
          <w:sz w:val="24"/>
          <w:szCs w:val="24"/>
          <w:highlight w:val="none"/>
        </w:rPr>
        <w:t xml:space="preserve"> </w:t>
      </w:r>
      <w:r>
        <w:rPr>
          <w:spacing w:val="-4"/>
          <w:sz w:val="24"/>
          <w:szCs w:val="24"/>
          <w:highlight w:val="none"/>
        </w:rPr>
        <w:t>定义</w:t>
      </w:r>
    </w:p>
    <w:p w14:paraId="13B4ED92">
      <w:pPr>
        <w:pStyle w:val="31"/>
        <w:spacing w:before="234" w:line="219" w:lineRule="auto"/>
        <w:ind w:left="481"/>
        <w:rPr>
          <w:sz w:val="24"/>
          <w:szCs w:val="24"/>
          <w:highlight w:val="none"/>
        </w:rPr>
      </w:pPr>
      <w:r>
        <w:rPr>
          <w:spacing w:val="-4"/>
          <w:sz w:val="24"/>
          <w:szCs w:val="24"/>
          <w:highlight w:val="none"/>
        </w:rPr>
        <w:t>本合同中的下列词语应按以下内容进行解释：</w:t>
      </w:r>
    </w:p>
    <w:p w14:paraId="2AE96437">
      <w:pPr>
        <w:pStyle w:val="31"/>
        <w:spacing w:before="233" w:line="310" w:lineRule="auto"/>
        <w:ind w:left="2" w:right="83" w:firstLine="480"/>
        <w:rPr>
          <w:sz w:val="24"/>
          <w:szCs w:val="24"/>
          <w:highlight w:val="none"/>
        </w:rPr>
      </w:pPr>
      <w:r>
        <w:rPr>
          <w:sz w:val="24"/>
          <w:szCs w:val="24"/>
          <w:highlight w:val="none"/>
        </w:rPr>
        <w:t>2.1.1 “合同”系指采购人和成交供应商签订的载明双方当</w:t>
      </w:r>
      <w:r>
        <w:rPr>
          <w:spacing w:val="-1"/>
          <w:sz w:val="24"/>
          <w:szCs w:val="24"/>
          <w:highlight w:val="none"/>
        </w:rPr>
        <w:t>事人所达成的协</w:t>
      </w:r>
      <w:r>
        <w:rPr>
          <w:spacing w:val="-2"/>
          <w:sz w:val="24"/>
          <w:szCs w:val="24"/>
          <w:highlight w:val="none"/>
        </w:rPr>
        <w:t>议，并包括所有的附件、附录和构成合同的其他文件。</w:t>
      </w:r>
    </w:p>
    <w:p w14:paraId="6467DD74">
      <w:pPr>
        <w:pStyle w:val="31"/>
        <w:spacing w:before="237" w:line="308" w:lineRule="auto"/>
        <w:ind w:right="137" w:firstLine="483"/>
        <w:rPr>
          <w:sz w:val="24"/>
          <w:szCs w:val="24"/>
          <w:highlight w:val="none"/>
        </w:rPr>
      </w:pPr>
      <w:r>
        <w:rPr>
          <w:spacing w:val="-2"/>
          <w:sz w:val="24"/>
          <w:szCs w:val="24"/>
          <w:highlight w:val="none"/>
        </w:rPr>
        <w:t>2.1.2 “合同价”系指根据合同约定，成交供应商在完全履行合同义务后，</w:t>
      </w:r>
      <w:r>
        <w:rPr>
          <w:spacing w:val="-3"/>
          <w:sz w:val="24"/>
          <w:szCs w:val="24"/>
          <w:highlight w:val="none"/>
        </w:rPr>
        <w:t>采购人应支付给成交供应商的价格。</w:t>
      </w:r>
    </w:p>
    <w:p w14:paraId="386A1FC0">
      <w:pPr>
        <w:pStyle w:val="31"/>
        <w:spacing w:before="236" w:line="340" w:lineRule="auto"/>
        <w:ind w:right="83" w:firstLine="483"/>
        <w:rPr>
          <w:sz w:val="24"/>
          <w:szCs w:val="24"/>
          <w:highlight w:val="none"/>
        </w:rPr>
      </w:pPr>
      <w:r>
        <w:rPr>
          <w:sz w:val="24"/>
          <w:szCs w:val="24"/>
          <w:highlight w:val="none"/>
        </w:rPr>
        <w:t>2.1.3 “服务”系指成交供应商根据合同约定应向采购人履</w:t>
      </w:r>
      <w:r>
        <w:rPr>
          <w:spacing w:val="-1"/>
          <w:sz w:val="24"/>
          <w:szCs w:val="24"/>
          <w:highlight w:val="none"/>
        </w:rPr>
        <w:t>行的除货物和工</w:t>
      </w:r>
      <w:r>
        <w:rPr>
          <w:sz w:val="24"/>
          <w:szCs w:val="24"/>
          <w:highlight w:val="none"/>
        </w:rPr>
        <w:t>程以外的其他政府采购对象，包括采购人自身需要的服务和向社会公</w:t>
      </w:r>
      <w:r>
        <w:rPr>
          <w:spacing w:val="-1"/>
          <w:sz w:val="24"/>
          <w:szCs w:val="24"/>
          <w:highlight w:val="none"/>
        </w:rPr>
        <w:t>众提供的公</w:t>
      </w:r>
      <w:r>
        <w:rPr>
          <w:spacing w:val="-9"/>
          <w:sz w:val="24"/>
          <w:szCs w:val="24"/>
          <w:highlight w:val="none"/>
        </w:rPr>
        <w:t>共服务。</w:t>
      </w:r>
    </w:p>
    <w:p w14:paraId="2CFD2668">
      <w:pPr>
        <w:pStyle w:val="31"/>
        <w:spacing w:before="234" w:line="310" w:lineRule="auto"/>
        <w:ind w:right="83" w:firstLine="483"/>
        <w:rPr>
          <w:sz w:val="24"/>
          <w:szCs w:val="24"/>
          <w:highlight w:val="none"/>
        </w:rPr>
      </w:pPr>
      <w:r>
        <w:rPr>
          <w:sz w:val="24"/>
          <w:szCs w:val="24"/>
          <w:highlight w:val="none"/>
        </w:rPr>
        <w:t>2.1.4 “甲方”系指与成交供应商签署合同的采购人；采购</w:t>
      </w:r>
      <w:r>
        <w:rPr>
          <w:spacing w:val="-1"/>
          <w:sz w:val="24"/>
          <w:szCs w:val="24"/>
          <w:highlight w:val="none"/>
        </w:rPr>
        <w:t>人委托采购代理</w:t>
      </w:r>
      <w:r>
        <w:rPr>
          <w:spacing w:val="-2"/>
          <w:sz w:val="24"/>
          <w:szCs w:val="24"/>
          <w:highlight w:val="none"/>
        </w:rPr>
        <w:t>机构代表其与乙方签订合同的，采购人的授权委托书作为合同附件。</w:t>
      </w:r>
    </w:p>
    <w:p w14:paraId="42510A5F">
      <w:pPr>
        <w:pStyle w:val="31"/>
        <w:spacing w:before="234" w:line="355" w:lineRule="auto"/>
        <w:ind w:right="82" w:firstLine="482"/>
        <w:rPr>
          <w:sz w:val="24"/>
          <w:szCs w:val="24"/>
          <w:highlight w:val="none"/>
        </w:rPr>
      </w:pPr>
      <w:r>
        <w:rPr>
          <w:sz w:val="24"/>
          <w:szCs w:val="24"/>
          <w:highlight w:val="none"/>
        </w:rPr>
        <w:t>2.1.5 “乙方”系指根据合同约定提供服务的成交供应商；</w:t>
      </w:r>
      <w:r>
        <w:rPr>
          <w:spacing w:val="-1"/>
          <w:sz w:val="24"/>
          <w:szCs w:val="24"/>
          <w:highlight w:val="none"/>
        </w:rPr>
        <w:t>两个以上的自然</w:t>
      </w:r>
      <w:r>
        <w:rPr>
          <w:sz w:val="24"/>
          <w:szCs w:val="24"/>
          <w:highlight w:val="none"/>
        </w:rPr>
        <w:t>人、法人或者其他组织组成一个联合体，以一个供应商的身份共同参加</w:t>
      </w:r>
      <w:r>
        <w:rPr>
          <w:spacing w:val="-1"/>
          <w:sz w:val="24"/>
          <w:szCs w:val="24"/>
          <w:highlight w:val="none"/>
        </w:rPr>
        <w:t>政府采购</w:t>
      </w:r>
      <w:r>
        <w:rPr>
          <w:sz w:val="24"/>
          <w:szCs w:val="24"/>
          <w:highlight w:val="none"/>
        </w:rPr>
        <w:t>的，联合体各方均应为乙方或者与乙方相同地位的合同当事人，并就合同</w:t>
      </w:r>
      <w:r>
        <w:rPr>
          <w:spacing w:val="-1"/>
          <w:sz w:val="24"/>
          <w:szCs w:val="24"/>
          <w:highlight w:val="none"/>
        </w:rPr>
        <w:t>约定的</w:t>
      </w:r>
      <w:r>
        <w:rPr>
          <w:spacing w:val="-4"/>
          <w:sz w:val="24"/>
          <w:szCs w:val="24"/>
          <w:highlight w:val="none"/>
        </w:rPr>
        <w:t>事项对甲方承担连带责任。</w:t>
      </w:r>
    </w:p>
    <w:p w14:paraId="42BBCBD9">
      <w:pPr>
        <w:pStyle w:val="31"/>
        <w:spacing w:before="235" w:line="219" w:lineRule="auto"/>
        <w:ind w:left="483"/>
        <w:rPr>
          <w:sz w:val="24"/>
          <w:szCs w:val="24"/>
          <w:highlight w:val="none"/>
        </w:rPr>
      </w:pPr>
      <w:r>
        <w:rPr>
          <w:spacing w:val="-2"/>
          <w:sz w:val="24"/>
          <w:szCs w:val="24"/>
          <w:highlight w:val="none"/>
        </w:rPr>
        <w:t>2.1.6 “现场”系指合同约定提供服务的地点。</w:t>
      </w:r>
    </w:p>
    <w:p w14:paraId="3E498A79">
      <w:pPr>
        <w:pStyle w:val="31"/>
        <w:spacing w:before="236" w:line="220" w:lineRule="auto"/>
        <w:ind w:left="483"/>
        <w:outlineLvl w:val="0"/>
        <w:rPr>
          <w:sz w:val="24"/>
          <w:szCs w:val="24"/>
          <w:highlight w:val="none"/>
        </w:rPr>
      </w:pPr>
      <w:r>
        <w:rPr>
          <w:spacing w:val="-2"/>
          <w:sz w:val="24"/>
          <w:szCs w:val="24"/>
          <w:highlight w:val="none"/>
        </w:rPr>
        <w:t>2.2 技术规范</w:t>
      </w:r>
    </w:p>
    <w:p w14:paraId="2397E9A3">
      <w:pPr>
        <w:pStyle w:val="31"/>
        <w:spacing w:before="233" w:line="400" w:lineRule="auto"/>
        <w:ind w:left="1" w:firstLine="484"/>
        <w:jc w:val="both"/>
        <w:rPr>
          <w:sz w:val="24"/>
          <w:szCs w:val="24"/>
          <w:highlight w:val="none"/>
        </w:rPr>
      </w:pPr>
      <w:r>
        <w:rPr>
          <w:spacing w:val="3"/>
          <w:sz w:val="24"/>
          <w:szCs w:val="24"/>
          <w:highlight w:val="none"/>
        </w:rPr>
        <w:t>货物所应遵守的技术规范应与采购文件规定的技术规范和技术规范附件(如</w:t>
      </w:r>
      <w:r>
        <w:rPr>
          <w:spacing w:val="-3"/>
          <w:sz w:val="24"/>
          <w:szCs w:val="24"/>
          <w:highlight w:val="none"/>
        </w:rPr>
        <w:t>果有的话)及其技术规范偏差表(如果被甲方接受</w:t>
      </w:r>
      <w:r>
        <w:rPr>
          <w:spacing w:val="-4"/>
          <w:sz w:val="24"/>
          <w:szCs w:val="24"/>
          <w:highlight w:val="none"/>
        </w:rPr>
        <w:t>的话)相一致；如果采购文件中没</w:t>
      </w:r>
      <w:r>
        <w:rPr>
          <w:spacing w:val="-5"/>
          <w:sz w:val="24"/>
          <w:szCs w:val="24"/>
          <w:highlight w:val="none"/>
        </w:rPr>
        <w:t>有技术规范的相应说明，那么应以国家有关部门最新颁布的相应标准和规范为准。</w:t>
      </w:r>
    </w:p>
    <w:p w14:paraId="6176A7CA">
      <w:pPr>
        <w:pStyle w:val="31"/>
        <w:spacing w:before="1" w:line="219" w:lineRule="auto"/>
        <w:ind w:left="483"/>
        <w:outlineLvl w:val="0"/>
        <w:rPr>
          <w:sz w:val="24"/>
          <w:szCs w:val="24"/>
          <w:highlight w:val="none"/>
        </w:rPr>
      </w:pPr>
      <w:r>
        <w:rPr>
          <w:spacing w:val="-4"/>
          <w:sz w:val="24"/>
          <w:szCs w:val="24"/>
          <w:highlight w:val="none"/>
        </w:rPr>
        <w:t>2.3</w:t>
      </w:r>
      <w:r>
        <w:rPr>
          <w:spacing w:val="18"/>
          <w:sz w:val="24"/>
          <w:szCs w:val="24"/>
          <w:highlight w:val="none"/>
        </w:rPr>
        <w:t xml:space="preserve"> </w:t>
      </w:r>
      <w:r>
        <w:rPr>
          <w:spacing w:val="-4"/>
          <w:sz w:val="24"/>
          <w:szCs w:val="24"/>
          <w:highlight w:val="none"/>
        </w:rPr>
        <w:t>知识产权</w:t>
      </w:r>
    </w:p>
    <w:p w14:paraId="05813973">
      <w:pPr>
        <w:pStyle w:val="31"/>
        <w:spacing w:before="234" w:line="340" w:lineRule="auto"/>
        <w:ind w:right="83" w:firstLine="483"/>
        <w:rPr>
          <w:sz w:val="24"/>
          <w:szCs w:val="24"/>
          <w:highlight w:val="none"/>
        </w:rPr>
      </w:pPr>
      <w:r>
        <w:rPr>
          <w:spacing w:val="-1"/>
          <w:sz w:val="24"/>
          <w:szCs w:val="24"/>
          <w:highlight w:val="none"/>
        </w:rPr>
        <w:t>2.3.1</w:t>
      </w:r>
      <w:r>
        <w:rPr>
          <w:spacing w:val="32"/>
          <w:sz w:val="24"/>
          <w:szCs w:val="24"/>
          <w:highlight w:val="none"/>
        </w:rPr>
        <w:t xml:space="preserve"> </w:t>
      </w:r>
      <w:r>
        <w:rPr>
          <w:spacing w:val="-1"/>
          <w:sz w:val="24"/>
          <w:szCs w:val="24"/>
          <w:highlight w:val="none"/>
        </w:rPr>
        <w:t>乙方应保证其提供的服务不受任何第</w:t>
      </w:r>
      <w:r>
        <w:rPr>
          <w:spacing w:val="-2"/>
          <w:sz w:val="24"/>
          <w:szCs w:val="24"/>
          <w:highlight w:val="none"/>
        </w:rPr>
        <w:t>三方提出的侵犯其著作权、商标</w:t>
      </w:r>
      <w:r>
        <w:rPr>
          <w:sz w:val="24"/>
          <w:szCs w:val="24"/>
          <w:highlight w:val="none"/>
        </w:rPr>
        <w:t>权、专利权等知识产权方面的起诉；如果任何第三方提出侵权指控，那么</w:t>
      </w:r>
      <w:r>
        <w:rPr>
          <w:spacing w:val="-1"/>
          <w:sz w:val="24"/>
          <w:szCs w:val="24"/>
          <w:highlight w:val="none"/>
        </w:rPr>
        <w:t>乙方须</w:t>
      </w:r>
      <w:r>
        <w:rPr>
          <w:spacing w:val="-3"/>
          <w:sz w:val="24"/>
          <w:szCs w:val="24"/>
          <w:highlight w:val="none"/>
        </w:rPr>
        <w:t>与该第三方交涉并承担由此发生的一切责任、费用和赔偿；</w:t>
      </w:r>
    </w:p>
    <w:p w14:paraId="75227A2E">
      <w:pPr>
        <w:pStyle w:val="31"/>
        <w:spacing w:before="235" w:line="311" w:lineRule="auto"/>
        <w:ind w:left="1" w:right="83" w:firstLine="481"/>
        <w:rPr>
          <w:sz w:val="24"/>
          <w:szCs w:val="24"/>
          <w:highlight w:val="none"/>
        </w:rPr>
      </w:pPr>
      <w:r>
        <w:rPr>
          <w:sz w:val="24"/>
          <w:szCs w:val="24"/>
          <w:highlight w:val="none"/>
        </w:rPr>
        <w:t>2.3.2 具有知识产权的计算机软件等货物的知识产权归属，</w:t>
      </w:r>
      <w:r>
        <w:rPr>
          <w:spacing w:val="-1"/>
          <w:sz w:val="24"/>
          <w:szCs w:val="24"/>
          <w:highlight w:val="none"/>
        </w:rPr>
        <w:t>详见</w:t>
      </w:r>
      <w:r>
        <w:rPr>
          <w:spacing w:val="-1"/>
          <w:sz w:val="24"/>
          <w:szCs w:val="24"/>
          <w:highlight w:val="none"/>
          <w:u w:val="single" w:color="auto"/>
        </w:rPr>
        <w:t>合同专用条</w:t>
      </w:r>
      <w:r>
        <w:rPr>
          <w:spacing w:val="-6"/>
          <w:sz w:val="24"/>
          <w:szCs w:val="24"/>
          <w:highlight w:val="none"/>
          <w:u w:val="single" w:color="auto"/>
        </w:rPr>
        <w:t>款</w:t>
      </w:r>
      <w:r>
        <w:rPr>
          <w:spacing w:val="-6"/>
          <w:sz w:val="24"/>
          <w:szCs w:val="24"/>
          <w:highlight w:val="none"/>
        </w:rPr>
        <w:t>。</w:t>
      </w:r>
    </w:p>
    <w:p w14:paraId="727CC1E7">
      <w:pPr>
        <w:pStyle w:val="31"/>
        <w:spacing w:before="231" w:line="220" w:lineRule="auto"/>
        <w:ind w:left="483"/>
        <w:rPr>
          <w:sz w:val="24"/>
          <w:szCs w:val="24"/>
          <w:highlight w:val="none"/>
        </w:rPr>
      </w:pPr>
      <w:r>
        <w:rPr>
          <w:spacing w:val="-1"/>
          <w:sz w:val="24"/>
          <w:szCs w:val="24"/>
          <w:highlight w:val="none"/>
        </w:rPr>
        <w:t>2.4 履约检查和问题反馈</w:t>
      </w:r>
    </w:p>
    <w:p w14:paraId="3F605FAE">
      <w:pPr>
        <w:spacing w:line="220" w:lineRule="auto"/>
        <w:rPr>
          <w:sz w:val="24"/>
          <w:szCs w:val="24"/>
          <w:highlight w:val="none"/>
        </w:rPr>
        <w:sectPr>
          <w:footerReference r:id="rId6" w:type="default"/>
          <w:pgSz w:w="11907" w:h="16839"/>
          <w:pgMar w:top="400" w:right="1644" w:bottom="1190" w:left="1780" w:header="0" w:footer="990" w:gutter="0"/>
          <w:pgBorders>
            <w:top w:val="none" w:sz="0" w:space="0"/>
            <w:left w:val="none" w:sz="0" w:space="0"/>
            <w:bottom w:val="none" w:sz="0" w:space="0"/>
            <w:right w:val="none" w:sz="0" w:space="0"/>
          </w:pgBorders>
          <w:pgNumType w:fmt="decimal"/>
          <w:cols w:space="720" w:num="1"/>
        </w:sectPr>
      </w:pPr>
    </w:p>
    <w:p w14:paraId="4A3BD354">
      <w:pPr>
        <w:spacing w:line="281" w:lineRule="auto"/>
        <w:rPr>
          <w:rFonts w:ascii="Arial"/>
          <w:sz w:val="21"/>
          <w:highlight w:val="none"/>
        </w:rPr>
      </w:pPr>
    </w:p>
    <w:p w14:paraId="6CBB13A2">
      <w:pPr>
        <w:spacing w:line="281" w:lineRule="auto"/>
        <w:rPr>
          <w:rFonts w:ascii="Arial"/>
          <w:sz w:val="21"/>
          <w:highlight w:val="none"/>
        </w:rPr>
      </w:pPr>
    </w:p>
    <w:p w14:paraId="2A1655B5">
      <w:pPr>
        <w:spacing w:line="281" w:lineRule="auto"/>
        <w:rPr>
          <w:rFonts w:ascii="Arial"/>
          <w:sz w:val="21"/>
          <w:highlight w:val="none"/>
        </w:rPr>
      </w:pPr>
    </w:p>
    <w:p w14:paraId="2B8A6B92">
      <w:pPr>
        <w:pStyle w:val="31"/>
        <w:spacing w:before="78" w:line="340" w:lineRule="auto"/>
        <w:ind w:left="3" w:firstLine="478"/>
        <w:rPr>
          <w:sz w:val="24"/>
          <w:szCs w:val="24"/>
          <w:highlight w:val="none"/>
        </w:rPr>
      </w:pPr>
      <w:r>
        <w:rPr>
          <w:spacing w:val="-1"/>
          <w:sz w:val="24"/>
          <w:szCs w:val="24"/>
          <w:highlight w:val="none"/>
        </w:rPr>
        <w:t>2.4.1</w:t>
      </w:r>
      <w:r>
        <w:rPr>
          <w:spacing w:val="41"/>
          <w:sz w:val="24"/>
          <w:szCs w:val="24"/>
          <w:highlight w:val="none"/>
        </w:rPr>
        <w:t xml:space="preserve"> </w:t>
      </w:r>
      <w:r>
        <w:rPr>
          <w:spacing w:val="-1"/>
          <w:sz w:val="24"/>
          <w:szCs w:val="24"/>
          <w:highlight w:val="none"/>
        </w:rPr>
        <w:t>甲方有权在其认为必要时，对乙方是否</w:t>
      </w:r>
      <w:r>
        <w:rPr>
          <w:spacing w:val="-2"/>
          <w:sz w:val="24"/>
          <w:szCs w:val="24"/>
          <w:highlight w:val="none"/>
        </w:rPr>
        <w:t>能够按照合同约定提供服务进</w:t>
      </w:r>
      <w:r>
        <w:rPr>
          <w:sz w:val="24"/>
          <w:szCs w:val="24"/>
          <w:highlight w:val="none"/>
        </w:rPr>
        <w:t>行履约检查，以确保乙方所提供的服务能够依约满足甲方项目</w:t>
      </w:r>
      <w:r>
        <w:rPr>
          <w:spacing w:val="-1"/>
          <w:sz w:val="24"/>
          <w:szCs w:val="24"/>
          <w:highlight w:val="none"/>
        </w:rPr>
        <w:t>需求，但不得因履</w:t>
      </w:r>
      <w:r>
        <w:rPr>
          <w:spacing w:val="-3"/>
          <w:sz w:val="24"/>
          <w:szCs w:val="24"/>
          <w:highlight w:val="none"/>
        </w:rPr>
        <w:t>约检查妨碍乙方的正常工作，乙方应予积极配</w:t>
      </w:r>
      <w:r>
        <w:rPr>
          <w:spacing w:val="-4"/>
          <w:sz w:val="24"/>
          <w:szCs w:val="24"/>
          <w:highlight w:val="none"/>
        </w:rPr>
        <w:t>合；</w:t>
      </w:r>
    </w:p>
    <w:p w14:paraId="12E985EE">
      <w:pPr>
        <w:pStyle w:val="31"/>
        <w:spacing w:before="234" w:line="310" w:lineRule="auto"/>
        <w:ind w:left="15" w:right="9" w:firstLine="467"/>
        <w:rPr>
          <w:sz w:val="24"/>
          <w:szCs w:val="24"/>
          <w:highlight w:val="none"/>
        </w:rPr>
      </w:pPr>
      <w:r>
        <w:rPr>
          <w:sz w:val="24"/>
          <w:szCs w:val="24"/>
          <w:highlight w:val="none"/>
        </w:rPr>
        <w:t>2.4.2 合同履行期间，甲方有权将履</w:t>
      </w:r>
      <w:r>
        <w:rPr>
          <w:spacing w:val="-1"/>
          <w:sz w:val="24"/>
          <w:szCs w:val="24"/>
          <w:highlight w:val="none"/>
        </w:rPr>
        <w:t>行过程中出现的问题反馈给乙方，双方</w:t>
      </w:r>
      <w:r>
        <w:rPr>
          <w:spacing w:val="-3"/>
          <w:sz w:val="24"/>
          <w:szCs w:val="24"/>
          <w:highlight w:val="none"/>
        </w:rPr>
        <w:t>当事人应以书面形式约定需要完善和改进的内容。</w:t>
      </w:r>
    </w:p>
    <w:p w14:paraId="4A7B90C2">
      <w:pPr>
        <w:pStyle w:val="31"/>
        <w:spacing w:before="233" w:line="220" w:lineRule="auto"/>
        <w:ind w:left="482"/>
        <w:rPr>
          <w:sz w:val="24"/>
          <w:szCs w:val="24"/>
          <w:highlight w:val="none"/>
        </w:rPr>
      </w:pPr>
      <w:r>
        <w:rPr>
          <w:spacing w:val="-1"/>
          <w:sz w:val="24"/>
          <w:szCs w:val="24"/>
          <w:highlight w:val="none"/>
        </w:rPr>
        <w:t>2.5 结算方式和付款条件详见</w:t>
      </w:r>
      <w:r>
        <w:rPr>
          <w:spacing w:val="-1"/>
          <w:sz w:val="24"/>
          <w:szCs w:val="24"/>
          <w:highlight w:val="none"/>
          <w:u w:val="single" w:color="auto"/>
        </w:rPr>
        <w:t>合同专用条款</w:t>
      </w:r>
      <w:r>
        <w:rPr>
          <w:spacing w:val="-1"/>
          <w:sz w:val="24"/>
          <w:szCs w:val="24"/>
          <w:highlight w:val="none"/>
        </w:rPr>
        <w:t>。</w:t>
      </w:r>
    </w:p>
    <w:p w14:paraId="5E55260F">
      <w:pPr>
        <w:pStyle w:val="31"/>
        <w:spacing w:before="234" w:line="220" w:lineRule="auto"/>
        <w:ind w:left="482"/>
        <w:rPr>
          <w:sz w:val="24"/>
          <w:szCs w:val="24"/>
          <w:highlight w:val="none"/>
        </w:rPr>
      </w:pPr>
      <w:r>
        <w:rPr>
          <w:spacing w:val="-1"/>
          <w:sz w:val="24"/>
          <w:szCs w:val="24"/>
          <w:highlight w:val="none"/>
        </w:rPr>
        <w:t>2.6 技术资料和保密义务</w:t>
      </w:r>
    </w:p>
    <w:p w14:paraId="33CA2052">
      <w:pPr>
        <w:pStyle w:val="31"/>
        <w:spacing w:before="236" w:line="309" w:lineRule="auto"/>
        <w:ind w:left="10" w:firstLine="472"/>
        <w:rPr>
          <w:sz w:val="24"/>
          <w:szCs w:val="24"/>
          <w:highlight w:val="none"/>
        </w:rPr>
      </w:pPr>
      <w:r>
        <w:rPr>
          <w:spacing w:val="-1"/>
          <w:sz w:val="24"/>
          <w:szCs w:val="24"/>
          <w:highlight w:val="none"/>
        </w:rPr>
        <w:t>2.6.1</w:t>
      </w:r>
      <w:r>
        <w:rPr>
          <w:spacing w:val="33"/>
          <w:sz w:val="24"/>
          <w:szCs w:val="24"/>
          <w:highlight w:val="none"/>
        </w:rPr>
        <w:t xml:space="preserve"> </w:t>
      </w:r>
      <w:r>
        <w:rPr>
          <w:spacing w:val="-1"/>
          <w:sz w:val="24"/>
          <w:szCs w:val="24"/>
          <w:highlight w:val="none"/>
        </w:rPr>
        <w:t>乙方有权依据合同约定和项目需要，向甲方了解有关情况</w:t>
      </w:r>
      <w:r>
        <w:rPr>
          <w:spacing w:val="-2"/>
          <w:sz w:val="24"/>
          <w:szCs w:val="24"/>
          <w:highlight w:val="none"/>
        </w:rPr>
        <w:t>，调阅有关</w:t>
      </w:r>
      <w:r>
        <w:rPr>
          <w:spacing w:val="-6"/>
          <w:sz w:val="24"/>
          <w:szCs w:val="24"/>
          <w:highlight w:val="none"/>
        </w:rPr>
        <w:t>资料等，甲方应予积极配合；</w:t>
      </w:r>
    </w:p>
    <w:p w14:paraId="562D2BA6">
      <w:pPr>
        <w:pStyle w:val="31"/>
        <w:spacing w:before="235" w:line="219" w:lineRule="auto"/>
        <w:ind w:left="482"/>
        <w:rPr>
          <w:sz w:val="24"/>
          <w:szCs w:val="24"/>
          <w:highlight w:val="none"/>
        </w:rPr>
      </w:pPr>
      <w:r>
        <w:rPr>
          <w:spacing w:val="-3"/>
          <w:sz w:val="24"/>
          <w:szCs w:val="24"/>
          <w:highlight w:val="none"/>
        </w:rPr>
        <w:t>2.6.2</w:t>
      </w:r>
      <w:r>
        <w:rPr>
          <w:spacing w:val="32"/>
          <w:sz w:val="24"/>
          <w:szCs w:val="24"/>
          <w:highlight w:val="none"/>
        </w:rPr>
        <w:t xml:space="preserve"> </w:t>
      </w:r>
      <w:r>
        <w:rPr>
          <w:spacing w:val="-3"/>
          <w:sz w:val="24"/>
          <w:szCs w:val="24"/>
          <w:highlight w:val="none"/>
        </w:rPr>
        <w:t>乙方有义务妥善保管和保护由甲方提供的前款信息和资</w:t>
      </w:r>
      <w:r>
        <w:rPr>
          <w:spacing w:val="-4"/>
          <w:sz w:val="24"/>
          <w:szCs w:val="24"/>
          <w:highlight w:val="none"/>
        </w:rPr>
        <w:t>料等；</w:t>
      </w:r>
    </w:p>
    <w:p w14:paraId="1AB95C73">
      <w:pPr>
        <w:pStyle w:val="31"/>
        <w:spacing w:before="234" w:line="364" w:lineRule="auto"/>
        <w:ind w:firstLine="481"/>
        <w:rPr>
          <w:sz w:val="24"/>
          <w:szCs w:val="24"/>
          <w:highlight w:val="none"/>
        </w:rPr>
      </w:pPr>
      <w:r>
        <w:rPr>
          <w:sz w:val="24"/>
          <w:szCs w:val="24"/>
          <w:highlight w:val="none"/>
        </w:rPr>
        <w:t>2.6.3 除非依照法律规定或者对方当事人的书面同意，任何</w:t>
      </w:r>
      <w:r>
        <w:rPr>
          <w:spacing w:val="-1"/>
          <w:sz w:val="24"/>
          <w:szCs w:val="24"/>
          <w:highlight w:val="none"/>
        </w:rPr>
        <w:t>一方均应保证不</w:t>
      </w:r>
      <w:r>
        <w:rPr>
          <w:sz w:val="24"/>
          <w:szCs w:val="24"/>
          <w:highlight w:val="none"/>
        </w:rPr>
        <w:t>向任何第三方提供或披露有关合同的或者履行合同过程中知悉的对方</w:t>
      </w:r>
      <w:r>
        <w:rPr>
          <w:spacing w:val="-1"/>
          <w:sz w:val="24"/>
          <w:szCs w:val="24"/>
          <w:highlight w:val="none"/>
        </w:rPr>
        <w:t>当事人任何</w:t>
      </w:r>
      <w:r>
        <w:rPr>
          <w:sz w:val="24"/>
          <w:szCs w:val="24"/>
          <w:highlight w:val="none"/>
        </w:rPr>
        <w:t>未公开的信息和资料，包括但不限于技术情报、技术资料、商业秘密</w:t>
      </w:r>
      <w:r>
        <w:rPr>
          <w:spacing w:val="-1"/>
          <w:sz w:val="24"/>
          <w:szCs w:val="24"/>
          <w:highlight w:val="none"/>
        </w:rPr>
        <w:t>和商业信息</w:t>
      </w:r>
      <w:r>
        <w:rPr>
          <w:sz w:val="24"/>
          <w:szCs w:val="24"/>
          <w:highlight w:val="none"/>
        </w:rPr>
        <w:t>等，并采取一切合理和必要措施和方式防止任何第三方接触到对方当</w:t>
      </w:r>
      <w:r>
        <w:rPr>
          <w:spacing w:val="-1"/>
          <w:sz w:val="24"/>
          <w:szCs w:val="24"/>
          <w:highlight w:val="none"/>
        </w:rPr>
        <w:t>事人的上述</w:t>
      </w:r>
      <w:r>
        <w:rPr>
          <w:spacing w:val="-5"/>
          <w:sz w:val="24"/>
          <w:szCs w:val="24"/>
          <w:highlight w:val="none"/>
        </w:rPr>
        <w:t>保密信息和资料。</w:t>
      </w:r>
    </w:p>
    <w:p w14:paraId="5A02DF47">
      <w:pPr>
        <w:pStyle w:val="31"/>
        <w:spacing w:before="236" w:line="220" w:lineRule="auto"/>
        <w:ind w:left="482"/>
        <w:outlineLvl w:val="0"/>
        <w:rPr>
          <w:sz w:val="24"/>
          <w:szCs w:val="24"/>
          <w:highlight w:val="none"/>
        </w:rPr>
      </w:pPr>
      <w:r>
        <w:rPr>
          <w:spacing w:val="-2"/>
          <w:sz w:val="24"/>
          <w:szCs w:val="24"/>
          <w:highlight w:val="none"/>
        </w:rPr>
        <w:t>2.7 质量保证</w:t>
      </w:r>
    </w:p>
    <w:p w14:paraId="7A82A9A4">
      <w:pPr>
        <w:pStyle w:val="31"/>
        <w:spacing w:before="234" w:line="309" w:lineRule="auto"/>
        <w:ind w:left="8" w:firstLine="474"/>
        <w:rPr>
          <w:sz w:val="24"/>
          <w:szCs w:val="24"/>
          <w:highlight w:val="none"/>
        </w:rPr>
      </w:pPr>
      <w:r>
        <w:rPr>
          <w:spacing w:val="-1"/>
          <w:sz w:val="24"/>
          <w:szCs w:val="24"/>
          <w:highlight w:val="none"/>
        </w:rPr>
        <w:t>2.7.1</w:t>
      </w:r>
      <w:r>
        <w:rPr>
          <w:spacing w:val="33"/>
          <w:sz w:val="24"/>
          <w:szCs w:val="24"/>
          <w:highlight w:val="none"/>
        </w:rPr>
        <w:t xml:space="preserve"> </w:t>
      </w:r>
      <w:r>
        <w:rPr>
          <w:spacing w:val="-1"/>
          <w:sz w:val="24"/>
          <w:szCs w:val="24"/>
          <w:highlight w:val="none"/>
        </w:rPr>
        <w:t>乙方应建立和完善履行合同的内部质量保证体系，并提供</w:t>
      </w:r>
      <w:r>
        <w:rPr>
          <w:spacing w:val="-2"/>
          <w:sz w:val="24"/>
          <w:szCs w:val="24"/>
          <w:highlight w:val="none"/>
        </w:rPr>
        <w:t>相关内部规</w:t>
      </w:r>
      <w:r>
        <w:rPr>
          <w:spacing w:val="-4"/>
          <w:sz w:val="24"/>
          <w:szCs w:val="24"/>
          <w:highlight w:val="none"/>
        </w:rPr>
        <w:t>章制度给甲方，以便甲方进行监督检查；</w:t>
      </w:r>
    </w:p>
    <w:p w14:paraId="29245C2A">
      <w:pPr>
        <w:pStyle w:val="31"/>
        <w:spacing w:before="237" w:line="310" w:lineRule="auto"/>
        <w:ind w:firstLine="482"/>
        <w:rPr>
          <w:sz w:val="24"/>
          <w:szCs w:val="24"/>
          <w:highlight w:val="none"/>
        </w:rPr>
      </w:pPr>
      <w:r>
        <w:rPr>
          <w:spacing w:val="-1"/>
          <w:sz w:val="24"/>
          <w:szCs w:val="24"/>
          <w:highlight w:val="none"/>
        </w:rPr>
        <w:t>2.7.2</w:t>
      </w:r>
      <w:r>
        <w:rPr>
          <w:spacing w:val="33"/>
          <w:sz w:val="24"/>
          <w:szCs w:val="24"/>
          <w:highlight w:val="none"/>
        </w:rPr>
        <w:t xml:space="preserve"> </w:t>
      </w:r>
      <w:r>
        <w:rPr>
          <w:spacing w:val="-1"/>
          <w:sz w:val="24"/>
          <w:szCs w:val="24"/>
          <w:highlight w:val="none"/>
        </w:rPr>
        <w:t>乙方应保证履行合同的人员数量和素质、软件和硬件设备</w:t>
      </w:r>
      <w:r>
        <w:rPr>
          <w:spacing w:val="-2"/>
          <w:sz w:val="24"/>
          <w:szCs w:val="24"/>
          <w:highlight w:val="none"/>
        </w:rPr>
        <w:t>的配置、场</w:t>
      </w:r>
      <w:r>
        <w:rPr>
          <w:spacing w:val="-1"/>
          <w:sz w:val="24"/>
          <w:szCs w:val="24"/>
          <w:highlight w:val="none"/>
        </w:rPr>
        <w:t>地、环境和设施等满足全面履行合同的要求，</w:t>
      </w:r>
      <w:r>
        <w:rPr>
          <w:spacing w:val="-2"/>
          <w:sz w:val="24"/>
          <w:szCs w:val="24"/>
          <w:highlight w:val="none"/>
        </w:rPr>
        <w:t>并应接受甲方的监督检查。</w:t>
      </w:r>
    </w:p>
    <w:p w14:paraId="03B8BE63">
      <w:pPr>
        <w:pStyle w:val="31"/>
        <w:spacing w:before="233" w:line="220" w:lineRule="auto"/>
        <w:ind w:left="482"/>
        <w:outlineLvl w:val="0"/>
        <w:rPr>
          <w:sz w:val="24"/>
          <w:szCs w:val="24"/>
          <w:highlight w:val="none"/>
        </w:rPr>
      </w:pPr>
      <w:r>
        <w:rPr>
          <w:spacing w:val="-2"/>
          <w:sz w:val="24"/>
          <w:szCs w:val="24"/>
          <w:highlight w:val="none"/>
        </w:rPr>
        <w:t>2.8 延迟履行</w:t>
      </w:r>
    </w:p>
    <w:p w14:paraId="0B06D251">
      <w:pPr>
        <w:pStyle w:val="31"/>
        <w:spacing w:before="235" w:line="400" w:lineRule="auto"/>
        <w:ind w:firstLine="478"/>
        <w:jc w:val="both"/>
        <w:rPr>
          <w:sz w:val="24"/>
          <w:szCs w:val="24"/>
          <w:highlight w:val="none"/>
        </w:rPr>
      </w:pPr>
      <w:r>
        <w:rPr>
          <w:sz w:val="24"/>
          <w:szCs w:val="24"/>
          <w:highlight w:val="none"/>
        </w:rPr>
        <w:t>在合同履行过程中，如果乙方遇到不能按时提供服务的情况，应及时</w:t>
      </w:r>
      <w:r>
        <w:rPr>
          <w:spacing w:val="-1"/>
          <w:sz w:val="24"/>
          <w:szCs w:val="24"/>
          <w:highlight w:val="none"/>
        </w:rPr>
        <w:t>以书面</w:t>
      </w:r>
      <w:r>
        <w:rPr>
          <w:spacing w:val="-6"/>
          <w:sz w:val="24"/>
          <w:szCs w:val="24"/>
          <w:highlight w:val="none"/>
        </w:rPr>
        <w:t>形式将不能按时提供服务的理由、预期延误时间通知甲方；</w:t>
      </w:r>
      <w:r>
        <w:rPr>
          <w:spacing w:val="-29"/>
          <w:sz w:val="24"/>
          <w:szCs w:val="24"/>
          <w:highlight w:val="none"/>
        </w:rPr>
        <w:t xml:space="preserve"> </w:t>
      </w:r>
      <w:r>
        <w:rPr>
          <w:spacing w:val="-6"/>
          <w:sz w:val="24"/>
          <w:szCs w:val="24"/>
          <w:highlight w:val="none"/>
        </w:rPr>
        <w:t>甲方收到乙方通知后,</w:t>
      </w:r>
      <w:r>
        <w:rPr>
          <w:spacing w:val="-1"/>
          <w:sz w:val="24"/>
          <w:szCs w:val="24"/>
          <w:highlight w:val="none"/>
        </w:rPr>
        <w:t>认为其理由正当的，可以书面形式酌情同意乙方可</w:t>
      </w:r>
      <w:r>
        <w:rPr>
          <w:spacing w:val="-2"/>
          <w:sz w:val="24"/>
          <w:szCs w:val="24"/>
          <w:highlight w:val="none"/>
        </w:rPr>
        <w:t>以延长履行的具体时间。</w:t>
      </w:r>
    </w:p>
    <w:p w14:paraId="04C45AA3">
      <w:pPr>
        <w:pStyle w:val="31"/>
        <w:spacing w:before="1" w:line="220" w:lineRule="auto"/>
        <w:ind w:left="482"/>
        <w:outlineLvl w:val="0"/>
        <w:rPr>
          <w:sz w:val="24"/>
          <w:szCs w:val="24"/>
          <w:highlight w:val="none"/>
        </w:rPr>
      </w:pPr>
      <w:r>
        <w:rPr>
          <w:spacing w:val="-2"/>
          <w:sz w:val="24"/>
          <w:szCs w:val="24"/>
          <w:highlight w:val="none"/>
        </w:rPr>
        <w:t>2.9 合同变更</w:t>
      </w:r>
    </w:p>
    <w:p w14:paraId="75A3185F">
      <w:pPr>
        <w:pStyle w:val="31"/>
        <w:spacing w:before="235" w:line="400" w:lineRule="auto"/>
        <w:ind w:right="13" w:firstLine="481"/>
        <w:rPr>
          <w:sz w:val="24"/>
          <w:szCs w:val="24"/>
          <w:highlight w:val="none"/>
        </w:rPr>
      </w:pPr>
      <w:r>
        <w:rPr>
          <w:spacing w:val="-1"/>
          <w:sz w:val="24"/>
          <w:szCs w:val="24"/>
          <w:highlight w:val="none"/>
        </w:rPr>
        <w:t>2.9.1 双方当事人协商一致，可以签订书面补充合同的形式变更合同，但不得违背采购文件确定的事项；</w:t>
      </w:r>
    </w:p>
    <w:p w14:paraId="41E71032">
      <w:pPr>
        <w:spacing w:line="400" w:lineRule="auto"/>
        <w:rPr>
          <w:sz w:val="24"/>
          <w:szCs w:val="24"/>
          <w:highlight w:val="none"/>
        </w:rPr>
        <w:sectPr>
          <w:footerReference r:id="rId7" w:type="default"/>
          <w:pgSz w:w="11907" w:h="16839"/>
          <w:pgMar w:top="400" w:right="1728" w:bottom="1190" w:left="1781" w:header="0" w:footer="988" w:gutter="0"/>
          <w:pgBorders>
            <w:top w:val="none" w:sz="0" w:space="0"/>
            <w:left w:val="none" w:sz="0" w:space="0"/>
            <w:bottom w:val="none" w:sz="0" w:space="0"/>
            <w:right w:val="none" w:sz="0" w:space="0"/>
          </w:pgBorders>
          <w:pgNumType w:fmt="decimal"/>
          <w:cols w:space="720" w:num="1"/>
        </w:sectPr>
      </w:pPr>
    </w:p>
    <w:p w14:paraId="7AA48CE8">
      <w:pPr>
        <w:spacing w:line="281" w:lineRule="auto"/>
        <w:rPr>
          <w:rFonts w:ascii="Arial"/>
          <w:sz w:val="21"/>
          <w:highlight w:val="none"/>
        </w:rPr>
      </w:pPr>
    </w:p>
    <w:p w14:paraId="750D9BA2">
      <w:pPr>
        <w:spacing w:line="281" w:lineRule="auto"/>
        <w:rPr>
          <w:rFonts w:ascii="Arial"/>
          <w:sz w:val="21"/>
          <w:highlight w:val="none"/>
        </w:rPr>
      </w:pPr>
    </w:p>
    <w:p w14:paraId="7D50A301">
      <w:pPr>
        <w:spacing w:line="282" w:lineRule="auto"/>
        <w:rPr>
          <w:rFonts w:ascii="Arial"/>
          <w:sz w:val="21"/>
          <w:highlight w:val="none"/>
        </w:rPr>
      </w:pPr>
    </w:p>
    <w:p w14:paraId="6BE9CFDC">
      <w:pPr>
        <w:pStyle w:val="31"/>
        <w:spacing w:before="78" w:line="400" w:lineRule="auto"/>
        <w:ind w:left="5" w:firstLine="478"/>
        <w:jc w:val="both"/>
        <w:rPr>
          <w:sz w:val="24"/>
          <w:szCs w:val="24"/>
          <w:highlight w:val="none"/>
        </w:rPr>
      </w:pPr>
      <w:r>
        <w:rPr>
          <w:sz w:val="24"/>
          <w:szCs w:val="24"/>
          <w:highlight w:val="none"/>
        </w:rPr>
        <w:t>2.9.2 合同继续履行将损害国家利益和社会公共利益的，双</w:t>
      </w:r>
      <w:r>
        <w:rPr>
          <w:spacing w:val="-1"/>
          <w:sz w:val="24"/>
          <w:szCs w:val="24"/>
          <w:highlight w:val="none"/>
        </w:rPr>
        <w:t>方当事人应当以</w:t>
      </w:r>
      <w:r>
        <w:rPr>
          <w:spacing w:val="-9"/>
          <w:sz w:val="24"/>
          <w:szCs w:val="24"/>
          <w:highlight w:val="none"/>
        </w:rPr>
        <w:t>书面形式变更合同。有过错的一方应当承担赔偿责任，双方当事人都有过错的，</w:t>
      </w:r>
      <w:r>
        <w:rPr>
          <w:spacing w:val="-43"/>
          <w:sz w:val="24"/>
          <w:szCs w:val="24"/>
          <w:highlight w:val="none"/>
        </w:rPr>
        <w:t xml:space="preserve"> </w:t>
      </w:r>
      <w:r>
        <w:rPr>
          <w:spacing w:val="-9"/>
          <w:sz w:val="24"/>
          <w:szCs w:val="24"/>
          <w:highlight w:val="none"/>
        </w:rPr>
        <w:t>各</w:t>
      </w:r>
      <w:r>
        <w:rPr>
          <w:spacing w:val="-5"/>
          <w:sz w:val="24"/>
          <w:szCs w:val="24"/>
          <w:highlight w:val="none"/>
        </w:rPr>
        <w:t>自承担相应的责任。</w:t>
      </w:r>
    </w:p>
    <w:p w14:paraId="1504BC02">
      <w:pPr>
        <w:pStyle w:val="31"/>
        <w:spacing w:line="220" w:lineRule="auto"/>
        <w:ind w:left="483"/>
        <w:outlineLvl w:val="0"/>
        <w:rPr>
          <w:sz w:val="24"/>
          <w:szCs w:val="24"/>
          <w:highlight w:val="none"/>
        </w:rPr>
      </w:pPr>
      <w:r>
        <w:rPr>
          <w:spacing w:val="-1"/>
          <w:sz w:val="24"/>
          <w:szCs w:val="24"/>
          <w:highlight w:val="none"/>
        </w:rPr>
        <w:t>2.10 合同转让和分包</w:t>
      </w:r>
    </w:p>
    <w:p w14:paraId="1BD344F4">
      <w:pPr>
        <w:pStyle w:val="31"/>
        <w:spacing w:before="233" w:line="400" w:lineRule="auto"/>
        <w:ind w:left="2" w:right="2" w:firstLine="478"/>
        <w:jc w:val="both"/>
        <w:rPr>
          <w:sz w:val="24"/>
          <w:szCs w:val="24"/>
          <w:highlight w:val="none"/>
        </w:rPr>
      </w:pPr>
      <w:r>
        <w:rPr>
          <w:sz w:val="24"/>
          <w:szCs w:val="24"/>
          <w:highlight w:val="none"/>
        </w:rPr>
        <w:t>合同的权利义务依法不得转让，但经甲方同意，乙方可以依法采</w:t>
      </w:r>
      <w:r>
        <w:rPr>
          <w:spacing w:val="-1"/>
          <w:sz w:val="24"/>
          <w:szCs w:val="24"/>
          <w:highlight w:val="none"/>
        </w:rPr>
        <w:t>取分包方式</w:t>
      </w:r>
      <w:r>
        <w:rPr>
          <w:sz w:val="24"/>
          <w:szCs w:val="24"/>
          <w:highlight w:val="none"/>
        </w:rPr>
        <w:t>履行合同，即：依法可以将合同项下的部分非主体、非关键性工作</w:t>
      </w:r>
      <w:r>
        <w:rPr>
          <w:spacing w:val="-1"/>
          <w:sz w:val="24"/>
          <w:szCs w:val="24"/>
          <w:highlight w:val="none"/>
        </w:rPr>
        <w:t>分包给他人完</w:t>
      </w:r>
      <w:r>
        <w:rPr>
          <w:sz w:val="24"/>
          <w:szCs w:val="24"/>
          <w:highlight w:val="none"/>
        </w:rPr>
        <w:t>成，接受分包的人应当具备相应的资格条件，并不得再次分包，且</w:t>
      </w:r>
      <w:r>
        <w:rPr>
          <w:spacing w:val="-1"/>
          <w:sz w:val="24"/>
          <w:szCs w:val="24"/>
          <w:highlight w:val="none"/>
        </w:rPr>
        <w:t>乙方应就分包</w:t>
      </w:r>
      <w:r>
        <w:rPr>
          <w:spacing w:val="-2"/>
          <w:sz w:val="24"/>
          <w:szCs w:val="24"/>
          <w:highlight w:val="none"/>
        </w:rPr>
        <w:t>项目向甲方负责，并与分包供应商就分包项目向甲方承担连带责任。</w:t>
      </w:r>
    </w:p>
    <w:p w14:paraId="1563AEA2">
      <w:pPr>
        <w:pStyle w:val="31"/>
        <w:spacing w:line="219" w:lineRule="auto"/>
        <w:ind w:left="483"/>
        <w:outlineLvl w:val="0"/>
        <w:rPr>
          <w:sz w:val="24"/>
          <w:szCs w:val="24"/>
          <w:highlight w:val="none"/>
        </w:rPr>
      </w:pPr>
      <w:r>
        <w:rPr>
          <w:spacing w:val="-3"/>
          <w:sz w:val="24"/>
          <w:szCs w:val="24"/>
          <w:highlight w:val="none"/>
        </w:rPr>
        <w:t>2.11</w:t>
      </w:r>
      <w:r>
        <w:rPr>
          <w:spacing w:val="14"/>
          <w:sz w:val="24"/>
          <w:szCs w:val="24"/>
          <w:highlight w:val="none"/>
        </w:rPr>
        <w:t xml:space="preserve"> </w:t>
      </w:r>
      <w:r>
        <w:rPr>
          <w:spacing w:val="-3"/>
          <w:sz w:val="24"/>
          <w:szCs w:val="24"/>
          <w:highlight w:val="none"/>
        </w:rPr>
        <w:t>不可抗力</w:t>
      </w:r>
    </w:p>
    <w:p w14:paraId="151F63AE">
      <w:pPr>
        <w:pStyle w:val="31"/>
        <w:spacing w:before="235" w:line="310" w:lineRule="auto"/>
        <w:ind w:left="1" w:right="3" w:firstLine="481"/>
        <w:rPr>
          <w:sz w:val="24"/>
          <w:szCs w:val="24"/>
          <w:highlight w:val="none"/>
        </w:rPr>
      </w:pPr>
      <w:r>
        <w:rPr>
          <w:spacing w:val="-3"/>
          <w:sz w:val="24"/>
          <w:szCs w:val="24"/>
          <w:highlight w:val="none"/>
        </w:rPr>
        <w:t>2.11.1 如果任何一方遭遇法律规定</w:t>
      </w:r>
      <w:r>
        <w:rPr>
          <w:spacing w:val="-4"/>
          <w:sz w:val="24"/>
          <w:szCs w:val="24"/>
          <w:highlight w:val="none"/>
        </w:rPr>
        <w:t>的不可抗力，致使合同履行受阻时，履行</w:t>
      </w:r>
      <w:r>
        <w:rPr>
          <w:spacing w:val="-2"/>
          <w:sz w:val="24"/>
          <w:szCs w:val="24"/>
          <w:highlight w:val="none"/>
        </w:rPr>
        <w:t>合同的期限应予延长，延长的期限应相当于不可抗力所</w:t>
      </w:r>
      <w:r>
        <w:rPr>
          <w:spacing w:val="-3"/>
          <w:sz w:val="24"/>
          <w:szCs w:val="24"/>
          <w:highlight w:val="none"/>
        </w:rPr>
        <w:t>影响的时间；</w:t>
      </w:r>
    </w:p>
    <w:p w14:paraId="46B488C4">
      <w:pPr>
        <w:pStyle w:val="31"/>
        <w:spacing w:before="233" w:line="220" w:lineRule="auto"/>
        <w:ind w:left="483"/>
        <w:rPr>
          <w:sz w:val="24"/>
          <w:szCs w:val="24"/>
          <w:highlight w:val="none"/>
        </w:rPr>
      </w:pPr>
      <w:r>
        <w:rPr>
          <w:spacing w:val="-2"/>
          <w:sz w:val="24"/>
          <w:szCs w:val="24"/>
          <w:highlight w:val="none"/>
        </w:rPr>
        <w:t>2.11.2 因不可抗力致使不能实现合同目的的，当事人可以解除合同；</w:t>
      </w:r>
    </w:p>
    <w:p w14:paraId="0AAA2E1F">
      <w:pPr>
        <w:pStyle w:val="31"/>
        <w:spacing w:before="234" w:line="310" w:lineRule="auto"/>
        <w:ind w:left="6" w:right="2" w:firstLine="477"/>
        <w:rPr>
          <w:sz w:val="24"/>
          <w:szCs w:val="24"/>
          <w:highlight w:val="none"/>
        </w:rPr>
      </w:pPr>
      <w:r>
        <w:rPr>
          <w:spacing w:val="-4"/>
          <w:sz w:val="24"/>
          <w:szCs w:val="24"/>
          <w:highlight w:val="none"/>
        </w:rPr>
        <w:t>2.11.3</w:t>
      </w:r>
      <w:r>
        <w:rPr>
          <w:spacing w:val="28"/>
          <w:sz w:val="24"/>
          <w:szCs w:val="24"/>
          <w:highlight w:val="none"/>
        </w:rPr>
        <w:t xml:space="preserve"> </w:t>
      </w:r>
      <w:r>
        <w:rPr>
          <w:spacing w:val="-4"/>
          <w:sz w:val="24"/>
          <w:szCs w:val="24"/>
          <w:highlight w:val="none"/>
        </w:rPr>
        <w:t>因不可抗力致使合同有变更必要的，双方当</w:t>
      </w:r>
      <w:r>
        <w:rPr>
          <w:spacing w:val="-5"/>
          <w:sz w:val="24"/>
          <w:szCs w:val="24"/>
          <w:highlight w:val="none"/>
        </w:rPr>
        <w:t>事人应在</w:t>
      </w:r>
      <w:r>
        <w:rPr>
          <w:spacing w:val="-5"/>
          <w:sz w:val="24"/>
          <w:szCs w:val="24"/>
          <w:highlight w:val="none"/>
          <w:u w:val="single" w:color="auto"/>
        </w:rPr>
        <w:t>合同专用条款</w:t>
      </w:r>
      <w:r>
        <w:rPr>
          <w:spacing w:val="-5"/>
          <w:sz w:val="24"/>
          <w:szCs w:val="24"/>
          <w:highlight w:val="none"/>
        </w:rPr>
        <w:t>约定时间内以书面形式变更合同；</w:t>
      </w:r>
    </w:p>
    <w:p w14:paraId="0AE2CAE4">
      <w:pPr>
        <w:pStyle w:val="31"/>
        <w:spacing w:before="236" w:line="340" w:lineRule="auto"/>
        <w:ind w:left="5" w:firstLine="478"/>
        <w:rPr>
          <w:sz w:val="24"/>
          <w:szCs w:val="24"/>
          <w:highlight w:val="none"/>
        </w:rPr>
      </w:pPr>
      <w:r>
        <w:rPr>
          <w:spacing w:val="-3"/>
          <w:sz w:val="24"/>
          <w:szCs w:val="24"/>
          <w:highlight w:val="none"/>
        </w:rPr>
        <w:t>2.11.4 受不可抗力影响的一方在不可抗</w:t>
      </w:r>
      <w:r>
        <w:rPr>
          <w:spacing w:val="-4"/>
          <w:sz w:val="24"/>
          <w:szCs w:val="24"/>
          <w:highlight w:val="none"/>
        </w:rPr>
        <w:t>力发生后，应在</w:t>
      </w:r>
      <w:r>
        <w:rPr>
          <w:spacing w:val="-4"/>
          <w:sz w:val="24"/>
          <w:szCs w:val="24"/>
          <w:highlight w:val="none"/>
          <w:u w:val="single" w:color="auto"/>
        </w:rPr>
        <w:t>合同专用条款</w:t>
      </w:r>
      <w:r>
        <w:rPr>
          <w:spacing w:val="-4"/>
          <w:sz w:val="24"/>
          <w:szCs w:val="24"/>
          <w:highlight w:val="none"/>
        </w:rPr>
        <w:t>约定时</w:t>
      </w:r>
      <w:r>
        <w:rPr>
          <w:sz w:val="24"/>
          <w:szCs w:val="24"/>
          <w:highlight w:val="none"/>
        </w:rPr>
        <w:t>间内以书面形式通知对方当事人，并在</w:t>
      </w:r>
      <w:r>
        <w:rPr>
          <w:sz w:val="24"/>
          <w:szCs w:val="24"/>
          <w:highlight w:val="none"/>
          <w:u w:val="single" w:color="auto"/>
        </w:rPr>
        <w:t>合同专用条款</w:t>
      </w:r>
      <w:r>
        <w:rPr>
          <w:sz w:val="24"/>
          <w:szCs w:val="24"/>
          <w:highlight w:val="none"/>
        </w:rPr>
        <w:t>约定时间</w:t>
      </w:r>
      <w:r>
        <w:rPr>
          <w:spacing w:val="-1"/>
          <w:sz w:val="24"/>
          <w:szCs w:val="24"/>
          <w:highlight w:val="none"/>
        </w:rPr>
        <w:t>内，将有关部门出</w:t>
      </w:r>
      <w:r>
        <w:rPr>
          <w:spacing w:val="-4"/>
          <w:sz w:val="24"/>
          <w:szCs w:val="24"/>
          <w:highlight w:val="none"/>
        </w:rPr>
        <w:t>具的证明文件送达对方当事人。</w:t>
      </w:r>
    </w:p>
    <w:p w14:paraId="4F03A02B">
      <w:pPr>
        <w:pStyle w:val="31"/>
        <w:spacing w:before="233" w:line="220" w:lineRule="auto"/>
        <w:ind w:left="483"/>
        <w:outlineLvl w:val="0"/>
        <w:rPr>
          <w:sz w:val="24"/>
          <w:szCs w:val="24"/>
          <w:highlight w:val="none"/>
        </w:rPr>
      </w:pPr>
      <w:r>
        <w:rPr>
          <w:spacing w:val="-3"/>
          <w:sz w:val="24"/>
          <w:szCs w:val="24"/>
          <w:highlight w:val="none"/>
        </w:rPr>
        <w:t>2.12</w:t>
      </w:r>
      <w:r>
        <w:rPr>
          <w:spacing w:val="8"/>
          <w:sz w:val="24"/>
          <w:szCs w:val="24"/>
          <w:highlight w:val="none"/>
        </w:rPr>
        <w:t xml:space="preserve"> </w:t>
      </w:r>
      <w:r>
        <w:rPr>
          <w:spacing w:val="-3"/>
          <w:sz w:val="24"/>
          <w:szCs w:val="24"/>
          <w:highlight w:val="none"/>
        </w:rPr>
        <w:t>税费</w:t>
      </w:r>
    </w:p>
    <w:p w14:paraId="67BDA870">
      <w:pPr>
        <w:pStyle w:val="31"/>
        <w:spacing w:before="234" w:line="220" w:lineRule="auto"/>
        <w:ind w:left="485"/>
        <w:rPr>
          <w:sz w:val="24"/>
          <w:szCs w:val="24"/>
          <w:highlight w:val="none"/>
        </w:rPr>
      </w:pPr>
      <w:r>
        <w:rPr>
          <w:spacing w:val="-2"/>
          <w:sz w:val="24"/>
          <w:szCs w:val="24"/>
          <w:highlight w:val="none"/>
        </w:rPr>
        <w:t>与合同有关的一切税费，均按照中华人民共和国法律的相关规定缴纳。</w:t>
      </w:r>
    </w:p>
    <w:p w14:paraId="2019C273">
      <w:pPr>
        <w:pStyle w:val="31"/>
        <w:spacing w:before="235" w:line="220" w:lineRule="auto"/>
        <w:ind w:left="483"/>
        <w:outlineLvl w:val="0"/>
        <w:rPr>
          <w:sz w:val="24"/>
          <w:szCs w:val="24"/>
          <w:highlight w:val="none"/>
        </w:rPr>
      </w:pPr>
      <w:r>
        <w:rPr>
          <w:spacing w:val="-5"/>
          <w:sz w:val="24"/>
          <w:szCs w:val="24"/>
          <w:highlight w:val="none"/>
        </w:rPr>
        <w:t>2.13</w:t>
      </w:r>
      <w:r>
        <w:rPr>
          <w:spacing w:val="34"/>
          <w:sz w:val="24"/>
          <w:szCs w:val="24"/>
          <w:highlight w:val="none"/>
        </w:rPr>
        <w:t xml:space="preserve"> </w:t>
      </w:r>
      <w:r>
        <w:rPr>
          <w:spacing w:val="-5"/>
          <w:sz w:val="24"/>
          <w:szCs w:val="24"/>
          <w:highlight w:val="none"/>
        </w:rPr>
        <w:t>乙方破产</w:t>
      </w:r>
    </w:p>
    <w:p w14:paraId="5E294CA2">
      <w:pPr>
        <w:pStyle w:val="31"/>
        <w:spacing w:before="233" w:line="400" w:lineRule="auto"/>
        <w:ind w:right="2" w:firstLine="484"/>
        <w:jc w:val="both"/>
        <w:rPr>
          <w:sz w:val="24"/>
          <w:szCs w:val="24"/>
          <w:highlight w:val="none"/>
        </w:rPr>
      </w:pPr>
      <w:r>
        <w:rPr>
          <w:sz w:val="24"/>
          <w:szCs w:val="24"/>
          <w:highlight w:val="none"/>
        </w:rPr>
        <w:t>如果乙方破产导致合同无法履行时，甲方可以书面形式通</w:t>
      </w:r>
      <w:r>
        <w:rPr>
          <w:spacing w:val="-1"/>
          <w:sz w:val="24"/>
          <w:szCs w:val="24"/>
          <w:highlight w:val="none"/>
        </w:rPr>
        <w:t>知乙方终止合同且</w:t>
      </w:r>
      <w:r>
        <w:rPr>
          <w:sz w:val="24"/>
          <w:szCs w:val="24"/>
          <w:highlight w:val="none"/>
        </w:rPr>
        <w:t>不给予乙方任何补偿和赔偿，但合同的终止不损害或不影响甲方已经采取</w:t>
      </w:r>
      <w:r>
        <w:rPr>
          <w:spacing w:val="-1"/>
          <w:sz w:val="24"/>
          <w:szCs w:val="24"/>
          <w:highlight w:val="none"/>
        </w:rPr>
        <w:t>或将要采取的任何要求乙方支付违约金、赔偿损失等的</w:t>
      </w:r>
      <w:r>
        <w:rPr>
          <w:spacing w:val="-2"/>
          <w:sz w:val="24"/>
          <w:szCs w:val="24"/>
          <w:highlight w:val="none"/>
        </w:rPr>
        <w:t>行动或补救措施的权利。</w:t>
      </w:r>
    </w:p>
    <w:p w14:paraId="2C6DC164">
      <w:pPr>
        <w:pStyle w:val="31"/>
        <w:spacing w:before="1" w:line="220" w:lineRule="auto"/>
        <w:ind w:left="483"/>
        <w:outlineLvl w:val="0"/>
        <w:rPr>
          <w:sz w:val="24"/>
          <w:szCs w:val="24"/>
          <w:highlight w:val="none"/>
        </w:rPr>
      </w:pPr>
      <w:r>
        <w:rPr>
          <w:spacing w:val="-1"/>
          <w:sz w:val="24"/>
          <w:szCs w:val="24"/>
          <w:highlight w:val="none"/>
        </w:rPr>
        <w:t>2.14 合同中止、终止</w:t>
      </w:r>
    </w:p>
    <w:p w14:paraId="77DA47D9">
      <w:pPr>
        <w:pStyle w:val="31"/>
        <w:spacing w:before="233" w:line="220" w:lineRule="auto"/>
        <w:ind w:left="483"/>
        <w:rPr>
          <w:sz w:val="24"/>
          <w:szCs w:val="24"/>
          <w:highlight w:val="none"/>
        </w:rPr>
      </w:pPr>
      <w:r>
        <w:rPr>
          <w:spacing w:val="-3"/>
          <w:sz w:val="24"/>
          <w:szCs w:val="24"/>
          <w:highlight w:val="none"/>
        </w:rPr>
        <w:t>2.14.1 双方当事人不得擅自中止或者终止合同；</w:t>
      </w:r>
    </w:p>
    <w:p w14:paraId="6661AA7D">
      <w:pPr>
        <w:pStyle w:val="31"/>
        <w:spacing w:before="235" w:line="401" w:lineRule="auto"/>
        <w:ind w:left="1" w:right="2" w:firstLine="481"/>
        <w:rPr>
          <w:sz w:val="24"/>
          <w:szCs w:val="24"/>
          <w:highlight w:val="none"/>
        </w:rPr>
      </w:pPr>
      <w:r>
        <w:rPr>
          <w:spacing w:val="-3"/>
          <w:sz w:val="24"/>
          <w:szCs w:val="24"/>
          <w:highlight w:val="none"/>
        </w:rPr>
        <w:t>2.14.2 合同继续履行将损害国家利</w:t>
      </w:r>
      <w:r>
        <w:rPr>
          <w:spacing w:val="-4"/>
          <w:sz w:val="24"/>
          <w:szCs w:val="24"/>
          <w:highlight w:val="none"/>
        </w:rPr>
        <w:t>益和社会公共利益的，双方当事人应当中</w:t>
      </w:r>
      <w:r>
        <w:rPr>
          <w:sz w:val="24"/>
          <w:szCs w:val="24"/>
          <w:highlight w:val="none"/>
        </w:rPr>
        <w:t>止或者终止合同。有过错的一方应当承担赔偿责任，双方当事人都有</w:t>
      </w:r>
      <w:r>
        <w:rPr>
          <w:spacing w:val="-1"/>
          <w:sz w:val="24"/>
          <w:szCs w:val="24"/>
          <w:highlight w:val="none"/>
        </w:rPr>
        <w:t>过错的，各</w:t>
      </w:r>
    </w:p>
    <w:p w14:paraId="18E833C6">
      <w:pPr>
        <w:spacing w:line="401" w:lineRule="auto"/>
        <w:rPr>
          <w:sz w:val="24"/>
          <w:szCs w:val="24"/>
          <w:highlight w:val="none"/>
        </w:rPr>
        <w:sectPr>
          <w:footerReference r:id="rId8" w:type="default"/>
          <w:pgSz w:w="11907" w:h="16839"/>
          <w:pgMar w:top="400" w:right="1726" w:bottom="1190" w:left="1780" w:header="0" w:footer="990" w:gutter="0"/>
          <w:pgBorders>
            <w:top w:val="none" w:sz="0" w:space="0"/>
            <w:left w:val="none" w:sz="0" w:space="0"/>
            <w:bottom w:val="none" w:sz="0" w:space="0"/>
            <w:right w:val="none" w:sz="0" w:space="0"/>
          </w:pgBorders>
          <w:pgNumType w:fmt="decimal"/>
          <w:cols w:space="720" w:num="1"/>
        </w:sectPr>
      </w:pPr>
    </w:p>
    <w:p w14:paraId="51DCAD32">
      <w:pPr>
        <w:pStyle w:val="31"/>
        <w:spacing w:before="215" w:line="220" w:lineRule="auto"/>
        <w:ind w:left="484"/>
        <w:outlineLvl w:val="0"/>
        <w:rPr>
          <w:sz w:val="24"/>
          <w:szCs w:val="24"/>
          <w:highlight w:val="none"/>
        </w:rPr>
      </w:pPr>
      <w:r>
        <w:rPr>
          <w:spacing w:val="-2"/>
          <w:sz w:val="24"/>
          <w:szCs w:val="24"/>
          <w:highlight w:val="none"/>
        </w:rPr>
        <w:t>2.15 检验和验收</w:t>
      </w:r>
    </w:p>
    <w:p w14:paraId="139A1EB7">
      <w:pPr>
        <w:pStyle w:val="31"/>
        <w:spacing w:before="233" w:line="310" w:lineRule="auto"/>
        <w:ind w:left="3" w:right="1" w:firstLine="480"/>
        <w:rPr>
          <w:sz w:val="24"/>
          <w:szCs w:val="24"/>
          <w:highlight w:val="none"/>
        </w:rPr>
      </w:pPr>
      <w:r>
        <w:rPr>
          <w:spacing w:val="-4"/>
          <w:sz w:val="24"/>
          <w:szCs w:val="24"/>
          <w:highlight w:val="none"/>
        </w:rPr>
        <w:t>2.15.1</w:t>
      </w:r>
      <w:r>
        <w:rPr>
          <w:spacing w:val="33"/>
          <w:sz w:val="24"/>
          <w:szCs w:val="24"/>
          <w:highlight w:val="none"/>
        </w:rPr>
        <w:t xml:space="preserve"> </w:t>
      </w:r>
      <w:r>
        <w:rPr>
          <w:spacing w:val="-4"/>
          <w:sz w:val="24"/>
          <w:szCs w:val="24"/>
          <w:highlight w:val="none"/>
        </w:rPr>
        <w:t>乙方按照</w:t>
      </w:r>
      <w:r>
        <w:rPr>
          <w:spacing w:val="-4"/>
          <w:sz w:val="24"/>
          <w:szCs w:val="24"/>
          <w:highlight w:val="none"/>
          <w:u w:val="single" w:color="auto"/>
        </w:rPr>
        <w:t>合同专用条款</w:t>
      </w:r>
      <w:r>
        <w:rPr>
          <w:spacing w:val="-4"/>
          <w:sz w:val="24"/>
          <w:szCs w:val="24"/>
          <w:highlight w:val="none"/>
        </w:rPr>
        <w:t>的约定，</w:t>
      </w:r>
      <w:r>
        <w:rPr>
          <w:spacing w:val="-5"/>
          <w:sz w:val="24"/>
          <w:szCs w:val="24"/>
          <w:highlight w:val="none"/>
        </w:rPr>
        <w:t>定期提交服务报告，甲方按照</w:t>
      </w:r>
      <w:r>
        <w:rPr>
          <w:spacing w:val="-5"/>
          <w:sz w:val="24"/>
          <w:szCs w:val="24"/>
          <w:highlight w:val="none"/>
          <w:u w:val="single" w:color="auto"/>
        </w:rPr>
        <w:t>合同专用条款</w:t>
      </w:r>
      <w:r>
        <w:rPr>
          <w:spacing w:val="-5"/>
          <w:sz w:val="24"/>
          <w:szCs w:val="24"/>
          <w:highlight w:val="none"/>
        </w:rPr>
        <w:t>的约定进行定期验收；</w:t>
      </w:r>
    </w:p>
    <w:p w14:paraId="0FB30CD8">
      <w:pPr>
        <w:pStyle w:val="31"/>
        <w:spacing w:before="232" w:line="355" w:lineRule="auto"/>
        <w:ind w:firstLine="484"/>
        <w:rPr>
          <w:sz w:val="24"/>
          <w:szCs w:val="24"/>
          <w:highlight w:val="none"/>
        </w:rPr>
      </w:pPr>
      <w:r>
        <w:rPr>
          <w:sz w:val="24"/>
          <w:szCs w:val="24"/>
          <w:highlight w:val="none"/>
        </w:rPr>
        <w:t>2.15.2 合同期满或者履行完毕后，甲方有权组织(包括依法邀</w:t>
      </w:r>
      <w:r>
        <w:rPr>
          <w:spacing w:val="-1"/>
          <w:sz w:val="24"/>
          <w:szCs w:val="24"/>
          <w:highlight w:val="none"/>
        </w:rPr>
        <w:t>请国家认可的</w:t>
      </w:r>
      <w:r>
        <w:rPr>
          <w:sz w:val="24"/>
          <w:szCs w:val="24"/>
          <w:highlight w:val="none"/>
        </w:rPr>
        <w:t>质量检测机构参加) 对乙方履约的验收，即：按照合同约定的标准，组织对</w:t>
      </w:r>
      <w:r>
        <w:rPr>
          <w:spacing w:val="-1"/>
          <w:sz w:val="24"/>
          <w:szCs w:val="24"/>
          <w:highlight w:val="none"/>
        </w:rPr>
        <w:t>乙方</w:t>
      </w:r>
      <w:r>
        <w:rPr>
          <w:sz w:val="24"/>
          <w:szCs w:val="24"/>
          <w:highlight w:val="none"/>
        </w:rPr>
        <w:t>履约情况的验收，并出具验收书；向社会公众提供的公共服务项目，验收时</w:t>
      </w:r>
      <w:r>
        <w:rPr>
          <w:spacing w:val="-1"/>
          <w:sz w:val="24"/>
          <w:szCs w:val="24"/>
          <w:highlight w:val="none"/>
        </w:rPr>
        <w:t>应当</w:t>
      </w:r>
      <w:r>
        <w:rPr>
          <w:spacing w:val="-3"/>
          <w:sz w:val="24"/>
          <w:szCs w:val="24"/>
          <w:highlight w:val="none"/>
        </w:rPr>
        <w:t>邀请服务对象参与并出具意见，验收结果应当向社会公告；</w:t>
      </w:r>
    </w:p>
    <w:p w14:paraId="2C81B70B">
      <w:pPr>
        <w:pStyle w:val="31"/>
        <w:spacing w:before="235" w:line="310" w:lineRule="auto"/>
        <w:ind w:left="3" w:right="1" w:firstLine="480"/>
        <w:rPr>
          <w:sz w:val="24"/>
          <w:szCs w:val="24"/>
          <w:highlight w:val="none"/>
        </w:rPr>
      </w:pPr>
      <w:r>
        <w:rPr>
          <w:spacing w:val="-3"/>
          <w:sz w:val="24"/>
          <w:szCs w:val="24"/>
          <w:highlight w:val="none"/>
        </w:rPr>
        <w:t>2.15.3 检验和验收标准、程序等具体内</w:t>
      </w:r>
      <w:r>
        <w:rPr>
          <w:spacing w:val="-4"/>
          <w:sz w:val="24"/>
          <w:szCs w:val="24"/>
          <w:highlight w:val="none"/>
        </w:rPr>
        <w:t>容以及前述验收书的效力详见</w:t>
      </w:r>
      <w:r>
        <w:rPr>
          <w:spacing w:val="-4"/>
          <w:sz w:val="24"/>
          <w:szCs w:val="24"/>
          <w:highlight w:val="none"/>
          <w:u w:val="single" w:color="auto"/>
        </w:rPr>
        <w:t>合同专</w:t>
      </w:r>
      <w:r>
        <w:rPr>
          <w:spacing w:val="-3"/>
          <w:sz w:val="24"/>
          <w:szCs w:val="24"/>
          <w:highlight w:val="none"/>
          <w:u w:val="single" w:color="auto"/>
        </w:rPr>
        <w:t>用条款。</w:t>
      </w:r>
    </w:p>
    <w:p w14:paraId="4602655A">
      <w:pPr>
        <w:pStyle w:val="31"/>
        <w:spacing w:before="235" w:line="220" w:lineRule="auto"/>
        <w:ind w:left="484"/>
        <w:outlineLvl w:val="0"/>
        <w:rPr>
          <w:sz w:val="24"/>
          <w:szCs w:val="24"/>
          <w:highlight w:val="none"/>
        </w:rPr>
      </w:pPr>
      <w:r>
        <w:rPr>
          <w:spacing w:val="-1"/>
          <w:sz w:val="24"/>
          <w:szCs w:val="24"/>
          <w:highlight w:val="none"/>
        </w:rPr>
        <w:t>2.16 合同使用的文字和适用的法律</w:t>
      </w:r>
    </w:p>
    <w:p w14:paraId="6DD686B4">
      <w:pPr>
        <w:pStyle w:val="31"/>
        <w:spacing w:before="233" w:line="219" w:lineRule="auto"/>
        <w:ind w:left="484"/>
        <w:rPr>
          <w:sz w:val="24"/>
          <w:szCs w:val="24"/>
          <w:highlight w:val="none"/>
        </w:rPr>
      </w:pPr>
      <w:r>
        <w:rPr>
          <w:spacing w:val="-3"/>
          <w:sz w:val="24"/>
          <w:szCs w:val="24"/>
          <w:highlight w:val="none"/>
        </w:rPr>
        <w:t>2.16.1 合同使用汉语书就、变更和解释；</w:t>
      </w:r>
    </w:p>
    <w:p w14:paraId="5790052F">
      <w:pPr>
        <w:pStyle w:val="31"/>
        <w:spacing w:before="236" w:line="220" w:lineRule="auto"/>
        <w:ind w:left="484"/>
        <w:rPr>
          <w:sz w:val="24"/>
          <w:szCs w:val="24"/>
          <w:highlight w:val="none"/>
        </w:rPr>
      </w:pPr>
      <w:r>
        <w:rPr>
          <w:spacing w:val="-3"/>
          <w:sz w:val="24"/>
          <w:szCs w:val="24"/>
          <w:highlight w:val="none"/>
        </w:rPr>
        <w:t>2.16.2 合同适用中华人民共和国法律。</w:t>
      </w:r>
    </w:p>
    <w:p w14:paraId="10D299B3">
      <w:pPr>
        <w:pStyle w:val="31"/>
        <w:spacing w:before="235" w:line="220" w:lineRule="auto"/>
        <w:ind w:left="484"/>
        <w:rPr>
          <w:sz w:val="24"/>
          <w:szCs w:val="24"/>
          <w:highlight w:val="none"/>
        </w:rPr>
      </w:pPr>
      <w:r>
        <w:rPr>
          <w:spacing w:val="-1"/>
          <w:sz w:val="24"/>
          <w:szCs w:val="24"/>
          <w:highlight w:val="none"/>
        </w:rPr>
        <w:t>2.17 履约保证金</w:t>
      </w:r>
    </w:p>
    <w:p w14:paraId="313A08BD">
      <w:pPr>
        <w:pStyle w:val="31"/>
        <w:spacing w:before="231" w:line="310" w:lineRule="auto"/>
        <w:ind w:left="7" w:right="3" w:firstLine="477"/>
        <w:rPr>
          <w:sz w:val="24"/>
          <w:szCs w:val="24"/>
          <w:highlight w:val="none"/>
        </w:rPr>
      </w:pPr>
      <w:r>
        <w:rPr>
          <w:spacing w:val="-3"/>
          <w:sz w:val="24"/>
          <w:szCs w:val="24"/>
          <w:highlight w:val="none"/>
        </w:rPr>
        <w:t>2.17.1 采购文件要求乙方提交履约</w:t>
      </w:r>
      <w:r>
        <w:rPr>
          <w:spacing w:val="-4"/>
          <w:sz w:val="24"/>
          <w:szCs w:val="24"/>
          <w:highlight w:val="none"/>
        </w:rPr>
        <w:t>保证金的，乙方应按供应商须知前附表的</w:t>
      </w:r>
      <w:r>
        <w:rPr>
          <w:spacing w:val="-3"/>
          <w:sz w:val="24"/>
          <w:szCs w:val="24"/>
          <w:highlight w:val="none"/>
        </w:rPr>
        <w:t>约定提交合同价</w:t>
      </w:r>
      <w:r>
        <w:rPr>
          <w:spacing w:val="-3"/>
          <w:sz w:val="24"/>
          <w:szCs w:val="24"/>
          <w:highlight w:val="none"/>
          <w:u w:val="single" w:color="auto"/>
        </w:rPr>
        <w:t xml:space="preserve">  /  </w:t>
      </w:r>
      <w:r>
        <w:rPr>
          <w:spacing w:val="-76"/>
          <w:sz w:val="24"/>
          <w:szCs w:val="24"/>
          <w:highlight w:val="none"/>
        </w:rPr>
        <w:t xml:space="preserve"> </w:t>
      </w:r>
      <w:r>
        <w:rPr>
          <w:spacing w:val="-3"/>
          <w:sz w:val="24"/>
          <w:szCs w:val="24"/>
          <w:highlight w:val="none"/>
        </w:rPr>
        <w:t>的履约保证金；本项目不收取履约保证金。</w:t>
      </w:r>
    </w:p>
    <w:p w14:paraId="09F1007A">
      <w:pPr>
        <w:pStyle w:val="31"/>
        <w:spacing w:before="236" w:line="340" w:lineRule="auto"/>
        <w:ind w:left="2" w:right="1" w:firstLine="481"/>
        <w:rPr>
          <w:sz w:val="24"/>
          <w:szCs w:val="24"/>
          <w:highlight w:val="none"/>
        </w:rPr>
      </w:pPr>
      <w:r>
        <w:rPr>
          <w:spacing w:val="-3"/>
          <w:sz w:val="24"/>
          <w:szCs w:val="24"/>
          <w:highlight w:val="none"/>
        </w:rPr>
        <w:t>2.17.2 如果乙方不履行合同，履约</w:t>
      </w:r>
      <w:r>
        <w:rPr>
          <w:spacing w:val="-4"/>
          <w:sz w:val="24"/>
          <w:szCs w:val="24"/>
          <w:highlight w:val="none"/>
        </w:rPr>
        <w:t>保证金不予退还；如果乙方未能按合同约</w:t>
      </w:r>
      <w:r>
        <w:rPr>
          <w:sz w:val="24"/>
          <w:szCs w:val="24"/>
          <w:highlight w:val="none"/>
        </w:rPr>
        <w:t>定全面履行义务，那么甲方有权从履约保证金中取得补偿或赔偿，同</w:t>
      </w:r>
      <w:r>
        <w:rPr>
          <w:spacing w:val="-1"/>
          <w:sz w:val="24"/>
          <w:szCs w:val="24"/>
          <w:highlight w:val="none"/>
        </w:rPr>
        <w:t>时不影响甲</w:t>
      </w:r>
      <w:r>
        <w:rPr>
          <w:spacing w:val="-2"/>
          <w:sz w:val="24"/>
          <w:szCs w:val="24"/>
          <w:highlight w:val="none"/>
        </w:rPr>
        <w:t>方要求乙方承担合同约定的超过履约保证金的违约责任的权利。</w:t>
      </w:r>
    </w:p>
    <w:p w14:paraId="7B78939D">
      <w:pPr>
        <w:pStyle w:val="31"/>
        <w:spacing w:before="235" w:line="220" w:lineRule="auto"/>
        <w:ind w:left="484"/>
        <w:outlineLvl w:val="0"/>
        <w:rPr>
          <w:sz w:val="24"/>
          <w:szCs w:val="24"/>
          <w:highlight w:val="none"/>
        </w:rPr>
      </w:pPr>
      <w:r>
        <w:rPr>
          <w:spacing w:val="-2"/>
          <w:sz w:val="24"/>
          <w:szCs w:val="24"/>
          <w:highlight w:val="none"/>
        </w:rPr>
        <w:t>2.18 合同份数</w:t>
      </w:r>
    </w:p>
    <w:p w14:paraId="7CD51397">
      <w:pPr>
        <w:pStyle w:val="31"/>
        <w:spacing w:before="232" w:line="220" w:lineRule="auto"/>
        <w:ind w:left="482"/>
        <w:rPr>
          <w:sz w:val="24"/>
          <w:szCs w:val="24"/>
          <w:highlight w:val="none"/>
        </w:rPr>
      </w:pPr>
      <w:r>
        <w:rPr>
          <w:spacing w:val="-2"/>
          <w:sz w:val="24"/>
          <w:szCs w:val="24"/>
          <w:highlight w:val="none"/>
        </w:rPr>
        <w:t>合同份数按</w:t>
      </w:r>
      <w:r>
        <w:rPr>
          <w:spacing w:val="-2"/>
          <w:sz w:val="24"/>
          <w:szCs w:val="24"/>
          <w:highlight w:val="none"/>
          <w:u w:val="single" w:color="auto"/>
        </w:rPr>
        <w:t>合同专用条款</w:t>
      </w:r>
      <w:r>
        <w:rPr>
          <w:spacing w:val="-2"/>
          <w:sz w:val="24"/>
          <w:szCs w:val="24"/>
          <w:highlight w:val="none"/>
        </w:rPr>
        <w:t>规定，每份均具有同等法律效力。</w:t>
      </w:r>
    </w:p>
    <w:p w14:paraId="5377FEF5">
      <w:pPr>
        <w:spacing w:line="220" w:lineRule="auto"/>
        <w:rPr>
          <w:sz w:val="24"/>
          <w:szCs w:val="24"/>
          <w:highlight w:val="none"/>
        </w:rPr>
        <w:sectPr>
          <w:headerReference r:id="rId9" w:type="default"/>
          <w:footerReference r:id="rId10" w:type="default"/>
          <w:pgSz w:w="11907" w:h="16839"/>
          <w:pgMar w:top="1632" w:right="1726" w:bottom="1190" w:left="1779" w:header="1262" w:footer="990" w:gutter="0"/>
          <w:pgBorders>
            <w:top w:val="none" w:sz="0" w:space="0"/>
            <w:left w:val="none" w:sz="0" w:space="0"/>
            <w:bottom w:val="none" w:sz="0" w:space="0"/>
            <w:right w:val="none" w:sz="0" w:space="0"/>
          </w:pgBorders>
          <w:pgNumType w:fmt="decimal"/>
          <w:cols w:space="720" w:num="1"/>
        </w:sectPr>
      </w:pPr>
    </w:p>
    <w:p w14:paraId="0C5342F6">
      <w:pPr>
        <w:spacing w:line="281" w:lineRule="auto"/>
        <w:rPr>
          <w:rFonts w:ascii="Arial"/>
          <w:sz w:val="21"/>
          <w:highlight w:val="none"/>
        </w:rPr>
      </w:pPr>
    </w:p>
    <w:p w14:paraId="5633CDFF">
      <w:pPr>
        <w:spacing w:line="282" w:lineRule="auto"/>
        <w:rPr>
          <w:rFonts w:ascii="Arial"/>
          <w:sz w:val="21"/>
          <w:highlight w:val="none"/>
        </w:rPr>
      </w:pPr>
    </w:p>
    <w:p w14:paraId="72AE6724">
      <w:pPr>
        <w:pStyle w:val="31"/>
        <w:spacing w:before="78" w:line="220" w:lineRule="auto"/>
        <w:ind w:left="3194"/>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6FF4B42A">
      <w:pPr>
        <w:pStyle w:val="31"/>
        <w:spacing w:before="269" w:line="364" w:lineRule="auto"/>
        <w:ind w:left="37" w:firstLine="481"/>
        <w:jc w:val="both"/>
        <w:rPr>
          <w:sz w:val="24"/>
          <w:szCs w:val="24"/>
          <w:highlight w:val="none"/>
        </w:rPr>
      </w:pPr>
      <w:r>
        <w:rPr>
          <w:spacing w:val="-1"/>
          <w:sz w:val="24"/>
          <w:szCs w:val="24"/>
          <w:highlight w:val="none"/>
        </w:rPr>
        <w:t>本部分是对前两部分的补充和修改，如果前两部分和本</w:t>
      </w:r>
      <w:r>
        <w:rPr>
          <w:spacing w:val="-2"/>
          <w:sz w:val="24"/>
          <w:szCs w:val="24"/>
          <w:highlight w:val="none"/>
        </w:rPr>
        <w:t>部分的约定不一致，应以</w:t>
      </w:r>
      <w:r>
        <w:rPr>
          <w:spacing w:val="-1"/>
          <w:sz w:val="24"/>
          <w:szCs w:val="24"/>
          <w:highlight w:val="none"/>
        </w:rPr>
        <w:t>本部分的约定为准。本部分的条款号应与前两部分的条款号保持对应</w:t>
      </w:r>
      <w:r>
        <w:rPr>
          <w:spacing w:val="-2"/>
          <w:sz w:val="24"/>
          <w:szCs w:val="24"/>
          <w:highlight w:val="none"/>
        </w:rPr>
        <w:t>；与前两部分无</w:t>
      </w:r>
      <w:r>
        <w:rPr>
          <w:spacing w:val="-3"/>
          <w:sz w:val="24"/>
          <w:szCs w:val="24"/>
          <w:highlight w:val="none"/>
        </w:rPr>
        <w:t>对应关系的内容可另行编制条款号。</w:t>
      </w:r>
    </w:p>
    <w:tbl>
      <w:tblPr>
        <w:tblStyle w:val="433"/>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70F7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vAlign w:val="top"/>
          </w:tcPr>
          <w:p w14:paraId="79E399BA">
            <w:pPr>
              <w:spacing w:before="196" w:line="220" w:lineRule="auto"/>
              <w:ind w:left="347"/>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015" w:type="dxa"/>
            <w:vAlign w:val="top"/>
          </w:tcPr>
          <w:p w14:paraId="59AD6B7E">
            <w:pPr>
              <w:spacing w:before="196" w:line="220" w:lineRule="auto"/>
              <w:ind w:left="3033"/>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7ADD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EAEB204">
            <w:pPr>
              <w:rPr>
                <w:rFonts w:ascii="Arial"/>
                <w:sz w:val="21"/>
                <w:highlight w:val="none"/>
              </w:rPr>
            </w:pPr>
          </w:p>
        </w:tc>
        <w:tc>
          <w:tcPr>
            <w:tcW w:w="7015" w:type="dxa"/>
            <w:vAlign w:val="top"/>
          </w:tcPr>
          <w:p w14:paraId="3D9C39A1">
            <w:pPr>
              <w:rPr>
                <w:rFonts w:ascii="Arial"/>
                <w:sz w:val="21"/>
                <w:highlight w:val="none"/>
              </w:rPr>
            </w:pPr>
          </w:p>
        </w:tc>
      </w:tr>
      <w:tr w14:paraId="6BAC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56A6AAF8">
            <w:pPr>
              <w:rPr>
                <w:rFonts w:ascii="Arial"/>
                <w:sz w:val="21"/>
                <w:highlight w:val="none"/>
              </w:rPr>
            </w:pPr>
          </w:p>
        </w:tc>
        <w:tc>
          <w:tcPr>
            <w:tcW w:w="7015" w:type="dxa"/>
            <w:vAlign w:val="top"/>
          </w:tcPr>
          <w:p w14:paraId="7C8BC9F5">
            <w:pPr>
              <w:rPr>
                <w:rFonts w:ascii="Arial"/>
                <w:sz w:val="21"/>
                <w:highlight w:val="none"/>
              </w:rPr>
            </w:pPr>
          </w:p>
        </w:tc>
      </w:tr>
      <w:tr w14:paraId="1395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7844D190">
            <w:pPr>
              <w:rPr>
                <w:rFonts w:ascii="Arial"/>
                <w:sz w:val="21"/>
                <w:highlight w:val="none"/>
              </w:rPr>
            </w:pPr>
          </w:p>
        </w:tc>
        <w:tc>
          <w:tcPr>
            <w:tcW w:w="7015" w:type="dxa"/>
            <w:vAlign w:val="top"/>
          </w:tcPr>
          <w:p w14:paraId="24BAE7EB">
            <w:pPr>
              <w:rPr>
                <w:rFonts w:ascii="Arial"/>
                <w:sz w:val="21"/>
                <w:highlight w:val="none"/>
              </w:rPr>
            </w:pPr>
          </w:p>
        </w:tc>
      </w:tr>
      <w:tr w14:paraId="5AFE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2A609183">
            <w:pPr>
              <w:rPr>
                <w:rFonts w:ascii="Arial"/>
                <w:sz w:val="21"/>
                <w:highlight w:val="none"/>
              </w:rPr>
            </w:pPr>
          </w:p>
        </w:tc>
        <w:tc>
          <w:tcPr>
            <w:tcW w:w="7015" w:type="dxa"/>
            <w:vAlign w:val="top"/>
          </w:tcPr>
          <w:p w14:paraId="2FAB79AF">
            <w:pPr>
              <w:rPr>
                <w:rFonts w:ascii="Arial"/>
                <w:sz w:val="21"/>
                <w:highlight w:val="none"/>
              </w:rPr>
            </w:pPr>
          </w:p>
        </w:tc>
      </w:tr>
      <w:tr w14:paraId="4452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7FA1130">
            <w:pPr>
              <w:rPr>
                <w:rFonts w:ascii="Arial"/>
                <w:sz w:val="21"/>
                <w:highlight w:val="none"/>
              </w:rPr>
            </w:pPr>
          </w:p>
        </w:tc>
        <w:tc>
          <w:tcPr>
            <w:tcW w:w="7015" w:type="dxa"/>
            <w:vAlign w:val="top"/>
          </w:tcPr>
          <w:p w14:paraId="0A847657">
            <w:pPr>
              <w:rPr>
                <w:rFonts w:ascii="Arial"/>
                <w:sz w:val="21"/>
                <w:highlight w:val="none"/>
              </w:rPr>
            </w:pPr>
          </w:p>
        </w:tc>
      </w:tr>
      <w:tr w14:paraId="1064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065B2980">
            <w:pPr>
              <w:rPr>
                <w:rFonts w:ascii="Arial"/>
                <w:sz w:val="21"/>
                <w:highlight w:val="none"/>
              </w:rPr>
            </w:pPr>
          </w:p>
        </w:tc>
        <w:tc>
          <w:tcPr>
            <w:tcW w:w="7015" w:type="dxa"/>
            <w:vAlign w:val="top"/>
          </w:tcPr>
          <w:p w14:paraId="0DAF1CF0">
            <w:pPr>
              <w:rPr>
                <w:rFonts w:ascii="Arial"/>
                <w:sz w:val="21"/>
                <w:highlight w:val="none"/>
              </w:rPr>
            </w:pPr>
          </w:p>
        </w:tc>
      </w:tr>
      <w:tr w14:paraId="0221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462D2D11">
            <w:pPr>
              <w:rPr>
                <w:rFonts w:ascii="Arial"/>
                <w:sz w:val="21"/>
                <w:highlight w:val="none"/>
              </w:rPr>
            </w:pPr>
          </w:p>
        </w:tc>
        <w:tc>
          <w:tcPr>
            <w:tcW w:w="7015" w:type="dxa"/>
            <w:vAlign w:val="top"/>
          </w:tcPr>
          <w:p w14:paraId="59796E34">
            <w:pPr>
              <w:rPr>
                <w:rFonts w:ascii="Arial"/>
                <w:sz w:val="21"/>
                <w:highlight w:val="none"/>
              </w:rPr>
            </w:pPr>
          </w:p>
        </w:tc>
      </w:tr>
      <w:tr w14:paraId="2F00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D6D81E9">
            <w:pPr>
              <w:rPr>
                <w:rFonts w:ascii="Arial"/>
                <w:sz w:val="21"/>
                <w:highlight w:val="none"/>
              </w:rPr>
            </w:pPr>
          </w:p>
        </w:tc>
        <w:tc>
          <w:tcPr>
            <w:tcW w:w="7015" w:type="dxa"/>
            <w:vAlign w:val="top"/>
          </w:tcPr>
          <w:p w14:paraId="3FF206FD">
            <w:pPr>
              <w:rPr>
                <w:rFonts w:ascii="Arial"/>
                <w:sz w:val="21"/>
                <w:highlight w:val="none"/>
              </w:rPr>
            </w:pPr>
          </w:p>
        </w:tc>
      </w:tr>
      <w:tr w14:paraId="4CE3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4FF705E0">
            <w:pPr>
              <w:rPr>
                <w:rFonts w:ascii="Arial"/>
                <w:sz w:val="21"/>
                <w:highlight w:val="none"/>
              </w:rPr>
            </w:pPr>
          </w:p>
        </w:tc>
        <w:tc>
          <w:tcPr>
            <w:tcW w:w="7015" w:type="dxa"/>
            <w:vAlign w:val="top"/>
          </w:tcPr>
          <w:p w14:paraId="7DABC5E5">
            <w:pPr>
              <w:rPr>
                <w:rFonts w:ascii="Arial"/>
                <w:sz w:val="21"/>
                <w:highlight w:val="none"/>
              </w:rPr>
            </w:pPr>
          </w:p>
        </w:tc>
      </w:tr>
    </w:tbl>
    <w:p w14:paraId="1562EB41">
      <w:pPr>
        <w:rPr>
          <w:rFonts w:ascii="Arial" w:hAnsi="Arial" w:eastAsia="Arial" w:cs="Arial"/>
          <w:sz w:val="21"/>
          <w:szCs w:val="21"/>
          <w:highlight w:val="none"/>
        </w:rPr>
        <w:sectPr>
          <w:headerReference r:id="rId11" w:type="default"/>
          <w:footerReference r:id="rId12" w:type="default"/>
          <w:pgSz w:w="11907" w:h="16839"/>
          <w:pgMar w:top="1147" w:right="1528" w:bottom="1159" w:left="1502" w:header="828" w:footer="959" w:gutter="0"/>
          <w:pgBorders>
            <w:top w:val="none" w:sz="0" w:space="0"/>
            <w:left w:val="none" w:sz="0" w:space="0"/>
            <w:bottom w:val="none" w:sz="0" w:space="0"/>
            <w:right w:val="none" w:sz="0" w:space="0"/>
          </w:pgBorders>
          <w:pgNumType w:fmt="decimal"/>
          <w:cols w:space="720" w:num="1"/>
        </w:sectPr>
      </w:pPr>
    </w:p>
    <w:p w14:paraId="1F027EBE">
      <w:pPr>
        <w:pStyle w:val="73"/>
        <w:ind w:left="0" w:leftChars="0" w:firstLine="0" w:firstLineChars="0"/>
        <w:rPr>
          <w:rFonts w:ascii="宋体" w:hAnsi="宋体" w:cs="宋体"/>
          <w:sz w:val="24"/>
          <w:highlight w:val="none"/>
        </w:rPr>
      </w:pPr>
    </w:p>
    <w:p w14:paraId="1B786BEB">
      <w:pPr>
        <w:pStyle w:val="73"/>
        <w:rPr>
          <w:rFonts w:ascii="宋体" w:hAnsi="宋体" w:cs="宋体"/>
          <w:sz w:val="24"/>
          <w:highlight w:val="none"/>
        </w:rPr>
      </w:pPr>
    </w:p>
    <w:p w14:paraId="491EA9E9">
      <w:pPr>
        <w:keepNext w:val="0"/>
        <w:keepLines w:val="0"/>
        <w:pageBreakBefore w:val="0"/>
        <w:kinsoku/>
        <w:wordWrap/>
        <w:overflowPunct/>
        <w:topLinePunct w:val="0"/>
        <w:autoSpaceDE w:val="0"/>
        <w:autoSpaceDN w:val="0"/>
        <w:bidi w:val="0"/>
        <w:adjustRightInd w:val="0"/>
        <w:snapToGrid w:val="0"/>
        <w:spacing w:after="156" w:afterLines="50" w:line="360" w:lineRule="auto"/>
        <w:ind w:firstLine="640" w:firstLineChars="200"/>
        <w:jc w:val="center"/>
        <w:textAlignment w:val="auto"/>
        <w:outlineLvl w:val="0"/>
        <w:rPr>
          <w:rFonts w:hint="eastAsia" w:ascii="宋体" w:hAnsi="宋体" w:cs="黑体"/>
          <w:kern w:val="0"/>
          <w:sz w:val="32"/>
          <w:szCs w:val="32"/>
          <w:highlight w:val="none"/>
        </w:rPr>
      </w:pPr>
      <w:bookmarkStart w:id="88" w:name="_Toc16337"/>
      <w:r>
        <w:rPr>
          <w:rFonts w:hint="eastAsia" w:ascii="宋体" w:hAnsi="宋体" w:cs="黑体"/>
          <w:kern w:val="0"/>
          <w:sz w:val="32"/>
          <w:szCs w:val="32"/>
          <w:highlight w:val="none"/>
        </w:rPr>
        <w:t>第五章 采购需求</w:t>
      </w:r>
      <w:bookmarkEnd w:id="88"/>
    </w:p>
    <w:p w14:paraId="069480DE">
      <w:pPr>
        <w:pStyle w:val="31"/>
        <w:spacing w:before="221" w:line="219" w:lineRule="auto"/>
        <w:ind w:left="27"/>
        <w:jc w:val="both"/>
        <w:outlineLvl w:val="0"/>
      </w:pPr>
      <w:r>
        <w:rPr>
          <w:spacing w:val="-3"/>
        </w:rPr>
        <w:t>一、项目概况</w:t>
      </w:r>
    </w:p>
    <w:p w14:paraId="70E7167C">
      <w:pPr>
        <w:pStyle w:val="31"/>
        <w:keepNext w:val="0"/>
        <w:keepLines w:val="0"/>
        <w:pageBreakBefore w:val="0"/>
        <w:widowControl w:val="0"/>
        <w:kinsoku/>
        <w:wordWrap/>
        <w:overflowPunct/>
        <w:topLinePunct w:val="0"/>
        <w:autoSpaceDE/>
        <w:autoSpaceDN/>
        <w:bidi w:val="0"/>
        <w:adjustRightInd/>
        <w:snapToGrid/>
        <w:spacing w:before="225" w:line="360" w:lineRule="auto"/>
        <w:ind w:firstLine="234" w:firstLineChars="100"/>
        <w:textAlignment w:val="auto"/>
        <w:outlineLvl w:val="0"/>
      </w:pPr>
      <w:r>
        <w:rPr>
          <w:spacing w:val="-3"/>
        </w:rPr>
        <w:t>（一）基本情况</w:t>
      </w:r>
    </w:p>
    <w:p w14:paraId="6F6019F6">
      <w:pPr>
        <w:pStyle w:val="31"/>
        <w:keepNext w:val="0"/>
        <w:keepLines w:val="0"/>
        <w:pageBreakBefore w:val="0"/>
        <w:widowControl w:val="0"/>
        <w:kinsoku/>
        <w:wordWrap/>
        <w:overflowPunct/>
        <w:topLinePunct w:val="0"/>
        <w:autoSpaceDE/>
        <w:autoSpaceDN/>
        <w:bidi w:val="0"/>
        <w:adjustRightInd/>
        <w:snapToGrid/>
        <w:spacing w:before="228" w:line="360" w:lineRule="auto"/>
        <w:ind w:left="24" w:right="37" w:firstLine="472" w:firstLineChars="200"/>
        <w:jc w:val="left"/>
        <w:textAlignment w:val="auto"/>
      </w:pPr>
      <w:r>
        <w:rPr>
          <w:spacing w:val="-2"/>
        </w:rPr>
        <w:t>医院合计开放总床位</w:t>
      </w:r>
      <w:r>
        <w:rPr>
          <w:rFonts w:hint="eastAsia"/>
          <w:spacing w:val="-2"/>
          <w:lang w:val="en-US" w:eastAsia="zh-CN"/>
        </w:rPr>
        <w:t>365</w:t>
      </w:r>
      <w:r>
        <w:rPr>
          <w:spacing w:val="-2"/>
        </w:rPr>
        <w:t>张，医护人员</w:t>
      </w:r>
      <w:r>
        <w:rPr>
          <w:spacing w:val="-2"/>
          <w:highlight w:val="none"/>
        </w:rPr>
        <w:t xml:space="preserve"> </w:t>
      </w:r>
      <w:r>
        <w:rPr>
          <w:rFonts w:hint="eastAsia"/>
          <w:spacing w:val="-2"/>
          <w:highlight w:val="none"/>
          <w:lang w:val="en-US" w:eastAsia="zh-CN"/>
        </w:rPr>
        <w:t>400</w:t>
      </w:r>
      <w:r>
        <w:rPr>
          <w:spacing w:val="-2"/>
          <w:highlight w:val="none"/>
        </w:rPr>
        <w:t xml:space="preserve"> </w:t>
      </w:r>
      <w:r>
        <w:rPr>
          <w:spacing w:val="-2"/>
        </w:rPr>
        <w:t>人。</w:t>
      </w:r>
      <w:r>
        <w:rPr>
          <w:rFonts w:hint="eastAsia"/>
          <w:spacing w:val="-2"/>
        </w:rPr>
        <w:t>即每人每年不得低于4套（夏、冬各两套），另每年需备用400套（夏、冬各两百套）</w:t>
      </w:r>
      <w:r>
        <w:rPr>
          <w:rFonts w:hint="eastAsia"/>
          <w:spacing w:val="-2"/>
          <w:lang w:eastAsia="zh-CN"/>
        </w:rPr>
        <w:t>，</w:t>
      </w:r>
      <w:r>
        <w:rPr>
          <w:spacing w:val="-2"/>
        </w:rPr>
        <w:t>（成交人在</w:t>
      </w:r>
      <w:r>
        <w:rPr>
          <w:rFonts w:hint="eastAsia"/>
          <w:spacing w:val="-2"/>
          <w:lang w:val="en-US" w:eastAsia="zh-CN"/>
        </w:rPr>
        <w:t>接到需求通知后一周内供应到位，紧急需求的24小时内供应。</w:t>
      </w:r>
      <w:r>
        <w:rPr>
          <w:spacing w:val="-2"/>
        </w:rPr>
        <w:t>采购期限为三年（成交人在合同终止之日后一段时间内【即自合同终止之日始至下一服务公司正式进驻运营止】须继续向采购人提供被服等洗涤租赁服务</w:t>
      </w:r>
      <w:r>
        <w:rPr>
          <w:spacing w:val="-60"/>
          <w:w w:val="95"/>
        </w:rPr>
        <w:t>），</w:t>
      </w:r>
      <w:r>
        <w:rPr>
          <w:spacing w:val="-2"/>
        </w:rPr>
        <w:t>合作期内成交单价不得调整（按需供货据实</w:t>
      </w:r>
      <w:r>
        <w:rPr>
          <w:rFonts w:hint="eastAsia"/>
          <w:spacing w:val="-2"/>
          <w:lang w:val="en-US" w:eastAsia="zh-CN"/>
        </w:rPr>
        <w:t>季度</w:t>
      </w:r>
      <w:r>
        <w:rPr>
          <w:spacing w:val="-2"/>
        </w:rPr>
        <w:t>结算</w:t>
      </w:r>
      <w:r>
        <w:rPr>
          <w:spacing w:val="-19"/>
        </w:rPr>
        <w:t>），</w:t>
      </w:r>
      <w:r>
        <w:rPr>
          <w:spacing w:val="-2"/>
        </w:rPr>
        <w:t>合同一年一考核续签，</w:t>
      </w:r>
      <w:r>
        <w:rPr>
          <w:spacing w:val="-3"/>
        </w:rPr>
        <w:t>考核</w:t>
      </w:r>
      <w:r>
        <w:rPr>
          <w:spacing w:val="-1"/>
        </w:rPr>
        <w:t>合格则续签下一年度合同，否则不予续签。</w:t>
      </w:r>
    </w:p>
    <w:p w14:paraId="75FF2DE3">
      <w:pPr>
        <w:pStyle w:val="31"/>
        <w:keepNext w:val="0"/>
        <w:keepLines w:val="0"/>
        <w:pageBreakBefore w:val="0"/>
        <w:widowControl w:val="0"/>
        <w:kinsoku/>
        <w:wordWrap/>
        <w:overflowPunct/>
        <w:topLinePunct w:val="0"/>
        <w:autoSpaceDE/>
        <w:autoSpaceDN/>
        <w:bidi w:val="0"/>
        <w:adjustRightInd/>
        <w:snapToGrid/>
        <w:spacing w:before="228" w:line="360" w:lineRule="auto"/>
        <w:ind w:left="24" w:right="37" w:firstLine="472" w:firstLineChars="200"/>
        <w:jc w:val="left"/>
        <w:textAlignment w:val="auto"/>
        <w:rPr>
          <w:rFonts w:eastAsia="宋体"/>
          <w:spacing w:val="-2"/>
        </w:rPr>
      </w:pPr>
      <w:r>
        <w:rPr>
          <w:rFonts w:eastAsia="宋体"/>
          <w:spacing w:val="-2"/>
        </w:rPr>
        <w:t>成交人在合同有效期内，不得以任何理由终止合同，确有特殊情况的，须提前两个月向院方提出书面申请，经院方书面同意且下一家服务公司入驻后方可终止合同并撤离。因中标方不能保证工作质量或发生重大差错事故的，院方可有权终止协议，成交人承担一切责任。</w:t>
      </w:r>
    </w:p>
    <w:p w14:paraId="05C9193A">
      <w:pPr>
        <w:pStyle w:val="31"/>
        <w:spacing w:before="1" w:line="219" w:lineRule="auto"/>
        <w:ind w:left="514"/>
        <w:outlineLvl w:val="0"/>
        <w:rPr>
          <w:rFonts w:ascii="Arial"/>
          <w:sz w:val="21"/>
        </w:rPr>
      </w:pPr>
      <w:r>
        <w:rPr>
          <w:spacing w:val="-3"/>
        </w:rPr>
        <w:t>（二）服务费结算</w:t>
      </w:r>
    </w:p>
    <w:p w14:paraId="25C8AACE">
      <w:pPr>
        <w:pStyle w:val="31"/>
        <w:spacing w:before="223" w:line="393" w:lineRule="auto"/>
        <w:ind w:left="22" w:firstLine="464" w:firstLineChars="200"/>
        <w:jc w:val="both"/>
      </w:pPr>
      <w:r>
        <w:rPr>
          <w:spacing w:val="-4"/>
        </w:rPr>
        <w:t>1、</w:t>
      </w:r>
      <w:r>
        <w:rPr>
          <w:rFonts w:hint="eastAsia"/>
          <w:spacing w:val="-4"/>
        </w:rPr>
        <w:t>按需供货据实季度结算</w:t>
      </w:r>
      <w:r>
        <w:rPr>
          <w:spacing w:val="-5"/>
        </w:rPr>
        <w:t>。</w:t>
      </w:r>
    </w:p>
    <w:p w14:paraId="28F19E9B">
      <w:pPr>
        <w:pStyle w:val="3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0"/>
        <w:rPr>
          <w:spacing w:val="-2"/>
        </w:rPr>
      </w:pPr>
      <w:r>
        <w:t>2、成交人拟派驻进场人员与采购人不存在劳动合同关系，其实发工资（依</w:t>
      </w:r>
      <w:r>
        <w:rPr>
          <w:spacing w:val="-3"/>
        </w:rPr>
        <w:t>法扣除各类法定保险后的实际收入）不得低于国家规定的项目所在地最低人员工资，并按国家相关规定办理各类保险（在合同中明确承诺）。若因服务项目所在地最低工资标准增长，成交人第二、第三年按照最低工资标准增长幅度相应增加</w:t>
      </w:r>
      <w:r>
        <w:rPr>
          <w:spacing w:val="-2"/>
        </w:rPr>
        <w:t>同比例的岗位工资。</w:t>
      </w:r>
    </w:p>
    <w:p w14:paraId="6988DA94">
      <w:pPr>
        <w:pStyle w:val="31"/>
        <w:keepNext w:val="0"/>
        <w:keepLines w:val="0"/>
        <w:pageBreakBefore w:val="0"/>
        <w:widowControl/>
        <w:kinsoku w:val="0"/>
        <w:wordWrap/>
        <w:overflowPunct/>
        <w:topLinePunct w:val="0"/>
        <w:autoSpaceDE w:val="0"/>
        <w:autoSpaceDN w:val="0"/>
        <w:bidi w:val="0"/>
        <w:adjustRightInd w:val="0"/>
        <w:snapToGrid w:val="0"/>
        <w:spacing w:before="224" w:line="240" w:lineRule="auto"/>
        <w:ind w:left="23" w:right="99"/>
        <w:jc w:val="both"/>
        <w:textAlignment w:val="baseline"/>
      </w:pPr>
      <w:r>
        <w:rPr>
          <w:spacing w:val="-2"/>
        </w:rPr>
        <w:t>二、服务项目范围</w:t>
      </w:r>
    </w:p>
    <w:p w14:paraId="2DF04765">
      <w:pPr>
        <w:pStyle w:val="31"/>
        <w:keepNext w:val="0"/>
        <w:keepLines w:val="0"/>
        <w:pageBreakBefore w:val="0"/>
        <w:widowControl/>
        <w:kinsoku w:val="0"/>
        <w:wordWrap/>
        <w:overflowPunct/>
        <w:topLinePunct w:val="0"/>
        <w:autoSpaceDE w:val="0"/>
        <w:autoSpaceDN w:val="0"/>
        <w:bidi w:val="0"/>
        <w:adjustRightInd w:val="0"/>
        <w:snapToGrid w:val="0"/>
        <w:spacing w:before="224" w:line="394" w:lineRule="auto"/>
        <w:ind w:left="23" w:right="96" w:firstLine="468" w:firstLineChars="200"/>
        <w:jc w:val="both"/>
        <w:textAlignment w:val="baseline"/>
        <w:rPr>
          <w:spacing w:val="-3"/>
        </w:rPr>
      </w:pPr>
      <w:r>
        <w:rPr>
          <w:spacing w:val="-3"/>
        </w:rPr>
        <w:t>医院采购期内成交单价不得改变，包括下收下送、缝补、折叠、被扣和熨烫。根据医院规定的时间，按时将待洗用品从各病区、部门收取。</w:t>
      </w:r>
    </w:p>
    <w:p w14:paraId="3DD532AA">
      <w:pPr>
        <w:pStyle w:val="31"/>
        <w:keepNext w:val="0"/>
        <w:keepLines w:val="0"/>
        <w:pageBreakBefore w:val="0"/>
        <w:widowControl/>
        <w:kinsoku w:val="0"/>
        <w:wordWrap/>
        <w:overflowPunct/>
        <w:topLinePunct w:val="0"/>
        <w:autoSpaceDE w:val="0"/>
        <w:autoSpaceDN w:val="0"/>
        <w:bidi w:val="0"/>
        <w:adjustRightInd w:val="0"/>
        <w:snapToGrid w:val="0"/>
        <w:spacing w:before="224" w:line="394" w:lineRule="auto"/>
        <w:ind w:left="23" w:right="96" w:firstLine="468" w:firstLineChars="200"/>
        <w:jc w:val="both"/>
        <w:textAlignment w:val="baseline"/>
        <w:rPr>
          <w:spacing w:val="-3"/>
        </w:rPr>
      </w:pPr>
      <w:r>
        <w:rPr>
          <w:spacing w:val="-3"/>
        </w:rPr>
        <w:t>将洗净物品送回至各病区、部门。清洗范围包括但不限于工作服，病员服，各类医用敷料，病房、值班室各门急诊床单、被套、枕套、垫单、污染垫被、洗手衣、隔离衣、手术衣、治疗巾、中单、各类包布、洞布、护理车布袋，毛毯、床用三件套等所有医用布类物品。</w:t>
      </w:r>
    </w:p>
    <w:p w14:paraId="5856B911">
      <w:pPr>
        <w:pStyle w:val="31"/>
        <w:keepNext w:val="0"/>
        <w:keepLines w:val="0"/>
        <w:pageBreakBefore w:val="0"/>
        <w:widowControl/>
        <w:kinsoku w:val="0"/>
        <w:wordWrap/>
        <w:overflowPunct/>
        <w:topLinePunct w:val="0"/>
        <w:autoSpaceDE w:val="0"/>
        <w:autoSpaceDN w:val="0"/>
        <w:bidi w:val="0"/>
        <w:adjustRightInd w:val="0"/>
        <w:snapToGrid w:val="0"/>
        <w:spacing w:before="224" w:line="394" w:lineRule="auto"/>
        <w:ind w:left="23" w:right="96" w:firstLine="468" w:firstLineChars="200"/>
        <w:jc w:val="both"/>
        <w:textAlignment w:val="baseline"/>
        <w:rPr>
          <w:spacing w:val="-3"/>
        </w:rPr>
      </w:pPr>
      <w:r>
        <w:rPr>
          <w:spacing w:val="-3"/>
        </w:rPr>
        <w:t>根据医院需求（原则上暂定洗涤频次为 3 月/次，根据实际情况随脏随洗涤）为其他医用织物提供洗涤（含拆装）服务（包括不限于：窗帘、隔帘等）；按需为相关使用科室配套提供全封闭感应储物柜（含后期新增科室并适时更新，合同期结束后：若储物柜经院方评估认为符合院感使用要求的可继续留用，成交人须与下一任服务公司做好无缝对接，并自行协商储物柜的转让价格，协商不成的则由成交人自行撤离工作，否则成交人须自接到院方书面撤离通知之日起 10 个日历天内撤走所有储物柜【成交擅自撤离的，院方有权不予退还全部履约保证金】，逾期未撤离的，院方有权按无主物并以公开拍卖方式予以处置）。</w:t>
      </w:r>
    </w:p>
    <w:p w14:paraId="74FAEBE4">
      <w:pPr>
        <w:pStyle w:val="31"/>
        <w:keepNext w:val="0"/>
        <w:keepLines w:val="0"/>
        <w:pageBreakBefore w:val="0"/>
        <w:widowControl/>
        <w:kinsoku w:val="0"/>
        <w:wordWrap/>
        <w:overflowPunct/>
        <w:topLinePunct w:val="0"/>
        <w:autoSpaceDE w:val="0"/>
        <w:autoSpaceDN w:val="0"/>
        <w:bidi w:val="0"/>
        <w:adjustRightInd w:val="0"/>
        <w:snapToGrid w:val="0"/>
        <w:spacing w:before="224" w:line="394" w:lineRule="auto"/>
        <w:ind w:left="23" w:right="96" w:firstLine="468" w:firstLineChars="200"/>
        <w:jc w:val="both"/>
        <w:textAlignment w:val="baseline"/>
        <w:rPr>
          <w:spacing w:val="-3"/>
        </w:rPr>
      </w:pPr>
      <w:r>
        <w:rPr>
          <w:spacing w:val="-3"/>
        </w:rPr>
        <w:t>租赁范围内的院方原库存及病区领取的新品（领用不超过 3 个月内）成交人须按院方采购原价回购，正在使用的合格旧品由成交人按采购价的叁折回购。回购后，经医院批准投放到指定科室继续使用，并于三个月内逐步更换成新品。合同结束后，医院同条件（叁折）回购中标量身定制的租赁产品（除医护工作服、储物柜），成交人在投标文件中须提交拟量身定制租赁产品（除医护工作服、储物柜）采购价清单，具体采购价清单不得高于同期市场价（或不得超过院方在用同类型货物采购价的 30%），经成交人和采购人认可的采购价清单编入合同中作为后期回购依据。</w:t>
      </w:r>
    </w:p>
    <w:p w14:paraId="3078DEC3">
      <w:pPr>
        <w:pStyle w:val="31"/>
        <w:spacing w:before="2" w:line="305" w:lineRule="auto"/>
        <w:ind w:left="25" w:right="99" w:firstLine="489"/>
        <w:outlineLvl w:val="0"/>
      </w:pPr>
      <w:r>
        <w:rPr>
          <w:spacing w:val="-4"/>
        </w:rPr>
        <w:t>（三）成交人提供租赁产品的配比须满足以下条件（除本院原有产品外成交</w:t>
      </w:r>
      <w:r>
        <w:rPr>
          <w:spacing w:val="-1"/>
        </w:rPr>
        <w:t>人必须提供新品，否则院方有权拒收</w:t>
      </w:r>
      <w:r>
        <w:rPr>
          <w:spacing w:val="1"/>
        </w:rPr>
        <w:t>）：</w:t>
      </w:r>
    </w:p>
    <w:p w14:paraId="1822C4DE">
      <w:pPr>
        <w:pStyle w:val="31"/>
        <w:keepNext w:val="0"/>
        <w:keepLines w:val="0"/>
        <w:pageBreakBefore w:val="0"/>
        <w:widowControl w:val="0"/>
        <w:kinsoku/>
        <w:wordWrap/>
        <w:overflowPunct/>
        <w:topLinePunct w:val="0"/>
        <w:autoSpaceDE/>
        <w:autoSpaceDN/>
        <w:bidi w:val="0"/>
        <w:adjustRightInd/>
        <w:snapToGrid/>
        <w:spacing w:before="212" w:line="360" w:lineRule="auto"/>
        <w:ind w:left="28" w:right="95" w:firstLine="480" w:firstLineChars="200"/>
        <w:textAlignment w:val="auto"/>
        <w:outlineLvl w:val="0"/>
        <w:rPr>
          <w:spacing w:val="-2"/>
        </w:rPr>
      </w:pPr>
      <w:r>
        <w:t>1、院区所有病区床单元布类用品和全部医护工作服、病员服、包括手术类</w:t>
      </w:r>
      <w:r>
        <w:rPr>
          <w:spacing w:val="-1"/>
        </w:rPr>
        <w:t>用品</w:t>
      </w:r>
      <w:r>
        <w:rPr>
          <w:spacing w:val="-2"/>
        </w:rPr>
        <w:t>（除窗帘、隔帘）的配备情况</w:t>
      </w:r>
    </w:p>
    <w:p w14:paraId="044DD485">
      <w:pPr>
        <w:pStyle w:val="31"/>
        <w:keepNext w:val="0"/>
        <w:keepLines w:val="0"/>
        <w:pageBreakBefore w:val="0"/>
        <w:widowControl w:val="0"/>
        <w:kinsoku/>
        <w:wordWrap/>
        <w:overflowPunct/>
        <w:topLinePunct w:val="0"/>
        <w:autoSpaceDE/>
        <w:autoSpaceDN/>
        <w:bidi w:val="0"/>
        <w:adjustRightInd/>
        <w:snapToGrid/>
        <w:spacing w:before="212" w:line="360" w:lineRule="auto"/>
        <w:ind w:left="28" w:right="95" w:firstLine="480" w:firstLineChars="200"/>
        <w:textAlignment w:val="auto"/>
        <w:outlineLvl w:val="0"/>
      </w:pPr>
      <w:r>
        <w:t>1.1、盖被、垫被、枕芯按不低于床位数的 1：2 配置，换季负责更换、</w:t>
      </w:r>
      <w:r>
        <w:rPr>
          <w:spacing w:val="-1"/>
        </w:rPr>
        <w:t>洗涤</w:t>
      </w:r>
      <w:r>
        <w:rPr>
          <w:spacing w:val="-3"/>
        </w:rPr>
        <w:t>消毒、储存；</w:t>
      </w:r>
    </w:p>
    <w:p w14:paraId="0DFA4EF0">
      <w:pPr>
        <w:pStyle w:val="3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0"/>
      </w:pPr>
      <w:r>
        <w:t>1.2、床上“五件套”（含医护值班床位和普通病区：床单、被套、枕套、病</w:t>
      </w:r>
      <w:r>
        <w:rPr>
          <w:spacing w:val="-1"/>
        </w:rPr>
        <w:t>员服等） 按不低于床位 1：3</w:t>
      </w:r>
      <w:r>
        <w:rPr>
          <w:spacing w:val="42"/>
        </w:rPr>
        <w:t xml:space="preserve"> </w:t>
      </w:r>
      <w:r>
        <w:rPr>
          <w:spacing w:val="-1"/>
        </w:rPr>
        <w:t>比例配备，所有投放的物品保持“无补丁，无污</w:t>
      </w:r>
      <w:r>
        <w:rPr>
          <w:spacing w:val="-7"/>
        </w:rPr>
        <w:t>点</w:t>
      </w:r>
      <w:r>
        <w:rPr>
          <w:spacing w:val="-87"/>
        </w:rPr>
        <w:t xml:space="preserve"> </w:t>
      </w:r>
      <w:r>
        <w:rPr>
          <w:spacing w:val="-7"/>
        </w:rPr>
        <w:t>”的合格产品；</w:t>
      </w:r>
    </w:p>
    <w:p w14:paraId="05F27F8D">
      <w:pPr>
        <w:pStyle w:val="31"/>
        <w:keepNext w:val="0"/>
        <w:keepLines w:val="0"/>
        <w:pageBreakBefore w:val="0"/>
        <w:widowControl w:val="0"/>
        <w:kinsoku/>
        <w:wordWrap/>
        <w:overflowPunct/>
        <w:topLinePunct w:val="0"/>
        <w:autoSpaceDE/>
        <w:autoSpaceDN/>
        <w:bidi w:val="0"/>
        <w:adjustRightInd/>
        <w:snapToGrid/>
        <w:spacing w:line="360" w:lineRule="auto"/>
        <w:ind w:left="27" w:right="95" w:firstLine="468" w:firstLineChars="200"/>
        <w:textAlignment w:val="auto"/>
        <w:outlineLvl w:val="0"/>
      </w:pPr>
      <w:r>
        <w:rPr>
          <w:spacing w:val="-3"/>
        </w:rPr>
        <w:t>1.3、医护工作服按不低于 1：4 配置（冬夏装各 2</w:t>
      </w:r>
      <w:r>
        <w:rPr>
          <w:spacing w:val="12"/>
        </w:rPr>
        <w:t xml:space="preserve"> </w:t>
      </w:r>
      <w:r>
        <w:rPr>
          <w:spacing w:val="-3"/>
        </w:rPr>
        <w:t>套</w:t>
      </w:r>
      <w:r>
        <w:rPr>
          <w:spacing w:val="-13"/>
        </w:rPr>
        <w:t>），</w:t>
      </w:r>
      <w:r>
        <w:rPr>
          <w:spacing w:val="-3"/>
        </w:rPr>
        <w:t>提供可视标签以便</w:t>
      </w:r>
      <w:r>
        <w:rPr>
          <w:spacing w:val="-2"/>
        </w:rPr>
        <w:t>于双向管理 ；</w:t>
      </w:r>
    </w:p>
    <w:p w14:paraId="36CC4D6C">
      <w:pPr>
        <w:pStyle w:val="31"/>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outlineLvl w:val="0"/>
      </w:pPr>
      <w:r>
        <w:rPr>
          <w:spacing w:val="-3"/>
        </w:rPr>
        <w:t>1.4、手术衣及手术敷料（包括不限于：洗手衣、大小包布等）按不低于 1：6</w:t>
      </w:r>
      <w:r>
        <w:rPr>
          <w:spacing w:val="-7"/>
        </w:rPr>
        <w:t>比例配备， 所有手术衣及手术敷料确保“无破损</w:t>
      </w:r>
      <w:r>
        <w:rPr>
          <w:spacing w:val="-89"/>
        </w:rPr>
        <w:t xml:space="preserve"> </w:t>
      </w:r>
      <w:r>
        <w:rPr>
          <w:spacing w:val="-7"/>
        </w:rPr>
        <w:t>”、“无絮绒</w:t>
      </w:r>
      <w:r>
        <w:rPr>
          <w:spacing w:val="-88"/>
        </w:rPr>
        <w:t xml:space="preserve"> </w:t>
      </w:r>
      <w:r>
        <w:rPr>
          <w:spacing w:val="-7"/>
        </w:rPr>
        <w:t>”满足院感要求，</w:t>
      </w:r>
      <w:r>
        <w:rPr>
          <w:spacing w:val="-3"/>
        </w:rPr>
        <w:t>所有包布无缝补，包布按大小整理捆绑，洗手衣按大小成套折叠（10 套/捆）并</w:t>
      </w:r>
      <w:r>
        <w:rPr>
          <w:spacing w:val="-2"/>
        </w:rPr>
        <w:t>标注型号；</w:t>
      </w:r>
    </w:p>
    <w:p w14:paraId="7E71F8A6">
      <w:pPr>
        <w:pStyle w:val="31"/>
        <w:keepNext w:val="0"/>
        <w:keepLines w:val="0"/>
        <w:pageBreakBefore w:val="0"/>
        <w:widowControl w:val="0"/>
        <w:kinsoku/>
        <w:wordWrap/>
        <w:overflowPunct/>
        <w:topLinePunct w:val="0"/>
        <w:autoSpaceDE/>
        <w:autoSpaceDN/>
        <w:bidi w:val="0"/>
        <w:adjustRightInd/>
        <w:snapToGrid/>
        <w:spacing w:before="1" w:line="360" w:lineRule="auto"/>
        <w:ind w:left="11" w:right="41" w:firstLine="464" w:firstLineChars="200"/>
        <w:textAlignment w:val="auto"/>
        <w:outlineLvl w:val="0"/>
      </w:pPr>
      <w:r>
        <w:rPr>
          <w:spacing w:val="-4"/>
        </w:rPr>
        <w:t>1.5、血透病区布类等租赁用品按不低于 1:6</w:t>
      </w:r>
      <w:r>
        <w:rPr>
          <w:spacing w:val="48"/>
        </w:rPr>
        <w:t xml:space="preserve"> </w:t>
      </w:r>
      <w:r>
        <w:rPr>
          <w:spacing w:val="-4"/>
        </w:rPr>
        <w:t>比例配备，并确保“无破损</w:t>
      </w:r>
      <w:r>
        <w:rPr>
          <w:spacing w:val="-88"/>
        </w:rPr>
        <w:t xml:space="preserve"> </w:t>
      </w:r>
      <w:r>
        <w:rPr>
          <w:spacing w:val="-4"/>
        </w:rPr>
        <w:t>”、</w:t>
      </w:r>
      <w:r>
        <w:t xml:space="preserve"> </w:t>
      </w:r>
      <w:r>
        <w:rPr>
          <w:spacing w:val="-1"/>
        </w:rPr>
        <w:t>“无絮绒</w:t>
      </w:r>
      <w:r>
        <w:rPr>
          <w:spacing w:val="-85"/>
        </w:rPr>
        <w:t xml:space="preserve"> </w:t>
      </w:r>
      <w:r>
        <w:rPr>
          <w:spacing w:val="-1"/>
        </w:rPr>
        <w:t>”</w:t>
      </w:r>
      <w:r>
        <w:rPr>
          <w:spacing w:val="-22"/>
        </w:rPr>
        <w:t xml:space="preserve"> </w:t>
      </w:r>
      <w:r>
        <w:rPr>
          <w:spacing w:val="-1"/>
        </w:rPr>
        <w:t>满足院感要求；</w:t>
      </w:r>
    </w:p>
    <w:p w14:paraId="7C57FE04">
      <w:pPr>
        <w:pStyle w:val="31"/>
        <w:keepNext w:val="0"/>
        <w:keepLines w:val="0"/>
        <w:pageBreakBefore w:val="0"/>
        <w:widowControl w:val="0"/>
        <w:kinsoku/>
        <w:wordWrap/>
        <w:overflowPunct/>
        <w:topLinePunct w:val="0"/>
        <w:autoSpaceDE/>
        <w:autoSpaceDN/>
        <w:bidi w:val="0"/>
        <w:adjustRightInd/>
        <w:snapToGrid/>
        <w:spacing w:before="224" w:line="360" w:lineRule="auto"/>
        <w:ind w:firstLine="480" w:firstLineChars="200"/>
        <w:jc w:val="both"/>
        <w:textAlignment w:val="auto"/>
        <w:outlineLvl w:val="0"/>
      </w:pPr>
      <w:r>
        <mc:AlternateContent>
          <mc:Choice Requires="wps">
            <w:drawing>
              <wp:anchor distT="0" distB="0" distL="114300" distR="114300" simplePos="0" relativeHeight="251661312" behindDoc="0" locked="0" layoutInCell="1" allowOverlap="1">
                <wp:simplePos x="0" y="0"/>
                <wp:positionH relativeFrom="column">
                  <wp:posOffset>5210810</wp:posOffset>
                </wp:positionH>
                <wp:positionV relativeFrom="paragraph">
                  <wp:posOffset>227330</wp:posOffset>
                </wp:positionV>
                <wp:extent cx="136525" cy="10287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36525" cy="102870"/>
                        </a:xfrm>
                        <a:prstGeom prst="rect">
                          <a:avLst/>
                        </a:prstGeom>
                        <a:noFill/>
                        <a:ln>
                          <a:noFill/>
                        </a:ln>
                      </wps:spPr>
                      <wps:txbx>
                        <w:txbxContent>
                          <w:p w14:paraId="61005722">
                            <w:pPr>
                              <w:pStyle w:val="31"/>
                              <w:spacing w:before="20" w:line="121" w:lineRule="exact"/>
                              <w:jc w:val="right"/>
                              <w:outlineLvl w:val="0"/>
                            </w:pPr>
                          </w:p>
                        </w:txbxContent>
                      </wps:txbx>
                      <wps:bodyPr lIns="0" tIns="0" rIns="0" bIns="0" upright="1"/>
                    </wps:wsp>
                  </a:graphicData>
                </a:graphic>
              </wp:anchor>
            </w:drawing>
          </mc:Choice>
          <mc:Fallback>
            <w:pict>
              <v:shape id="_x0000_s1026" o:spid="_x0000_s1026" o:spt="202" type="#_x0000_t202" style="position:absolute;left:0pt;margin-left:410.3pt;margin-top:17.9pt;height:8.1pt;width:10.75pt;z-index:251661312;mso-width-relative:page;mso-height-relative:page;" filled="f" stroked="f" coordsize="21600,21600" o:gfxdata="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7bxzjYAAAACQEAAA8AAAAAAAAAAQAgAAAAIgAAAGRycy9kb3ducmV2LnhtbFBLAQIU&#10;ABQAAAAIAIdO4kAkXhA4ugEAAHMDAAAOAAAAAAAAAAEAIAAAACcBAABkcnMvZTJvRG9jLnhtbFBL&#10;BQYAAAAABgAGAFkBAABTBQAAAAA=&#10;">
                <v:fill on="f" focussize="0,0"/>
                <v:stroke on="f"/>
                <v:imagedata o:title=""/>
                <o:lock v:ext="edit" aspectratio="f"/>
                <v:textbox inset="0mm,0mm,0mm,0mm">
                  <w:txbxContent>
                    <w:p w14:paraId="61005722">
                      <w:pPr>
                        <w:pStyle w:val="31"/>
                        <w:spacing w:before="20" w:line="121" w:lineRule="exact"/>
                        <w:jc w:val="right"/>
                        <w:outlineLvl w:val="0"/>
                      </w:pPr>
                    </w:p>
                  </w:txbxContent>
                </v:textbox>
              </v:shape>
            </w:pict>
          </mc:Fallback>
        </mc:AlternateContent>
      </w:r>
      <w:r>
        <w:rPr>
          <w:spacing w:val="-3"/>
        </w:rPr>
        <w:t>1.6、各重症病区布类等租赁用品按不低于 1:6</w:t>
      </w:r>
      <w:r>
        <w:rPr>
          <w:spacing w:val="53"/>
        </w:rPr>
        <w:t xml:space="preserve"> </w:t>
      </w:r>
      <w:r>
        <w:rPr>
          <w:spacing w:val="-3"/>
        </w:rPr>
        <w:t>比例配备，并确保“无破损”</w:t>
      </w:r>
      <w:r>
        <w:rPr>
          <w:rFonts w:hint="eastAsia"/>
          <w:spacing w:val="-3"/>
          <w:lang w:eastAsia="zh-CN"/>
        </w:rPr>
        <w:t>、</w:t>
      </w:r>
      <w:r>
        <w:rPr>
          <w:spacing w:val="-3"/>
        </w:rPr>
        <w:t>“无絮绒</w:t>
      </w:r>
      <w:r>
        <w:rPr>
          <w:spacing w:val="-83"/>
        </w:rPr>
        <w:t xml:space="preserve"> </w:t>
      </w:r>
      <w:r>
        <w:rPr>
          <w:spacing w:val="-3"/>
        </w:rPr>
        <w:t>”满足院感要求。</w:t>
      </w:r>
    </w:p>
    <w:p w14:paraId="266F37D3">
      <w:pPr>
        <w:pStyle w:val="31"/>
        <w:keepNext w:val="0"/>
        <w:keepLines w:val="0"/>
        <w:pageBreakBefore w:val="0"/>
        <w:widowControl w:val="0"/>
        <w:kinsoku/>
        <w:wordWrap/>
        <w:overflowPunct/>
        <w:topLinePunct w:val="0"/>
        <w:autoSpaceDE/>
        <w:autoSpaceDN/>
        <w:bidi w:val="0"/>
        <w:adjustRightInd/>
        <w:snapToGrid/>
        <w:spacing w:before="224" w:line="360" w:lineRule="auto"/>
        <w:ind w:left="50" w:firstLine="472" w:firstLineChars="200"/>
        <w:textAlignment w:val="auto"/>
        <w:outlineLvl w:val="0"/>
      </w:pPr>
      <w:r>
        <w:rPr>
          <w:spacing w:val="-2"/>
        </w:rPr>
        <w:t>以上配备必须满足招标方临床使用实际需求（后期据实增加）。</w:t>
      </w:r>
    </w:p>
    <w:p w14:paraId="2AA1D96B">
      <w:pPr>
        <w:pStyle w:val="31"/>
        <w:keepNext w:val="0"/>
        <w:keepLines w:val="0"/>
        <w:pageBreakBefore w:val="0"/>
        <w:widowControl w:val="0"/>
        <w:numPr>
          <w:ilvl w:val="0"/>
          <w:numId w:val="14"/>
        </w:numPr>
        <w:kinsoku/>
        <w:wordWrap/>
        <w:overflowPunct/>
        <w:topLinePunct w:val="0"/>
        <w:autoSpaceDE/>
        <w:autoSpaceDN/>
        <w:bidi w:val="0"/>
        <w:adjustRightInd/>
        <w:snapToGrid/>
        <w:spacing w:before="225" w:line="360" w:lineRule="auto"/>
        <w:ind w:left="26" w:firstLine="480" w:firstLineChars="200"/>
        <w:textAlignment w:val="auto"/>
        <w:outlineLvl w:val="0"/>
      </w:pPr>
      <w:r>
        <w:t>中标方提供租赁类产品的色泽、款式、规格、材质由院方决定，其中床品和病员衣裤为 CVC 面料、手术敷料和儿科用品为全棉面料。工作服布料为涤 65/</w:t>
      </w:r>
      <w:r>
        <w:rPr>
          <w:spacing w:val="-7"/>
        </w:rPr>
        <w:t>棉35。</w:t>
      </w:r>
    </w:p>
    <w:p w14:paraId="00127C30">
      <w:pPr>
        <w:pStyle w:val="31"/>
        <w:keepNext w:val="0"/>
        <w:keepLines w:val="0"/>
        <w:pageBreakBefore w:val="0"/>
        <w:widowControl w:val="0"/>
        <w:kinsoku/>
        <w:wordWrap/>
        <w:overflowPunct/>
        <w:topLinePunct w:val="0"/>
        <w:autoSpaceDE/>
        <w:autoSpaceDN/>
        <w:bidi w:val="0"/>
        <w:adjustRightInd/>
        <w:snapToGrid/>
        <w:spacing w:line="360" w:lineRule="auto"/>
        <w:ind w:left="23" w:firstLine="472" w:firstLineChars="200"/>
        <w:textAlignment w:val="auto"/>
        <w:outlineLvl w:val="0"/>
      </w:pPr>
      <w:r>
        <w:rPr>
          <w:spacing w:val="-2"/>
        </w:rPr>
        <w:t>三、服务要求和标准</w:t>
      </w:r>
    </w:p>
    <w:p w14:paraId="3FB26DEC">
      <w:pPr>
        <w:pStyle w:val="31"/>
        <w:spacing w:before="226" w:line="220" w:lineRule="auto"/>
        <w:ind w:left="514"/>
        <w:outlineLvl w:val="0"/>
      </w:pPr>
      <w:r>
        <w:rPr>
          <w:spacing w:val="-3"/>
        </w:rPr>
        <w:t>（一）洗涤质量标准</w:t>
      </w:r>
    </w:p>
    <w:p w14:paraId="0FECF015">
      <w:pPr>
        <w:pStyle w:val="31"/>
        <w:spacing w:before="224" w:line="219" w:lineRule="auto"/>
        <w:ind w:left="504"/>
        <w:outlineLvl w:val="0"/>
      </w:pPr>
      <w:r>
        <w:t>严格按照《医院医用织物洗涤消毒技术规范》WS/T50</w:t>
      </w:r>
      <w:r>
        <w:rPr>
          <w:spacing w:val="-1"/>
        </w:rPr>
        <w:t>8-2016 规定执行：</w:t>
      </w:r>
    </w:p>
    <w:p w14:paraId="03B63888">
      <w:pPr>
        <w:pStyle w:val="31"/>
        <w:spacing w:before="226" w:line="219" w:lineRule="auto"/>
        <w:ind w:left="521"/>
        <w:outlineLvl w:val="0"/>
      </w:pPr>
      <w:r>
        <w:t>1、脏污织物应遵循先洗涤后消毒原则。被朊病毒、气性坏疽、</w:t>
      </w:r>
      <w:r>
        <w:rPr>
          <w:spacing w:val="-1"/>
        </w:rPr>
        <w:t>突发不明原</w:t>
      </w:r>
    </w:p>
    <w:p w14:paraId="06094FF3">
      <w:pPr>
        <w:pStyle w:val="31"/>
        <w:spacing w:before="225" w:line="392" w:lineRule="auto"/>
        <w:ind w:left="24" w:right="41" w:firstLine="17"/>
        <w:rPr>
          <w:rFonts w:hint="eastAsia" w:eastAsia="宋体"/>
          <w:lang w:eastAsia="zh-CN"/>
        </w:rPr>
      </w:pPr>
      <w:r>
        <w:rPr>
          <w:spacing w:val="-4"/>
        </w:rPr>
        <w:t>因传染病的病原体或其他有明确规定的传染病病原体污染的感染性织物，以及多</w:t>
      </w:r>
      <w:r>
        <w:rPr>
          <w:spacing w:val="-2"/>
        </w:rPr>
        <w:t>重耐药菌感染或定植患者使用后的感染性织物，若需重复使用应先消毒后洗涤</w:t>
      </w:r>
      <w:r>
        <w:rPr>
          <w:rFonts w:hint="eastAsia"/>
          <w:spacing w:val="-2"/>
          <w:lang w:eastAsia="zh-CN"/>
        </w:rPr>
        <w:t>。</w:t>
      </w:r>
    </w:p>
    <w:p w14:paraId="03887E0B">
      <w:pPr>
        <w:pStyle w:val="31"/>
        <w:numPr>
          <w:ilvl w:val="0"/>
          <w:numId w:val="15"/>
        </w:numPr>
        <w:spacing w:before="212" w:line="305" w:lineRule="auto"/>
        <w:ind w:left="22" w:right="82" w:firstLine="485"/>
        <w:outlineLvl w:val="0"/>
        <w:rPr>
          <w:spacing w:val="8"/>
        </w:rPr>
      </w:pPr>
      <w:r>
        <w:rPr>
          <w:spacing w:val="-1"/>
        </w:rPr>
        <w:t>收集转运（满足下收下送需求，专用布草袋收集，封闭式专车转运</w:t>
      </w:r>
      <w:r>
        <w:rPr>
          <w:spacing w:val="8"/>
        </w:rPr>
        <w:t>）；</w:t>
      </w:r>
    </w:p>
    <w:p w14:paraId="59DBD28B">
      <w:pPr>
        <w:pStyle w:val="31"/>
        <w:keepNext w:val="0"/>
        <w:keepLines w:val="0"/>
        <w:pageBreakBefore w:val="0"/>
        <w:widowControl/>
        <w:numPr>
          <w:ilvl w:val="0"/>
          <w:numId w:val="0"/>
        </w:numPr>
        <w:kinsoku w:val="0"/>
        <w:wordWrap/>
        <w:overflowPunct/>
        <w:topLinePunct w:val="0"/>
        <w:autoSpaceDE w:val="0"/>
        <w:autoSpaceDN w:val="0"/>
        <w:bidi w:val="0"/>
        <w:adjustRightInd w:val="0"/>
        <w:snapToGrid w:val="0"/>
        <w:spacing w:before="212" w:line="305" w:lineRule="auto"/>
        <w:ind w:left="0" w:leftChars="0" w:right="79" w:rightChars="0" w:firstLine="480" w:firstLineChars="200"/>
        <w:textAlignment w:val="baseline"/>
        <w:outlineLvl w:val="0"/>
      </w:pPr>
      <w:r>
        <w:t>3、分拣（脏污被服应在指定区域尽快分拣。根据洗涤物品的种类、清洁程</w:t>
      </w:r>
      <w:r>
        <w:rPr>
          <w:spacing w:val="-2"/>
        </w:rPr>
        <w:t>度等进行分拣）</w:t>
      </w:r>
    </w:p>
    <w:p w14:paraId="5BF5894C">
      <w:pPr>
        <w:pStyle w:val="31"/>
        <w:spacing w:before="225" w:line="219" w:lineRule="auto"/>
        <w:ind w:left="502"/>
        <w:outlineLvl w:val="0"/>
      </w:pPr>
      <w:r>
        <w:t>4、洗涤：新生儿和产科衣物应单独清洗；非医用公</w:t>
      </w:r>
      <w:r>
        <w:rPr>
          <w:spacing w:val="-1"/>
        </w:rPr>
        <w:t>共纺织品和医用公共纺</w:t>
      </w:r>
    </w:p>
    <w:p w14:paraId="096F4ECC">
      <w:pPr>
        <w:pStyle w:val="31"/>
        <w:spacing w:before="226" w:line="392" w:lineRule="auto"/>
        <w:ind w:left="22" w:right="80" w:firstLine="4"/>
      </w:pPr>
      <w:r>
        <w:rPr>
          <w:spacing w:val="-3"/>
        </w:rPr>
        <w:t>织品必须分开洗涤和消毒，设备、环境、人员必须分开，医护人员工作服</w:t>
      </w:r>
      <w:r>
        <w:rPr>
          <w:spacing w:val="-4"/>
        </w:rPr>
        <w:t>（包括</w:t>
      </w:r>
      <w:r>
        <w:rPr>
          <w:spacing w:val="-3"/>
        </w:rPr>
        <w:t>洗手衣、裤）和医护人员值班被应单独清洗，感染病房、皮肤科医用布类物品分</w:t>
      </w:r>
      <w:r>
        <w:t>机洗涤；各种布类 1 手术辅料单独洗涤。其它特殊医用织物按要求进行洗涤。被血液或其他体液严重污染的被服、衣物必须进行污染</w:t>
      </w:r>
      <w:r>
        <w:rPr>
          <w:spacing w:val="-1"/>
        </w:rPr>
        <w:t>物处理后再进行清洗。</w:t>
      </w:r>
    </w:p>
    <w:p w14:paraId="3FBCB741">
      <w:pPr>
        <w:pStyle w:val="31"/>
        <w:spacing w:line="218" w:lineRule="auto"/>
        <w:ind w:left="508"/>
        <w:outlineLvl w:val="0"/>
      </w:pPr>
      <w:r>
        <w:rPr>
          <w:spacing w:val="-2"/>
        </w:rPr>
        <w:t>5、脱水(脱水机处理)；</w:t>
      </w:r>
    </w:p>
    <w:p w14:paraId="3C205EED">
      <w:pPr>
        <w:pStyle w:val="31"/>
        <w:spacing w:before="228" w:line="306" w:lineRule="auto"/>
        <w:ind w:left="27" w:right="80" w:firstLine="478"/>
        <w:outlineLvl w:val="0"/>
      </w:pPr>
      <w:r>
        <w:rPr>
          <w:spacing w:val="-3"/>
        </w:rPr>
        <w:t>6、烘干(烘干机处理，医用织物洗涤后应按织物种类烘干，烘干温</w:t>
      </w:r>
      <w:r>
        <w:rPr>
          <w:spacing w:val="-4"/>
        </w:rPr>
        <w:t>度不宜低</w:t>
      </w:r>
      <w:r>
        <w:rPr>
          <w:spacing w:val="-5"/>
        </w:rPr>
        <w:t>于</w:t>
      </w:r>
      <w:r>
        <w:rPr>
          <w:spacing w:val="15"/>
        </w:rPr>
        <w:t xml:space="preserve"> </w:t>
      </w:r>
      <w:r>
        <w:rPr>
          <w:spacing w:val="-5"/>
        </w:rPr>
        <w:t>60℃)；</w:t>
      </w:r>
    </w:p>
    <w:p w14:paraId="37206DE2">
      <w:pPr>
        <w:pStyle w:val="31"/>
        <w:spacing w:before="223" w:line="219" w:lineRule="auto"/>
        <w:ind w:left="509"/>
        <w:outlineLvl w:val="0"/>
      </w:pPr>
      <w:r>
        <w:rPr>
          <w:spacing w:val="-1"/>
        </w:rPr>
        <w:t>7、工作服、床单、被套熨烫平整(机器或手工熨烫)、折叠；折叠过程中要</w:t>
      </w:r>
    </w:p>
    <w:p w14:paraId="4A0B00B8">
      <w:pPr>
        <w:pStyle w:val="31"/>
        <w:spacing w:before="225" w:line="392" w:lineRule="auto"/>
        <w:ind w:left="46" w:right="80" w:hanging="21"/>
      </w:pPr>
      <w:r>
        <w:rPr>
          <w:spacing w:val="-3"/>
        </w:rPr>
        <w:t>求对洁净被服、衣物进行品质检查，发现问题及时处理。对于带有不同污渍需要</w:t>
      </w:r>
      <w:r>
        <w:rPr>
          <w:spacing w:val="-1"/>
        </w:rPr>
        <w:t>回洗的被服、衣物，要针对其污渍特点使用相对应的回洗方法和去渍手段；</w:t>
      </w:r>
    </w:p>
    <w:p w14:paraId="3778922F">
      <w:pPr>
        <w:pStyle w:val="31"/>
        <w:spacing w:line="219" w:lineRule="auto"/>
        <w:ind w:left="504"/>
        <w:outlineLvl w:val="0"/>
      </w:pPr>
      <w:r>
        <w:rPr>
          <w:spacing w:val="-1"/>
        </w:rPr>
        <w:t>8、对破损的衣物要缝补完整（包括破损、系带、松紧带、扣子等</w:t>
      </w:r>
      <w:r>
        <w:rPr>
          <w:spacing w:val="9"/>
        </w:rPr>
        <w:t>），</w:t>
      </w:r>
      <w:r>
        <w:rPr>
          <w:spacing w:val="-1"/>
        </w:rPr>
        <w:t>修补</w:t>
      </w:r>
    </w:p>
    <w:p w14:paraId="58F5B35F">
      <w:pPr>
        <w:pStyle w:val="31"/>
        <w:spacing w:before="226" w:line="219" w:lineRule="auto"/>
        <w:ind w:left="43"/>
      </w:pPr>
      <w:r>
        <w:rPr>
          <w:spacing w:val="-1"/>
        </w:rPr>
        <w:t>的材料由中标方承担（扣子、系带等配件应统一，符合衣</w:t>
      </w:r>
      <w:r>
        <w:rPr>
          <w:spacing w:val="-2"/>
        </w:rPr>
        <w:t>服需要</w:t>
      </w:r>
      <w:r>
        <w:t>）；</w:t>
      </w:r>
    </w:p>
    <w:p w14:paraId="799F736F">
      <w:pPr>
        <w:pStyle w:val="31"/>
        <w:spacing w:before="225" w:line="219" w:lineRule="auto"/>
        <w:ind w:left="504"/>
        <w:outlineLvl w:val="0"/>
      </w:pPr>
      <w:r>
        <w:rPr>
          <w:spacing w:val="-1"/>
        </w:rPr>
        <w:t>9、包装(专用袋分类包装，且具有一定的防水性能)；</w:t>
      </w:r>
    </w:p>
    <w:p w14:paraId="638A15CC">
      <w:pPr>
        <w:pStyle w:val="31"/>
        <w:spacing w:before="226" w:line="219" w:lineRule="auto"/>
        <w:ind w:left="521"/>
        <w:outlineLvl w:val="0"/>
      </w:pPr>
      <w:r>
        <w:rPr>
          <w:spacing w:val="-2"/>
        </w:rPr>
        <w:t>10、运输(全封闭车转运、送货)；</w:t>
      </w:r>
    </w:p>
    <w:p w14:paraId="530B9C1E">
      <w:pPr>
        <w:pStyle w:val="31"/>
        <w:keepNext w:val="0"/>
        <w:keepLines w:val="0"/>
        <w:pageBreakBefore w:val="0"/>
        <w:widowControl w:val="0"/>
        <w:kinsoku/>
        <w:wordWrap/>
        <w:overflowPunct/>
        <w:topLinePunct w:val="0"/>
        <w:autoSpaceDE/>
        <w:autoSpaceDN/>
        <w:bidi w:val="0"/>
        <w:adjustRightInd/>
        <w:snapToGrid/>
        <w:spacing w:before="225" w:line="360" w:lineRule="auto"/>
        <w:ind w:firstLine="464" w:firstLineChars="200"/>
        <w:textAlignment w:val="auto"/>
        <w:outlineLvl w:val="0"/>
      </w:pPr>
      <w:r>
        <w:rPr>
          <w:spacing w:val="-4"/>
        </w:rPr>
        <w:t>11、污染衣被未经洗涤不得进入清洁通道及清洁区。运送脏污被服的车辆与</w:t>
      </w:r>
      <w:r>
        <w:rPr>
          <w:spacing w:val="-1"/>
        </w:rPr>
        <w:t>运送清洁被服的车辆要严格分开，并按要求定期清洁消毒；</w:t>
      </w:r>
    </w:p>
    <w:p w14:paraId="06C17499">
      <w:pPr>
        <w:pStyle w:val="31"/>
        <w:spacing w:before="223" w:line="219" w:lineRule="auto"/>
        <w:ind w:firstLine="448" w:firstLineChars="200"/>
        <w:jc w:val="both"/>
        <w:outlineLvl w:val="0"/>
      </w:pPr>
      <w:r>
        <w:rPr>
          <w:spacing w:val="-8"/>
        </w:rPr>
        <w:t>12、儿科、妇科、产科、血透中心、感染科等特殊病区医用布品须区分发</w:t>
      </w:r>
      <w:r>
        <w:rPr>
          <w:spacing w:val="-9"/>
        </w:rPr>
        <w:t>放。</w:t>
      </w:r>
    </w:p>
    <w:p w14:paraId="6B5C3F04">
      <w:pPr>
        <w:pStyle w:val="31"/>
        <w:spacing w:before="227" w:line="220" w:lineRule="auto"/>
        <w:ind w:left="514"/>
        <w:outlineLvl w:val="0"/>
      </w:pPr>
      <w:r>
        <w:rPr>
          <w:spacing w:val="-3"/>
        </w:rPr>
        <w:t>（二）洗涤原料</w:t>
      </w:r>
    </w:p>
    <w:p w14:paraId="0739B5C3">
      <w:pPr>
        <w:pStyle w:val="31"/>
        <w:spacing w:before="223" w:line="219" w:lineRule="auto"/>
        <w:ind w:left="507"/>
        <w:outlineLvl w:val="0"/>
      </w:pPr>
      <w:r>
        <w:rPr>
          <w:spacing w:val="-3"/>
        </w:rPr>
        <w:t>企业必须采用符合国家卫生标准、安全标准、环保要求</w:t>
      </w:r>
      <w:r>
        <w:rPr>
          <w:spacing w:val="-4"/>
        </w:rPr>
        <w:t>的洗涤剂产品，其合</w:t>
      </w:r>
    </w:p>
    <w:p w14:paraId="605E04B4">
      <w:pPr>
        <w:pStyle w:val="31"/>
        <w:spacing w:before="227" w:line="392" w:lineRule="auto"/>
        <w:ind w:left="22" w:right="45"/>
      </w:pPr>
      <w:r>
        <w:rPr>
          <w:spacing w:val="-2"/>
        </w:rPr>
        <w:t>格证必须在甲方登记备案，不得使用有害身体或导致皮肤不良反应的洗涤用品，</w:t>
      </w:r>
      <w:r>
        <w:rPr>
          <w:spacing w:val="-1"/>
        </w:rPr>
        <w:t>洗涤剂投放剂量应有登记并符合规范。</w:t>
      </w:r>
    </w:p>
    <w:p w14:paraId="43743E59">
      <w:pPr>
        <w:pStyle w:val="31"/>
        <w:spacing w:before="3" w:line="304" w:lineRule="auto"/>
        <w:ind w:left="24" w:right="26" w:firstLine="481"/>
        <w:outlineLvl w:val="0"/>
      </w:pPr>
      <w:r>
        <w:rPr>
          <w:spacing w:val="-2"/>
        </w:rPr>
        <w:t>投标文件中须注明洗涤原料的品牌、生产企业、产品质量认证等相关资料、</w:t>
      </w:r>
      <w:r>
        <w:rPr>
          <w:spacing w:val="-1"/>
        </w:rPr>
        <w:t>提供承诺函并加盖投标单位公章。</w:t>
      </w:r>
    </w:p>
    <w:p w14:paraId="6535C15C">
      <w:pPr>
        <w:pStyle w:val="31"/>
        <w:numPr>
          <w:ilvl w:val="0"/>
          <w:numId w:val="16"/>
        </w:numPr>
        <w:spacing w:before="210" w:line="306" w:lineRule="auto"/>
        <w:ind w:left="24" w:right="106" w:firstLine="496"/>
        <w:outlineLvl w:val="0"/>
        <w:rPr>
          <w:spacing w:val="-2"/>
        </w:rPr>
      </w:pPr>
      <w:r>
        <w:rPr>
          <w:spacing w:val="-2"/>
        </w:rPr>
        <w:t>洗涤消毒后医用织物的卫生质量要求</w:t>
      </w:r>
    </w:p>
    <w:p w14:paraId="12AE1EAC">
      <w:pPr>
        <w:pStyle w:val="31"/>
        <w:numPr>
          <w:ilvl w:val="0"/>
          <w:numId w:val="0"/>
        </w:numPr>
        <w:spacing w:before="210" w:line="306" w:lineRule="auto"/>
        <w:ind w:left="520" w:leftChars="0" w:right="106" w:rightChars="0"/>
        <w:outlineLvl w:val="0"/>
      </w:pPr>
      <w:r>
        <w:rPr>
          <w:spacing w:val="-1"/>
        </w:rPr>
        <w:t>1、清洁整齐、干燥、无异味、无异物、无破损，肉眼检测无明显污迹、污渍、无大片脱色、染色；</w:t>
      </w:r>
    </w:p>
    <w:p w14:paraId="30E59476">
      <w:pPr>
        <w:pStyle w:val="31"/>
        <w:keepNext w:val="0"/>
        <w:keepLines w:val="0"/>
        <w:pageBreakBefore w:val="0"/>
        <w:widowControl w:val="0"/>
        <w:kinsoku/>
        <w:wordWrap/>
        <w:overflowPunct/>
        <w:topLinePunct w:val="0"/>
        <w:autoSpaceDE/>
        <w:autoSpaceDN/>
        <w:bidi w:val="0"/>
        <w:adjustRightInd/>
        <w:snapToGrid/>
        <w:spacing w:before="225" w:line="360" w:lineRule="auto"/>
        <w:ind w:left="505"/>
        <w:textAlignment w:val="auto"/>
        <w:outlineLvl w:val="0"/>
      </w:pPr>
      <w:r>
        <w:rPr>
          <w:spacing w:val="-2"/>
        </w:rPr>
        <w:t>2、清洁织物微生物指标应符合：细菌菌落</w:t>
      </w:r>
      <w:r>
        <w:rPr>
          <w:spacing w:val="-3"/>
        </w:rPr>
        <w:t>总数/ (CFU/100cm2)≤200，大肠</w:t>
      </w:r>
      <w:r>
        <w:rPr>
          <w:spacing w:val="-1"/>
        </w:rPr>
        <w:t>杆菌、金黄色葡萄球菌均不得检出。</w:t>
      </w:r>
    </w:p>
    <w:p w14:paraId="04F42F83">
      <w:pPr>
        <w:pStyle w:val="31"/>
        <w:spacing w:before="225" w:line="219" w:lineRule="auto"/>
        <w:ind w:left="508"/>
        <w:outlineLvl w:val="0"/>
      </w:pPr>
      <w:r>
        <w:rPr>
          <w:spacing w:val="-1"/>
        </w:rPr>
        <w:t>3、所有经要求熨烫的布类应保持平整，无明显皱褶。</w:t>
      </w:r>
    </w:p>
    <w:p w14:paraId="7B79D1BD">
      <w:pPr>
        <w:pStyle w:val="31"/>
        <w:spacing w:before="225" w:line="306" w:lineRule="auto"/>
        <w:ind w:left="22" w:right="146" w:firstLine="480"/>
        <w:outlineLvl w:val="0"/>
      </w:pPr>
      <w:r>
        <w:rPr>
          <w:spacing w:val="-2"/>
        </w:rPr>
        <w:t>4、洗涤后的布类物品保持完好，无掉扣、掉带、毛边，工作服（洗手衣、</w:t>
      </w:r>
      <w:r>
        <w:rPr>
          <w:spacing w:val="-1"/>
        </w:rPr>
        <w:t>裤）、病员服等正面向外，熨烫、折叠整齐。</w:t>
      </w:r>
    </w:p>
    <w:p w14:paraId="66519C95">
      <w:pPr>
        <w:pStyle w:val="31"/>
        <w:spacing w:before="224" w:line="220" w:lineRule="auto"/>
        <w:ind w:left="514"/>
        <w:outlineLvl w:val="0"/>
      </w:pPr>
      <w:r>
        <w:rPr>
          <w:spacing w:val="-3"/>
        </w:rPr>
        <w:t>（四）中转要求</w:t>
      </w:r>
    </w:p>
    <w:p w14:paraId="01D6F16E">
      <w:pPr>
        <w:pStyle w:val="31"/>
        <w:spacing w:before="225" w:line="219" w:lineRule="auto"/>
        <w:ind w:left="521"/>
        <w:outlineLvl w:val="0"/>
      </w:pPr>
      <w:r>
        <w:rPr>
          <w:spacing w:val="-1"/>
        </w:rPr>
        <w:t>1、中标方应严格遵守院方提出的每天洗换时间的要求，如遇设备故障及不</w:t>
      </w:r>
    </w:p>
    <w:p w14:paraId="52424550">
      <w:pPr>
        <w:pStyle w:val="31"/>
        <w:spacing w:before="225" w:line="392" w:lineRule="auto"/>
        <w:ind w:left="26" w:right="18" w:hanging="1"/>
      </w:pPr>
      <w:r>
        <w:rPr>
          <w:spacing w:val="-8"/>
        </w:rPr>
        <w:t>可遇见的事件出现，中标方应及时与院方取得联系，并且有相应的应急处理措施，</w:t>
      </w:r>
      <w:r>
        <w:rPr>
          <w:spacing w:val="-2"/>
        </w:rPr>
        <w:t>不得影响院方正常工作。</w:t>
      </w:r>
    </w:p>
    <w:p w14:paraId="026B7916">
      <w:pPr>
        <w:pStyle w:val="31"/>
        <w:spacing w:line="306" w:lineRule="auto"/>
        <w:ind w:left="30" w:firstLine="475"/>
        <w:outlineLvl w:val="0"/>
      </w:pPr>
      <w:r>
        <w:rPr>
          <w:spacing w:val="-4"/>
        </w:rPr>
        <w:t>2、如遇法定节假日、双休日应照常洗涤，并保证质</w:t>
      </w:r>
      <w:r>
        <w:rPr>
          <w:spacing w:val="-5"/>
        </w:rPr>
        <w:t>量，不得耽误正常使用。</w:t>
      </w:r>
      <w:r>
        <w:rPr>
          <w:spacing w:val="-2"/>
        </w:rPr>
        <w:t>否则一切后果由中标方负责。</w:t>
      </w:r>
    </w:p>
    <w:p w14:paraId="588008C1">
      <w:pPr>
        <w:pStyle w:val="31"/>
        <w:spacing w:before="224" w:line="221" w:lineRule="auto"/>
        <w:ind w:left="514"/>
        <w:outlineLvl w:val="0"/>
      </w:pPr>
      <w:r>
        <w:rPr>
          <w:spacing w:val="-3"/>
        </w:rPr>
        <w:t>（五）运送要求</w:t>
      </w:r>
    </w:p>
    <w:p w14:paraId="46294D97">
      <w:pPr>
        <w:pStyle w:val="31"/>
        <w:spacing w:before="224" w:line="219" w:lineRule="auto"/>
        <w:ind w:left="521"/>
        <w:outlineLvl w:val="0"/>
      </w:pPr>
      <w:r>
        <w:rPr>
          <w:spacing w:val="-1"/>
        </w:rPr>
        <w:t>1、医护人员的服装、被服应严格与患者的病员服、被服分开。</w:t>
      </w:r>
    </w:p>
    <w:p w14:paraId="35C260CB">
      <w:pPr>
        <w:pStyle w:val="31"/>
        <w:spacing w:before="225" w:line="219" w:lineRule="auto"/>
        <w:ind w:left="506"/>
        <w:outlineLvl w:val="0"/>
      </w:pPr>
      <w:r>
        <w:rPr>
          <w:spacing w:val="-1"/>
        </w:rPr>
        <w:t>2、医用织物包装袋要求定期清洗、消毒，运输车辆要求定期消毒。</w:t>
      </w:r>
    </w:p>
    <w:p w14:paraId="07682813">
      <w:pPr>
        <w:pStyle w:val="31"/>
        <w:spacing w:before="225" w:line="219" w:lineRule="auto"/>
        <w:ind w:left="508"/>
        <w:outlineLvl w:val="0"/>
      </w:pPr>
      <w:r>
        <w:rPr>
          <w:spacing w:val="-1"/>
        </w:rPr>
        <w:t>3、洁净的布品不得与污染的布品同车运输。</w:t>
      </w:r>
    </w:p>
    <w:p w14:paraId="2B9D6E46">
      <w:pPr>
        <w:pStyle w:val="31"/>
        <w:spacing w:before="225" w:line="306" w:lineRule="auto"/>
        <w:ind w:left="26" w:right="106" w:firstLine="476"/>
        <w:outlineLvl w:val="0"/>
      </w:pPr>
      <w:r>
        <w:t>4、运输工具运送感染性布品后应一用一清洗消毒，</w:t>
      </w:r>
      <w:r>
        <w:rPr>
          <w:spacing w:val="-1"/>
        </w:rPr>
        <w:t>消毒方法参照（医疗机构消毒技术规范 WS/T 367） 执行。</w:t>
      </w:r>
    </w:p>
    <w:p w14:paraId="42DE4459">
      <w:pPr>
        <w:pStyle w:val="31"/>
        <w:spacing w:before="224" w:line="221" w:lineRule="auto"/>
        <w:ind w:left="514"/>
        <w:outlineLvl w:val="0"/>
      </w:pPr>
      <w:r>
        <w:rPr>
          <w:spacing w:val="-3"/>
        </w:rPr>
        <w:t>（六）配送要求</w:t>
      </w:r>
    </w:p>
    <w:p w14:paraId="7E21439C">
      <w:pPr>
        <w:pStyle w:val="31"/>
        <w:keepNext w:val="0"/>
        <w:keepLines w:val="0"/>
        <w:pageBreakBefore w:val="0"/>
        <w:widowControl w:val="0"/>
        <w:kinsoku/>
        <w:wordWrap/>
        <w:overflowPunct/>
        <w:topLinePunct w:val="0"/>
        <w:autoSpaceDE/>
        <w:autoSpaceDN/>
        <w:bidi w:val="0"/>
        <w:adjustRightInd/>
        <w:snapToGrid/>
        <w:spacing w:before="224" w:line="360" w:lineRule="auto"/>
        <w:ind w:left="521"/>
        <w:textAlignment w:val="auto"/>
        <w:outlineLvl w:val="0"/>
      </w:pPr>
      <w:r>
        <w:rPr>
          <w:spacing w:val="-1"/>
        </w:rPr>
        <w:t>1、清点污染衣被时应戴手套和口罩，穿工作衣要做好防护措施。确认的感</w:t>
      </w:r>
      <w:r>
        <w:rPr>
          <w:spacing w:val="-2"/>
        </w:rPr>
        <w:t>染性布类物品应在患者床边密闭收集（医院医用织物洗涤消毒技术规范 WS/T</w:t>
      </w:r>
      <w:r>
        <w:t xml:space="preserve"> </w:t>
      </w:r>
      <w:r>
        <w:rPr>
          <w:spacing w:val="-2"/>
        </w:rPr>
        <w:t>508-2016）。</w:t>
      </w:r>
    </w:p>
    <w:p w14:paraId="26B97AF1">
      <w:pPr>
        <w:pStyle w:val="31"/>
        <w:keepNext w:val="0"/>
        <w:keepLines w:val="0"/>
        <w:pageBreakBefore w:val="0"/>
        <w:widowControl w:val="0"/>
        <w:kinsoku/>
        <w:wordWrap/>
        <w:overflowPunct/>
        <w:topLinePunct w:val="0"/>
        <w:autoSpaceDE/>
        <w:autoSpaceDN/>
        <w:bidi w:val="0"/>
        <w:adjustRightInd/>
        <w:snapToGrid/>
        <w:spacing w:before="1" w:line="360" w:lineRule="auto"/>
        <w:ind w:left="506"/>
        <w:textAlignment w:val="auto"/>
        <w:outlineLvl w:val="0"/>
      </w:pPr>
      <w:r>
        <w:rPr>
          <w:spacing w:val="-1"/>
        </w:rPr>
        <w:t>2、清洁和污染的布类应用不同颜色的布草袋包装运送，不得混装。</w:t>
      </w:r>
    </w:p>
    <w:p w14:paraId="536DB9B4">
      <w:pPr>
        <w:pStyle w:val="31"/>
        <w:spacing w:before="227" w:line="219" w:lineRule="auto"/>
        <w:ind w:left="508"/>
        <w:outlineLvl w:val="0"/>
      </w:pPr>
      <w:r>
        <w:rPr>
          <w:spacing w:val="-1"/>
        </w:rPr>
        <w:t>3、下收下送车辆应按规定路线运行。</w:t>
      </w:r>
    </w:p>
    <w:p w14:paraId="1E01AF26">
      <w:pPr>
        <w:pStyle w:val="31"/>
        <w:spacing w:before="223" w:line="219" w:lineRule="auto"/>
        <w:ind w:left="502"/>
        <w:outlineLvl w:val="0"/>
      </w:pPr>
      <w:r>
        <w:rPr>
          <w:spacing w:val="-1"/>
        </w:rPr>
        <w:t>4、每日配送不少于一次（具体按照采购人要求执行</w:t>
      </w:r>
      <w:r>
        <w:rPr>
          <w:spacing w:val="10"/>
        </w:rPr>
        <w:t>），</w:t>
      </w:r>
      <w:r>
        <w:rPr>
          <w:spacing w:val="-1"/>
        </w:rPr>
        <w:t>原则上收送时间：</w:t>
      </w:r>
    </w:p>
    <w:p w14:paraId="4881BB3F">
      <w:pPr>
        <w:pStyle w:val="31"/>
        <w:spacing w:before="212" w:line="219" w:lineRule="auto"/>
        <w:ind w:left="644"/>
        <w:outlineLvl w:val="0"/>
        <w:rPr>
          <w:spacing w:val="-4"/>
        </w:rPr>
      </w:pPr>
      <w:r>
        <w:rPr>
          <w:spacing w:val="-4"/>
        </w:rPr>
        <w:t>收： 下午：</w:t>
      </w:r>
      <w:r>
        <w:rPr>
          <w:spacing w:val="33"/>
        </w:rPr>
        <w:t xml:space="preserve"> </w:t>
      </w:r>
      <w:r>
        <w:rPr>
          <w:spacing w:val="-4"/>
        </w:rPr>
        <w:t>15:00</w:t>
      </w:r>
      <w:r>
        <w:rPr>
          <w:spacing w:val="12"/>
        </w:rPr>
        <w:t xml:space="preserve"> </w:t>
      </w:r>
      <w:r>
        <w:rPr>
          <w:spacing w:val="-4"/>
        </w:rPr>
        <w:t>之前完成；</w:t>
      </w:r>
    </w:p>
    <w:p w14:paraId="2C56EA47">
      <w:pPr>
        <w:pStyle w:val="31"/>
        <w:spacing w:before="212" w:line="219" w:lineRule="auto"/>
        <w:ind w:left="644"/>
        <w:outlineLvl w:val="0"/>
      </w:pPr>
      <w:r>
        <w:rPr>
          <w:spacing w:val="-1"/>
        </w:rPr>
        <w:t>送： 上午：10:30 之前完成。</w:t>
      </w:r>
    </w:p>
    <w:p w14:paraId="273705D5">
      <w:pPr>
        <w:pStyle w:val="31"/>
        <w:spacing w:before="223" w:line="219" w:lineRule="auto"/>
        <w:ind w:left="650"/>
        <w:outlineLvl w:val="0"/>
      </w:pPr>
      <w:r>
        <w:rPr>
          <w:spacing w:val="-1"/>
        </w:rPr>
        <w:t>5、随时接受采购人、防疫部门的检查、监督、指导。</w:t>
      </w:r>
    </w:p>
    <w:p w14:paraId="4079CF9C">
      <w:pPr>
        <w:pStyle w:val="31"/>
        <w:spacing w:before="227" w:line="219" w:lineRule="auto"/>
        <w:ind w:left="648"/>
        <w:outlineLvl w:val="0"/>
      </w:pPr>
      <w:r>
        <w:rPr>
          <w:spacing w:val="-3"/>
        </w:rPr>
        <w:t>6、增加服务人员要求：项目组负责人 1 人，除此之外项目组配置不少于 8</w:t>
      </w:r>
    </w:p>
    <w:p w14:paraId="721756D5">
      <w:pPr>
        <w:pStyle w:val="31"/>
        <w:spacing w:before="224" w:line="219" w:lineRule="auto"/>
        <w:ind w:left="168"/>
      </w:pPr>
      <w:r>
        <w:rPr>
          <w:spacing w:val="-1"/>
        </w:rPr>
        <w:t>人，且满足项目运行需要，确保及时送达。</w:t>
      </w:r>
    </w:p>
    <w:p w14:paraId="5A0C36C0">
      <w:pPr>
        <w:pStyle w:val="31"/>
        <w:spacing w:before="226" w:line="220" w:lineRule="auto"/>
        <w:ind w:left="657"/>
        <w:outlineLvl w:val="0"/>
      </w:pPr>
      <w:r>
        <w:rPr>
          <w:spacing w:val="-3"/>
        </w:rPr>
        <w:t>（七）其他要求</w:t>
      </w:r>
    </w:p>
    <w:p w14:paraId="16B10A0C">
      <w:pPr>
        <w:pStyle w:val="31"/>
        <w:spacing w:before="222" w:line="219" w:lineRule="auto"/>
        <w:ind w:left="648"/>
        <w:outlineLvl w:val="0"/>
      </w:pPr>
      <w:r>
        <w:rPr>
          <w:spacing w:val="-3"/>
        </w:rPr>
        <w:t>成交人在院方下一轮招标采购活动中未成交的，在下一家服</w:t>
      </w:r>
      <w:r>
        <w:rPr>
          <w:spacing w:val="-4"/>
        </w:rPr>
        <w:t>务公司正式进驻</w:t>
      </w:r>
    </w:p>
    <w:p w14:paraId="393300DF">
      <w:pPr>
        <w:pStyle w:val="31"/>
        <w:spacing w:before="227" w:line="384" w:lineRule="auto"/>
        <w:ind w:left="165" w:right="156"/>
        <w:jc w:val="both"/>
      </w:pPr>
      <w:r>
        <w:rPr>
          <w:spacing w:val="-3"/>
        </w:rPr>
        <w:t>运营前成交人须不间断向院方提供洗涤租赁服务工作并出具承诺书（格式见附件</w:t>
      </w:r>
      <w:r>
        <w:t>4</w:t>
      </w:r>
      <w:r>
        <w:rPr>
          <w:spacing w:val="8"/>
        </w:rPr>
        <w:t>），</w:t>
      </w:r>
      <w:r>
        <w:t>违者按成交人虚假响应处理，院方有权将此情况报相关交易监督管理部门</w:t>
      </w:r>
      <w:r>
        <w:rPr>
          <w:spacing w:val="-2"/>
        </w:rPr>
        <w:t>予以处罚。</w:t>
      </w:r>
    </w:p>
    <w:p w14:paraId="6A3F674E">
      <w:pPr>
        <w:pStyle w:val="31"/>
        <w:spacing w:line="219" w:lineRule="auto"/>
        <w:ind w:left="167"/>
        <w:rPr>
          <w:sz w:val="28"/>
          <w:szCs w:val="28"/>
        </w:rPr>
      </w:pPr>
      <w:r>
        <w:rPr>
          <w:spacing w:val="-2"/>
          <w:sz w:val="28"/>
          <w:szCs w:val="28"/>
        </w:rPr>
        <w:t>相关附件：</w:t>
      </w:r>
    </w:p>
    <w:p w14:paraId="09EFF059">
      <w:pPr>
        <w:pStyle w:val="31"/>
        <w:spacing w:before="156" w:line="226" w:lineRule="auto"/>
        <w:ind w:left="165" w:right="158" w:firstLine="19"/>
      </w:pPr>
      <w:r>
        <w:t>附件 1：</w:t>
      </w:r>
      <w:r>
        <w:rPr>
          <w:rFonts w:hint="eastAsia"/>
        </w:rPr>
        <w:t>六安市叶集区人民医院</w:t>
      </w:r>
      <w:r>
        <w:t>医疗被服制作统一使用材质 （工</w:t>
      </w:r>
      <w:r>
        <w:rPr>
          <w:spacing w:val="-1"/>
        </w:rPr>
        <w:t>作服尺寸为市</w:t>
      </w:r>
      <w:r>
        <w:rPr>
          <w:spacing w:val="-2"/>
        </w:rPr>
        <w:t>场正规尺寸）</w:t>
      </w:r>
    </w:p>
    <w:tbl>
      <w:tblPr>
        <w:tblStyle w:val="433"/>
        <w:tblW w:w="9147" w:type="dxa"/>
        <w:tblInd w:w="2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882"/>
        <w:gridCol w:w="6412"/>
      </w:tblGrid>
      <w:tr w14:paraId="6A75E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53" w:type="dxa"/>
            <w:vAlign w:val="top"/>
          </w:tcPr>
          <w:p w14:paraId="64026F02">
            <w:pPr>
              <w:pStyle w:val="434"/>
              <w:spacing w:before="45" w:line="221" w:lineRule="auto"/>
              <w:ind w:left="121"/>
            </w:pPr>
            <w:r>
              <w:t>序</w:t>
            </w:r>
          </w:p>
          <w:p w14:paraId="4D2F8AE8">
            <w:pPr>
              <w:pStyle w:val="434"/>
              <w:spacing w:before="8" w:line="215" w:lineRule="auto"/>
              <w:ind w:left="128"/>
            </w:pPr>
            <w:r>
              <w:t>号</w:t>
            </w:r>
          </w:p>
        </w:tc>
        <w:tc>
          <w:tcPr>
            <w:tcW w:w="1882" w:type="dxa"/>
            <w:vAlign w:val="top"/>
          </w:tcPr>
          <w:p w14:paraId="1F00822A">
            <w:pPr>
              <w:pStyle w:val="434"/>
              <w:spacing w:before="45" w:line="221" w:lineRule="auto"/>
              <w:ind w:left="116" w:right="292"/>
            </w:pPr>
            <w:r>
              <w:rPr>
                <w:spacing w:val="-3"/>
              </w:rPr>
              <w:t>面料名称及</w:t>
            </w:r>
            <w:r>
              <w:rPr>
                <w:spacing w:val="-6"/>
              </w:rPr>
              <w:t>编号</w:t>
            </w:r>
          </w:p>
        </w:tc>
        <w:tc>
          <w:tcPr>
            <w:tcW w:w="6412" w:type="dxa"/>
            <w:vAlign w:val="top"/>
          </w:tcPr>
          <w:p w14:paraId="2EBAEF35">
            <w:pPr>
              <w:pStyle w:val="434"/>
              <w:spacing w:before="44" w:line="219" w:lineRule="auto"/>
              <w:ind w:left="115"/>
            </w:pPr>
            <w:r>
              <w:rPr>
                <w:spacing w:val="-3"/>
              </w:rPr>
              <w:t>材质要求</w:t>
            </w:r>
          </w:p>
        </w:tc>
      </w:tr>
      <w:tr w14:paraId="669F2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853" w:type="dxa"/>
            <w:vAlign w:val="top"/>
          </w:tcPr>
          <w:p w14:paraId="2AC695E8">
            <w:pPr>
              <w:pStyle w:val="434"/>
              <w:spacing w:line="228" w:lineRule="auto"/>
              <w:ind w:left="133"/>
            </w:pPr>
            <w:r>
              <w:t>1</w:t>
            </w:r>
          </w:p>
        </w:tc>
        <w:tc>
          <w:tcPr>
            <w:tcW w:w="1882" w:type="dxa"/>
            <w:vAlign w:val="top"/>
          </w:tcPr>
          <w:p w14:paraId="53EC8D84">
            <w:pPr>
              <w:pStyle w:val="434"/>
              <w:spacing w:before="40" w:line="242" w:lineRule="auto"/>
              <w:ind w:left="115" w:right="2" w:firstLine="5"/>
            </w:pPr>
            <w:r>
              <w:rPr>
                <w:spacing w:val="-12"/>
              </w:rPr>
              <w:t>冬</w:t>
            </w:r>
            <w:r>
              <w:rPr>
                <w:spacing w:val="-37"/>
              </w:rPr>
              <w:t xml:space="preserve"> </w:t>
            </w:r>
            <w:r>
              <w:rPr>
                <w:spacing w:val="-12"/>
              </w:rPr>
              <w:t>装</w:t>
            </w:r>
            <w:r>
              <w:rPr>
                <w:spacing w:val="-38"/>
              </w:rPr>
              <w:t xml:space="preserve"> </w:t>
            </w:r>
            <w:r>
              <w:rPr>
                <w:spacing w:val="-12"/>
              </w:rPr>
              <w:t>涤</w:t>
            </w:r>
            <w:r>
              <w:rPr>
                <w:spacing w:val="-34"/>
              </w:rPr>
              <w:t xml:space="preserve"> </w:t>
            </w:r>
            <w:r>
              <w:rPr>
                <w:spacing w:val="-12"/>
              </w:rPr>
              <w:t>卡</w:t>
            </w:r>
            <w:r>
              <w:rPr>
                <w:spacing w:val="-37"/>
              </w:rPr>
              <w:t xml:space="preserve"> </w:t>
            </w:r>
            <w:r>
              <w:rPr>
                <w:spacing w:val="-12"/>
              </w:rPr>
              <w:t>面</w:t>
            </w:r>
            <w:r>
              <w:rPr>
                <w:spacing w:val="-5"/>
              </w:rPr>
              <w:t>料：</w:t>
            </w:r>
          </w:p>
        </w:tc>
        <w:tc>
          <w:tcPr>
            <w:tcW w:w="6412" w:type="dxa"/>
            <w:vAlign w:val="top"/>
          </w:tcPr>
          <w:p w14:paraId="736B62DB">
            <w:pPr>
              <w:pStyle w:val="434"/>
              <w:spacing w:before="39" w:line="219" w:lineRule="auto"/>
              <w:ind w:left="132"/>
            </w:pPr>
            <w:r>
              <w:rPr>
                <w:spacing w:val="-3"/>
              </w:rPr>
              <w:t>1、成份:</w:t>
            </w:r>
            <w:r>
              <w:rPr>
                <w:spacing w:val="86"/>
              </w:rPr>
              <w:t xml:space="preserve"> </w:t>
            </w:r>
            <w:r>
              <w:rPr>
                <w:spacing w:val="-3"/>
              </w:rPr>
              <w:t>涤/棉</w:t>
            </w:r>
            <w:r>
              <w:rPr>
                <w:spacing w:val="48"/>
              </w:rPr>
              <w:t xml:space="preserve">  </w:t>
            </w:r>
            <w:r>
              <w:rPr>
                <w:spacing w:val="-3"/>
              </w:rPr>
              <w:t>65/35 纱支 45</w:t>
            </w:r>
            <w:r>
              <w:rPr>
                <w:spacing w:val="-4"/>
              </w:rPr>
              <w:t>/2x22.6 密度</w:t>
            </w:r>
            <w:r>
              <w:rPr>
                <w:spacing w:val="21"/>
              </w:rPr>
              <w:t xml:space="preserve"> </w:t>
            </w:r>
            <w:r>
              <w:rPr>
                <w:spacing w:val="-4"/>
              </w:rPr>
              <w:t>138</w:t>
            </w:r>
            <w:r>
              <w:rPr>
                <w:spacing w:val="9"/>
              </w:rPr>
              <w:t xml:space="preserve"> </w:t>
            </w:r>
            <w:r>
              <w:rPr>
                <w:spacing w:val="-4"/>
              </w:rPr>
              <w:t>x</w:t>
            </w:r>
            <w:r>
              <w:rPr>
                <w:spacing w:val="15"/>
              </w:rPr>
              <w:t xml:space="preserve"> </w:t>
            </w:r>
            <w:r>
              <w:rPr>
                <w:spacing w:val="-4"/>
              </w:rPr>
              <w:t>71</w:t>
            </w:r>
          </w:p>
          <w:p w14:paraId="34BAA58C">
            <w:pPr>
              <w:pStyle w:val="434"/>
              <w:spacing w:before="31" w:line="219" w:lineRule="auto"/>
              <w:ind w:left="118"/>
            </w:pPr>
            <w:r>
              <w:rPr>
                <w:spacing w:val="-1"/>
              </w:rPr>
              <w:t>2、要求: 纱线精梳棉 环纺。 布质细腻 张力好</w:t>
            </w:r>
            <w:r>
              <w:rPr>
                <w:spacing w:val="14"/>
              </w:rPr>
              <w:t xml:space="preserve"> </w:t>
            </w:r>
            <w:r>
              <w:rPr>
                <w:spacing w:val="-1"/>
              </w:rPr>
              <w:t>耐洗耐用</w:t>
            </w:r>
          </w:p>
          <w:p w14:paraId="45759768">
            <w:pPr>
              <w:pStyle w:val="434"/>
              <w:spacing w:before="31" w:line="231" w:lineRule="auto"/>
              <w:ind w:left="114" w:right="76" w:firstLine="5"/>
            </w:pPr>
            <w:r>
              <w:rPr>
                <w:spacing w:val="-12"/>
              </w:rPr>
              <w:t>3、印染工艺 全工艺漂染</w:t>
            </w:r>
            <w:r>
              <w:rPr>
                <w:spacing w:val="112"/>
              </w:rPr>
              <w:t xml:space="preserve"> </w:t>
            </w:r>
            <w:r>
              <w:rPr>
                <w:spacing w:val="-12"/>
              </w:rPr>
              <w:t>士林染色</w:t>
            </w:r>
            <w:r>
              <w:rPr>
                <w:spacing w:val="96"/>
              </w:rPr>
              <w:t xml:space="preserve"> </w:t>
            </w:r>
            <w:r>
              <w:rPr>
                <w:spacing w:val="-12"/>
              </w:rPr>
              <w:t>耐氯漂</w:t>
            </w:r>
            <w:r>
              <w:rPr>
                <w:spacing w:val="93"/>
              </w:rPr>
              <w:t xml:space="preserve"> </w:t>
            </w:r>
            <w:r>
              <w:rPr>
                <w:spacing w:val="-12"/>
              </w:rPr>
              <w:t>且有垂感、色彩</w:t>
            </w:r>
            <w:r>
              <w:rPr>
                <w:spacing w:val="9"/>
              </w:rPr>
              <w:t>亮丽、抗静电</w:t>
            </w:r>
            <w:r>
              <w:rPr>
                <w:spacing w:val="52"/>
              </w:rPr>
              <w:t xml:space="preserve"> </w:t>
            </w:r>
            <w:r>
              <w:rPr>
                <w:spacing w:val="9"/>
              </w:rPr>
              <w:t>耐洗色牢度：变色≥4 且沾色≥3</w:t>
            </w:r>
            <w:r>
              <w:rPr>
                <w:spacing w:val="47"/>
              </w:rPr>
              <w:t xml:space="preserve"> </w:t>
            </w:r>
            <w:r>
              <w:rPr>
                <w:spacing w:val="9"/>
              </w:rPr>
              <w:t>；</w:t>
            </w:r>
            <w:r>
              <w:t>PH</w:t>
            </w:r>
            <w:r>
              <w:rPr>
                <w:spacing w:val="9"/>
              </w:rPr>
              <w:t xml:space="preserve"> 值</w:t>
            </w:r>
            <w:r>
              <w:rPr>
                <w:spacing w:val="-3"/>
              </w:rPr>
              <w:t>在</w:t>
            </w:r>
            <w:r>
              <w:rPr>
                <w:spacing w:val="-19"/>
              </w:rPr>
              <w:t xml:space="preserve"> </w:t>
            </w:r>
            <w:r>
              <w:rPr>
                <w:spacing w:val="-3"/>
              </w:rPr>
              <w:t>4.0-8.5</w:t>
            </w:r>
            <w:r>
              <w:rPr>
                <w:spacing w:val="30"/>
              </w:rPr>
              <w:t xml:space="preserve"> </w:t>
            </w:r>
            <w:r>
              <w:rPr>
                <w:spacing w:val="-3"/>
              </w:rPr>
              <w:t>；甲醛含量≤75mg/kg000000000。</w:t>
            </w:r>
          </w:p>
          <w:p w14:paraId="564D6660">
            <w:pPr>
              <w:pStyle w:val="434"/>
              <w:spacing w:line="192" w:lineRule="auto"/>
              <w:ind w:left="114"/>
            </w:pPr>
            <w:r>
              <w:rPr>
                <w:spacing w:val="-1"/>
              </w:rPr>
              <w:t>4、保证 5-8 年内不变型、不起球、不泛黄。</w:t>
            </w:r>
          </w:p>
        </w:tc>
      </w:tr>
      <w:tr w14:paraId="26547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853" w:type="dxa"/>
            <w:vAlign w:val="top"/>
          </w:tcPr>
          <w:p w14:paraId="51023314">
            <w:pPr>
              <w:pStyle w:val="434"/>
              <w:spacing w:before="1" w:line="228" w:lineRule="auto"/>
              <w:ind w:left="118"/>
            </w:pPr>
            <w:r>
              <w:t>2</w:t>
            </w:r>
          </w:p>
        </w:tc>
        <w:tc>
          <w:tcPr>
            <w:tcW w:w="1882" w:type="dxa"/>
            <w:vAlign w:val="top"/>
          </w:tcPr>
          <w:p w14:paraId="05EE45BB">
            <w:pPr>
              <w:pStyle w:val="434"/>
              <w:spacing w:before="38" w:line="242" w:lineRule="auto"/>
              <w:ind w:left="115" w:right="2"/>
            </w:pPr>
            <w:r>
              <w:rPr>
                <w:spacing w:val="-10"/>
              </w:rPr>
              <w:t>夏</w:t>
            </w:r>
            <w:r>
              <w:rPr>
                <w:spacing w:val="-37"/>
              </w:rPr>
              <w:t xml:space="preserve"> </w:t>
            </w:r>
            <w:r>
              <w:rPr>
                <w:spacing w:val="-10"/>
              </w:rPr>
              <w:t>装</w:t>
            </w:r>
            <w:r>
              <w:rPr>
                <w:spacing w:val="-39"/>
              </w:rPr>
              <w:t xml:space="preserve"> </w:t>
            </w:r>
            <w:r>
              <w:rPr>
                <w:spacing w:val="-10"/>
              </w:rPr>
              <w:t>涤</w:t>
            </w:r>
            <w:r>
              <w:rPr>
                <w:spacing w:val="-35"/>
              </w:rPr>
              <w:t xml:space="preserve"> </w:t>
            </w:r>
            <w:r>
              <w:rPr>
                <w:spacing w:val="-10"/>
              </w:rPr>
              <w:t>棉</w:t>
            </w:r>
            <w:r>
              <w:rPr>
                <w:spacing w:val="-39"/>
              </w:rPr>
              <w:t xml:space="preserve"> </w:t>
            </w:r>
            <w:r>
              <w:rPr>
                <w:spacing w:val="-10"/>
              </w:rPr>
              <w:t>平</w:t>
            </w:r>
            <w:r>
              <w:rPr>
                <w:spacing w:val="17"/>
              </w:rPr>
              <w:t>布:</w:t>
            </w:r>
          </w:p>
        </w:tc>
        <w:tc>
          <w:tcPr>
            <w:tcW w:w="6412" w:type="dxa"/>
            <w:vAlign w:val="top"/>
          </w:tcPr>
          <w:p w14:paraId="79DAC29F">
            <w:pPr>
              <w:pStyle w:val="434"/>
              <w:spacing w:before="40" w:line="219" w:lineRule="auto"/>
              <w:ind w:left="132"/>
            </w:pPr>
            <w:r>
              <w:rPr>
                <w:spacing w:val="-3"/>
              </w:rPr>
              <w:t>1、成份:</w:t>
            </w:r>
            <w:r>
              <w:rPr>
                <w:spacing w:val="-58"/>
              </w:rPr>
              <w:t xml:space="preserve"> </w:t>
            </w:r>
            <w:r>
              <w:rPr>
                <w:spacing w:val="-3"/>
              </w:rPr>
              <w:t>涤/棉 65/35</w:t>
            </w:r>
            <w:r>
              <w:rPr>
                <w:spacing w:val="35"/>
              </w:rPr>
              <w:t xml:space="preserve">  </w:t>
            </w:r>
            <w:r>
              <w:rPr>
                <w:spacing w:val="-3"/>
              </w:rPr>
              <w:t>纱支 25x</w:t>
            </w:r>
            <w:r>
              <w:rPr>
                <w:spacing w:val="-4"/>
              </w:rPr>
              <w:t>22.6</w:t>
            </w:r>
            <w:r>
              <w:rPr>
                <w:spacing w:val="-25"/>
              </w:rPr>
              <w:t xml:space="preserve"> </w:t>
            </w:r>
            <w:r>
              <w:rPr>
                <w:spacing w:val="-4"/>
              </w:rPr>
              <w:t>密度 104 x</w:t>
            </w:r>
            <w:r>
              <w:rPr>
                <w:spacing w:val="14"/>
              </w:rPr>
              <w:t xml:space="preserve"> </w:t>
            </w:r>
            <w:r>
              <w:rPr>
                <w:spacing w:val="-4"/>
              </w:rPr>
              <w:t>61</w:t>
            </w:r>
          </w:p>
          <w:p w14:paraId="397466DD">
            <w:pPr>
              <w:pStyle w:val="434"/>
              <w:spacing w:before="28" w:line="219" w:lineRule="auto"/>
              <w:ind w:left="118"/>
            </w:pPr>
            <w:r>
              <w:rPr>
                <w:spacing w:val="-2"/>
              </w:rPr>
              <w:t>2、要求： 纱线精梳棉 环纺。布质细腻</w:t>
            </w:r>
            <w:r>
              <w:rPr>
                <w:spacing w:val="-3"/>
              </w:rPr>
              <w:t xml:space="preserve">   张力好 耐洗耐用</w:t>
            </w:r>
          </w:p>
          <w:p w14:paraId="24CA6008">
            <w:pPr>
              <w:pStyle w:val="434"/>
              <w:spacing w:before="33" w:line="226" w:lineRule="auto"/>
              <w:ind w:left="116" w:right="90" w:firstLine="3"/>
            </w:pPr>
            <w:r>
              <w:rPr>
                <w:spacing w:val="-5"/>
              </w:rPr>
              <w:t>3、印染工艺：全工艺漂染   士林染色   耐氯漂</w:t>
            </w:r>
            <w:r>
              <w:rPr>
                <w:spacing w:val="30"/>
              </w:rPr>
              <w:t xml:space="preserve">  </w:t>
            </w:r>
            <w:r>
              <w:rPr>
                <w:spacing w:val="-5"/>
              </w:rPr>
              <w:t>且</w:t>
            </w:r>
            <w:r>
              <w:rPr>
                <w:spacing w:val="28"/>
              </w:rPr>
              <w:t xml:space="preserve"> </w:t>
            </w:r>
            <w:r>
              <w:rPr>
                <w:spacing w:val="-5"/>
              </w:rPr>
              <w:t>有</w:t>
            </w:r>
            <w:r>
              <w:rPr>
                <w:spacing w:val="27"/>
              </w:rPr>
              <w:t xml:space="preserve"> </w:t>
            </w:r>
            <w:r>
              <w:rPr>
                <w:spacing w:val="-5"/>
              </w:rPr>
              <w:t>垂</w:t>
            </w:r>
            <w:r>
              <w:rPr>
                <w:spacing w:val="-6"/>
              </w:rPr>
              <w:t>感、色彩亮丽、抗静电   色牢度强   PH</w:t>
            </w:r>
            <w:r>
              <w:rPr>
                <w:spacing w:val="24"/>
              </w:rPr>
              <w:t xml:space="preserve"> </w:t>
            </w:r>
            <w:r>
              <w:rPr>
                <w:spacing w:val="-6"/>
              </w:rPr>
              <w:t>值。</w:t>
            </w:r>
          </w:p>
          <w:p w14:paraId="0343BADE">
            <w:pPr>
              <w:pStyle w:val="434"/>
              <w:spacing w:before="1" w:line="190" w:lineRule="auto"/>
              <w:ind w:left="114"/>
            </w:pPr>
            <w:r>
              <w:rPr>
                <w:spacing w:val="-1"/>
              </w:rPr>
              <w:t>4、保证 5-8 年内不变型、不起球、不泛黄。</w:t>
            </w:r>
          </w:p>
        </w:tc>
      </w:tr>
      <w:tr w14:paraId="1C81C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6" w:hRule="atLeast"/>
        </w:trPr>
        <w:tc>
          <w:tcPr>
            <w:tcW w:w="853" w:type="dxa"/>
            <w:vAlign w:val="top"/>
          </w:tcPr>
          <w:p w14:paraId="7E274FB9">
            <w:pPr>
              <w:pStyle w:val="434"/>
              <w:spacing w:line="229" w:lineRule="auto"/>
              <w:ind w:left="120"/>
            </w:pPr>
            <w:r>
              <w:t>3</w:t>
            </w:r>
          </w:p>
        </w:tc>
        <w:tc>
          <w:tcPr>
            <w:tcW w:w="1882" w:type="dxa"/>
            <w:vAlign w:val="top"/>
          </w:tcPr>
          <w:p w14:paraId="7278945C">
            <w:pPr>
              <w:pStyle w:val="434"/>
              <w:spacing w:before="42" w:line="219" w:lineRule="auto"/>
              <w:ind w:left="115"/>
            </w:pPr>
            <w:r>
              <w:rPr>
                <w:spacing w:val="9"/>
              </w:rPr>
              <w:t>手术衣</w:t>
            </w:r>
            <w:r>
              <w:rPr>
                <w:spacing w:val="-54"/>
              </w:rPr>
              <w:t xml:space="preserve"> </w:t>
            </w:r>
            <w:r>
              <w:rPr>
                <w:spacing w:val="9"/>
              </w:rPr>
              <w:t>、</w:t>
            </w:r>
            <w:r>
              <w:rPr>
                <w:spacing w:val="-70"/>
              </w:rPr>
              <w:t xml:space="preserve"> </w:t>
            </w:r>
            <w:r>
              <w:rPr>
                <w:spacing w:val="9"/>
              </w:rPr>
              <w:t>洗</w:t>
            </w:r>
          </w:p>
          <w:p w14:paraId="0524CA4D">
            <w:pPr>
              <w:pStyle w:val="434"/>
              <w:spacing w:before="28" w:line="244" w:lineRule="auto"/>
              <w:ind w:left="115" w:right="66"/>
            </w:pPr>
            <w:r>
              <w:rPr>
                <w:spacing w:val="-14"/>
              </w:rPr>
              <w:t>手</w:t>
            </w:r>
            <w:r>
              <w:rPr>
                <w:spacing w:val="-61"/>
              </w:rPr>
              <w:t xml:space="preserve"> </w:t>
            </w:r>
            <w:r>
              <w:rPr>
                <w:spacing w:val="-14"/>
              </w:rPr>
              <w:t>衣、包布等</w:t>
            </w:r>
            <w:r>
              <w:rPr>
                <w:spacing w:val="-15"/>
              </w:rPr>
              <w:t>手术室布料</w:t>
            </w:r>
          </w:p>
        </w:tc>
        <w:tc>
          <w:tcPr>
            <w:tcW w:w="6412" w:type="dxa"/>
            <w:vAlign w:val="top"/>
          </w:tcPr>
          <w:p w14:paraId="13BD5785">
            <w:pPr>
              <w:pStyle w:val="434"/>
              <w:spacing w:before="42" w:line="219" w:lineRule="auto"/>
              <w:ind w:left="115"/>
            </w:pPr>
            <w:r>
              <w:rPr>
                <w:spacing w:val="-2"/>
              </w:rPr>
              <w:t>全棉墨绿纱卡</w:t>
            </w:r>
          </w:p>
          <w:p w14:paraId="1F3BAC67">
            <w:pPr>
              <w:pStyle w:val="434"/>
              <w:spacing w:before="28"/>
              <w:ind w:left="119" w:right="4" w:firstLine="12"/>
            </w:pPr>
            <w:r>
              <w:rPr>
                <w:spacing w:val="-9"/>
              </w:rPr>
              <w:t>1、成份：100%全棉</w:t>
            </w:r>
            <w:r>
              <w:rPr>
                <w:spacing w:val="66"/>
              </w:rPr>
              <w:t xml:space="preserve"> </w:t>
            </w:r>
            <w:r>
              <w:rPr>
                <w:spacing w:val="-9"/>
              </w:rPr>
              <w:t>纱支20X20(稍厚)  或 21x21    密度108 x</w:t>
            </w:r>
            <w:r>
              <w:t xml:space="preserve"> </w:t>
            </w:r>
            <w:r>
              <w:rPr>
                <w:spacing w:val="-8"/>
              </w:rPr>
              <w:t>58</w:t>
            </w:r>
          </w:p>
          <w:p w14:paraId="28582A7F">
            <w:pPr>
              <w:pStyle w:val="434"/>
              <w:spacing w:before="6" w:line="230" w:lineRule="auto"/>
              <w:ind w:left="118" w:right="102"/>
            </w:pPr>
            <w:r>
              <w:rPr>
                <w:spacing w:val="3"/>
              </w:rPr>
              <w:t>2、要求</w:t>
            </w:r>
            <w:r>
              <w:rPr>
                <w:spacing w:val="-47"/>
              </w:rPr>
              <w:t xml:space="preserve"> </w:t>
            </w:r>
            <w:r>
              <w:rPr>
                <w:spacing w:val="3"/>
              </w:rPr>
              <w:t>:  纱线高配精梳棉</w:t>
            </w:r>
            <w:r>
              <w:rPr>
                <w:spacing w:val="50"/>
              </w:rPr>
              <w:t xml:space="preserve"> </w:t>
            </w:r>
            <w:r>
              <w:rPr>
                <w:spacing w:val="3"/>
              </w:rPr>
              <w:t>双环。布质密实</w:t>
            </w:r>
            <w:r>
              <w:rPr>
                <w:spacing w:val="-54"/>
              </w:rPr>
              <w:t xml:space="preserve"> </w:t>
            </w:r>
            <w:r>
              <w:rPr>
                <w:spacing w:val="3"/>
              </w:rPr>
              <w:t>张力好</w:t>
            </w:r>
            <w:r>
              <w:rPr>
                <w:spacing w:val="58"/>
              </w:rPr>
              <w:t xml:space="preserve"> </w:t>
            </w:r>
            <w:r>
              <w:rPr>
                <w:spacing w:val="3"/>
              </w:rPr>
              <w:t>耐洗</w:t>
            </w:r>
            <w:r>
              <w:rPr>
                <w:spacing w:val="-4"/>
              </w:rPr>
              <w:t>耐用缩水率符合国标</w:t>
            </w:r>
          </w:p>
          <w:p w14:paraId="74F7B41D">
            <w:pPr>
              <w:pStyle w:val="434"/>
              <w:spacing w:before="30" w:line="225" w:lineRule="auto"/>
              <w:ind w:left="117" w:firstLine="2"/>
            </w:pPr>
            <w:r>
              <w:rPr>
                <w:spacing w:val="-5"/>
              </w:rPr>
              <w:t>3、印染工艺：</w:t>
            </w:r>
            <w:r>
              <w:rPr>
                <w:spacing w:val="-34"/>
              </w:rPr>
              <w:t xml:space="preserve"> </w:t>
            </w:r>
            <w:r>
              <w:rPr>
                <w:spacing w:val="-5"/>
              </w:rPr>
              <w:t>全工艺漂染  士林染色</w:t>
            </w:r>
            <w:r>
              <w:rPr>
                <w:spacing w:val="79"/>
              </w:rPr>
              <w:t xml:space="preserve"> </w:t>
            </w:r>
            <w:r>
              <w:rPr>
                <w:spacing w:val="-5"/>
              </w:rPr>
              <w:t>耐氯漂</w:t>
            </w:r>
            <w:r>
              <w:rPr>
                <w:spacing w:val="36"/>
              </w:rPr>
              <w:t xml:space="preserve"> </w:t>
            </w:r>
            <w:r>
              <w:rPr>
                <w:spacing w:val="-5"/>
              </w:rPr>
              <w:t>可高温高压消</w:t>
            </w:r>
            <w:r>
              <w:t>毒</w:t>
            </w:r>
          </w:p>
          <w:p w14:paraId="1A76DEEC">
            <w:pPr>
              <w:pStyle w:val="434"/>
              <w:spacing w:before="1" w:line="189" w:lineRule="auto"/>
              <w:ind w:left="118"/>
            </w:pPr>
            <w:r>
              <w:rPr>
                <w:spacing w:val="-5"/>
              </w:rPr>
              <w:t>色牢度强 PH 值</w:t>
            </w:r>
            <w:r>
              <w:rPr>
                <w:spacing w:val="34"/>
              </w:rPr>
              <w:t xml:space="preserve"> </w:t>
            </w:r>
            <w:r>
              <w:rPr>
                <w:spacing w:val="-5"/>
              </w:rPr>
              <w:t>抗静电</w:t>
            </w:r>
          </w:p>
        </w:tc>
      </w:tr>
      <w:tr w14:paraId="0A828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853" w:type="dxa"/>
            <w:vAlign w:val="top"/>
          </w:tcPr>
          <w:p w14:paraId="060F4D4E">
            <w:pPr>
              <w:pStyle w:val="434"/>
              <w:spacing w:line="231" w:lineRule="auto"/>
              <w:ind w:left="114"/>
            </w:pPr>
            <w:r>
              <w:t>4</w:t>
            </w:r>
          </w:p>
        </w:tc>
        <w:tc>
          <w:tcPr>
            <w:tcW w:w="1882" w:type="dxa"/>
            <w:vAlign w:val="top"/>
          </w:tcPr>
          <w:p w14:paraId="5F27A3CB">
            <w:pPr>
              <w:pStyle w:val="434"/>
              <w:spacing w:before="40" w:line="219" w:lineRule="auto"/>
              <w:ind w:left="115"/>
            </w:pPr>
            <w:r>
              <w:rPr>
                <w:spacing w:val="-2"/>
              </w:rPr>
              <w:t>病员服布料</w:t>
            </w:r>
          </w:p>
        </w:tc>
        <w:tc>
          <w:tcPr>
            <w:tcW w:w="6412" w:type="dxa"/>
            <w:vAlign w:val="top"/>
          </w:tcPr>
          <w:p w14:paraId="393AD9E8">
            <w:pPr>
              <w:pStyle w:val="434"/>
              <w:spacing w:before="40" w:line="219" w:lineRule="auto"/>
              <w:ind w:left="132"/>
            </w:pPr>
            <w:r>
              <w:rPr>
                <w:spacing w:val="-2"/>
              </w:rPr>
              <w:t>1、全棉平布或涤棉平布、斜纹，</w:t>
            </w:r>
          </w:p>
          <w:p w14:paraId="3FC5D6B6">
            <w:pPr>
              <w:pStyle w:val="434"/>
              <w:spacing w:before="33" w:line="210" w:lineRule="auto"/>
              <w:ind w:left="118"/>
            </w:pPr>
            <w:r>
              <w:rPr>
                <w:spacing w:val="-3"/>
              </w:rPr>
              <w:t>2、全棉 纱支</w:t>
            </w:r>
            <w:r>
              <w:rPr>
                <w:spacing w:val="15"/>
              </w:rPr>
              <w:t xml:space="preserve"> </w:t>
            </w:r>
            <w:r>
              <w:rPr>
                <w:spacing w:val="-3"/>
              </w:rPr>
              <w:t>20 x</w:t>
            </w:r>
            <w:r>
              <w:rPr>
                <w:spacing w:val="10"/>
              </w:rPr>
              <w:t xml:space="preserve"> </w:t>
            </w:r>
            <w:r>
              <w:rPr>
                <w:spacing w:val="-3"/>
              </w:rPr>
              <w:t>20密度</w:t>
            </w:r>
            <w:r>
              <w:rPr>
                <w:spacing w:val="6"/>
              </w:rPr>
              <w:t xml:space="preserve"> </w:t>
            </w:r>
            <w:r>
              <w:rPr>
                <w:spacing w:val="-3"/>
              </w:rPr>
              <w:t>60</w:t>
            </w:r>
            <w:r>
              <w:rPr>
                <w:spacing w:val="9"/>
              </w:rPr>
              <w:t xml:space="preserve"> </w:t>
            </w:r>
            <w:r>
              <w:rPr>
                <w:spacing w:val="-3"/>
              </w:rPr>
              <w:t>x</w:t>
            </w:r>
            <w:r>
              <w:rPr>
                <w:spacing w:val="11"/>
              </w:rPr>
              <w:t xml:space="preserve"> </w:t>
            </w:r>
            <w:r>
              <w:rPr>
                <w:spacing w:val="-3"/>
              </w:rPr>
              <w:t>60</w:t>
            </w:r>
          </w:p>
          <w:p w14:paraId="3BB3C563">
            <w:pPr>
              <w:pStyle w:val="434"/>
              <w:spacing w:line="189" w:lineRule="auto"/>
              <w:ind w:left="118"/>
            </w:pPr>
            <w:r>
              <w:rPr>
                <w:spacing w:val="-3"/>
              </w:rPr>
              <w:t>耐氯漂 可高温高压消毒 色牢度强</w:t>
            </w:r>
            <w:r>
              <w:rPr>
                <w:spacing w:val="14"/>
              </w:rPr>
              <w:t xml:space="preserve">    </w:t>
            </w:r>
            <w:r>
              <w:rPr>
                <w:spacing w:val="-3"/>
              </w:rPr>
              <w:t>PH</w:t>
            </w:r>
            <w:r>
              <w:rPr>
                <w:spacing w:val="12"/>
              </w:rPr>
              <w:t xml:space="preserve"> </w:t>
            </w:r>
            <w:r>
              <w:rPr>
                <w:spacing w:val="-3"/>
              </w:rPr>
              <w:t>值  抗静电</w:t>
            </w:r>
          </w:p>
        </w:tc>
      </w:tr>
      <w:tr w14:paraId="236D7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3" w:type="dxa"/>
            <w:vAlign w:val="top"/>
          </w:tcPr>
          <w:p w14:paraId="53609D02">
            <w:pPr>
              <w:pStyle w:val="434"/>
              <w:spacing w:before="1" w:line="230" w:lineRule="auto"/>
              <w:ind w:left="117"/>
            </w:pPr>
            <w:r>
              <w:t>6</w:t>
            </w:r>
          </w:p>
        </w:tc>
        <w:tc>
          <w:tcPr>
            <w:tcW w:w="1882" w:type="dxa"/>
            <w:vAlign w:val="top"/>
          </w:tcPr>
          <w:p w14:paraId="4A60D351">
            <w:pPr>
              <w:pStyle w:val="434"/>
              <w:spacing w:before="44" w:line="200" w:lineRule="auto"/>
              <w:ind w:left="115" w:right="52" w:firstLine="13"/>
            </w:pPr>
            <w:r>
              <w:rPr>
                <w:spacing w:val="-5"/>
              </w:rPr>
              <w:t>ICU</w:t>
            </w:r>
            <w:r>
              <w:rPr>
                <w:spacing w:val="11"/>
              </w:rPr>
              <w:t xml:space="preserve"> </w:t>
            </w:r>
            <w:r>
              <w:rPr>
                <w:spacing w:val="-5"/>
              </w:rPr>
              <w:t>上下套夏</w:t>
            </w:r>
            <w:r>
              <w:rPr>
                <w:spacing w:val="-4"/>
              </w:rPr>
              <w:t>装上衣</w:t>
            </w:r>
          </w:p>
        </w:tc>
        <w:tc>
          <w:tcPr>
            <w:tcW w:w="6412" w:type="dxa"/>
            <w:vAlign w:val="top"/>
          </w:tcPr>
          <w:p w14:paraId="5FFBEE10">
            <w:pPr>
              <w:pStyle w:val="434"/>
              <w:spacing w:before="44" w:line="219" w:lineRule="auto"/>
              <w:ind w:left="115"/>
            </w:pPr>
            <w:r>
              <w:rPr>
                <w:spacing w:val="-2"/>
              </w:rPr>
              <w:t>全工艺浅蓝涤棉斜纹</w:t>
            </w:r>
            <w:r>
              <w:rPr>
                <w:spacing w:val="-35"/>
              </w:rPr>
              <w:t xml:space="preserve"> </w:t>
            </w:r>
            <w:r>
              <w:rPr>
                <w:spacing w:val="-2"/>
              </w:rPr>
              <w:t>涤/棉65/35</w:t>
            </w:r>
            <w:r>
              <w:rPr>
                <w:spacing w:val="116"/>
              </w:rPr>
              <w:t xml:space="preserve"> </w:t>
            </w:r>
            <w:r>
              <w:rPr>
                <w:spacing w:val="-2"/>
              </w:rPr>
              <w:t>纱支 32*32 密度130*70</w:t>
            </w:r>
          </w:p>
        </w:tc>
      </w:tr>
      <w:tr w14:paraId="24AB0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853" w:type="dxa"/>
            <w:vAlign w:val="top"/>
          </w:tcPr>
          <w:p w14:paraId="2CA29F7C">
            <w:pPr>
              <w:pStyle w:val="434"/>
              <w:spacing w:line="235" w:lineRule="auto"/>
              <w:ind w:left="121"/>
            </w:pPr>
            <w:r>
              <w:t>7</w:t>
            </w:r>
          </w:p>
        </w:tc>
        <w:tc>
          <w:tcPr>
            <w:tcW w:w="1882" w:type="dxa"/>
            <w:vAlign w:val="top"/>
          </w:tcPr>
          <w:p w14:paraId="0D437325">
            <w:pPr>
              <w:pStyle w:val="434"/>
              <w:spacing w:before="50" w:line="215" w:lineRule="auto"/>
              <w:ind w:left="115" w:right="52"/>
            </w:pPr>
            <w:r>
              <w:rPr>
                <w:spacing w:val="-2"/>
              </w:rPr>
              <w:t>产科上下套冬</w:t>
            </w:r>
            <w:r>
              <w:t>装</w:t>
            </w:r>
          </w:p>
        </w:tc>
        <w:tc>
          <w:tcPr>
            <w:tcW w:w="6412" w:type="dxa"/>
            <w:vAlign w:val="top"/>
          </w:tcPr>
          <w:p w14:paraId="53CEB813">
            <w:pPr>
              <w:pStyle w:val="434"/>
              <w:spacing w:before="50"/>
              <w:ind w:left="11" w:right="4"/>
            </w:pPr>
            <w:r>
              <w:rPr>
                <w:spacing w:val="3"/>
              </w:rPr>
              <w:t>全工艺全棉粉色纱卡， 纱支20*20</w:t>
            </w:r>
            <w:r>
              <w:rPr>
                <w:spacing w:val="34"/>
              </w:rPr>
              <w:t xml:space="preserve"> </w:t>
            </w:r>
            <w:r>
              <w:rPr>
                <w:spacing w:val="3"/>
              </w:rPr>
              <w:t>密度 108*58</w:t>
            </w:r>
            <w:r>
              <w:rPr>
                <w:spacing w:val="42"/>
              </w:rPr>
              <w:t xml:space="preserve"> </w:t>
            </w:r>
            <w:r>
              <w:rPr>
                <w:spacing w:val="3"/>
              </w:rPr>
              <w:t>高配</w:t>
            </w:r>
            <w:r>
              <w:rPr>
                <w:spacing w:val="2"/>
              </w:rPr>
              <w:t>精梳棉</w:t>
            </w:r>
            <w:r>
              <w:t>全</w:t>
            </w:r>
          </w:p>
          <w:p w14:paraId="7734FEEA">
            <w:pPr>
              <w:pStyle w:val="434"/>
              <w:spacing w:line="206" w:lineRule="auto"/>
              <w:ind w:left="115"/>
            </w:pPr>
            <w:r>
              <w:t>环</w:t>
            </w:r>
          </w:p>
        </w:tc>
      </w:tr>
      <w:tr w14:paraId="45CD3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3" w:type="dxa"/>
            <w:vAlign w:val="top"/>
          </w:tcPr>
          <w:p w14:paraId="4100B283">
            <w:pPr>
              <w:pStyle w:val="434"/>
              <w:spacing w:line="228" w:lineRule="auto"/>
              <w:ind w:left="116"/>
            </w:pPr>
            <w:r>
              <w:t>8</w:t>
            </w:r>
          </w:p>
        </w:tc>
        <w:tc>
          <w:tcPr>
            <w:tcW w:w="1882" w:type="dxa"/>
            <w:vAlign w:val="top"/>
          </w:tcPr>
          <w:p w14:paraId="49842E8A">
            <w:pPr>
              <w:pStyle w:val="434"/>
              <w:spacing w:before="41" w:line="204" w:lineRule="auto"/>
              <w:ind w:left="131"/>
            </w:pPr>
            <w:r>
              <w:rPr>
                <w:spacing w:val="-9"/>
              </w:rPr>
              <w:t>防护服</w:t>
            </w:r>
          </w:p>
        </w:tc>
        <w:tc>
          <w:tcPr>
            <w:tcW w:w="6412" w:type="dxa"/>
            <w:vAlign w:val="top"/>
          </w:tcPr>
          <w:p w14:paraId="07FE969C">
            <w:pPr>
              <w:pStyle w:val="434"/>
              <w:spacing w:before="41" w:line="204" w:lineRule="auto"/>
              <w:ind w:left="115"/>
            </w:pPr>
            <w:r>
              <w:rPr>
                <w:spacing w:val="-6"/>
              </w:rPr>
              <w:t>涤棉三防布料</w:t>
            </w:r>
            <w:r>
              <w:rPr>
                <w:spacing w:val="-51"/>
              </w:rPr>
              <w:t xml:space="preserve"> </w:t>
            </w:r>
            <w:r>
              <w:rPr>
                <w:spacing w:val="-6"/>
              </w:rPr>
              <w:t>透气防水 防细菌穿透</w:t>
            </w:r>
            <w:r>
              <w:rPr>
                <w:spacing w:val="-23"/>
              </w:rPr>
              <w:t xml:space="preserve"> </w:t>
            </w:r>
            <w:r>
              <w:rPr>
                <w:spacing w:val="-6"/>
              </w:rPr>
              <w:t>防感染</w:t>
            </w:r>
          </w:p>
        </w:tc>
      </w:tr>
      <w:tr w14:paraId="2E0B9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3" w:type="dxa"/>
            <w:vAlign w:val="top"/>
          </w:tcPr>
          <w:p w14:paraId="064BA053">
            <w:pPr>
              <w:pStyle w:val="434"/>
              <w:spacing w:line="230" w:lineRule="auto"/>
              <w:ind w:left="116"/>
            </w:pPr>
            <w:r>
              <w:t>9</w:t>
            </w:r>
          </w:p>
        </w:tc>
        <w:tc>
          <w:tcPr>
            <w:tcW w:w="1882" w:type="dxa"/>
            <w:vAlign w:val="top"/>
          </w:tcPr>
          <w:p w14:paraId="01D951BF">
            <w:pPr>
              <w:pStyle w:val="434"/>
              <w:spacing w:before="42" w:line="201" w:lineRule="auto"/>
              <w:ind w:left="115" w:right="52"/>
            </w:pPr>
            <w:r>
              <w:rPr>
                <w:spacing w:val="-2"/>
              </w:rPr>
              <w:t>手术室上下套</w:t>
            </w:r>
            <w:r>
              <w:rPr>
                <w:spacing w:val="-5"/>
              </w:rPr>
              <w:t>夏装</w:t>
            </w:r>
          </w:p>
        </w:tc>
        <w:tc>
          <w:tcPr>
            <w:tcW w:w="6412" w:type="dxa"/>
            <w:vAlign w:val="top"/>
          </w:tcPr>
          <w:p w14:paraId="2F862ACF">
            <w:pPr>
              <w:pStyle w:val="434"/>
              <w:spacing w:before="43" w:line="219" w:lineRule="auto"/>
              <w:ind w:left="115"/>
            </w:pPr>
            <w:r>
              <w:t>全工艺浅蓝涤棉斜纹</w:t>
            </w:r>
            <w:r>
              <w:rPr>
                <w:spacing w:val="-46"/>
              </w:rPr>
              <w:t xml:space="preserve"> </w:t>
            </w:r>
            <w:r>
              <w:t>涤/棉65/35 纱支3</w:t>
            </w:r>
            <w:r>
              <w:rPr>
                <w:spacing w:val="-1"/>
              </w:rPr>
              <w:t>2*32 密度130*70</w:t>
            </w:r>
          </w:p>
        </w:tc>
      </w:tr>
    </w:tbl>
    <w:p w14:paraId="1627F41B">
      <w:pPr>
        <w:pStyle w:val="31"/>
        <w:spacing w:before="171" w:line="220" w:lineRule="auto"/>
        <w:ind w:left="165" w:firstLine="240" w:firstLineChars="100"/>
        <w:rPr>
          <w:sz w:val="28"/>
          <w:szCs w:val="28"/>
        </w:rPr>
      </w:pPr>
      <w:r>
        <mc:AlternateContent>
          <mc:Choice Requires="wps">
            <w:drawing>
              <wp:anchor distT="0" distB="0" distL="114300" distR="114300" simplePos="0" relativeHeight="251662336" behindDoc="1" locked="0" layoutInCell="1" allowOverlap="1">
                <wp:simplePos x="0" y="0"/>
                <wp:positionH relativeFrom="column">
                  <wp:posOffset>5617845</wp:posOffset>
                </wp:positionH>
                <wp:positionV relativeFrom="paragraph">
                  <wp:posOffset>407670</wp:posOffset>
                </wp:positionV>
                <wp:extent cx="69850" cy="20891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9850" cy="208915"/>
                        </a:xfrm>
                        <a:prstGeom prst="rect">
                          <a:avLst/>
                        </a:prstGeom>
                        <a:noFill/>
                        <a:ln>
                          <a:noFill/>
                        </a:ln>
                      </wps:spPr>
                      <wps:txbx>
                        <w:txbxContent>
                          <w:p w14:paraId="294F96FC">
                            <w:pPr>
                              <w:pStyle w:val="31"/>
                              <w:spacing w:before="20" w:line="222" w:lineRule="auto"/>
                              <w:jc w:val="right"/>
                            </w:pPr>
                            <w:r>
                              <w:rPr>
                                <w:spacing w:val="-13"/>
                                <w:w w:val="68"/>
                              </w:rPr>
                              <w:t>)</w:t>
                            </w:r>
                          </w:p>
                        </w:txbxContent>
                      </wps:txbx>
                      <wps:bodyPr lIns="0" tIns="0" rIns="0" bIns="0" upright="1"/>
                    </wps:wsp>
                  </a:graphicData>
                </a:graphic>
              </wp:anchor>
            </w:drawing>
          </mc:Choice>
          <mc:Fallback>
            <w:pict>
              <v:shape id="_x0000_s1026" o:spid="_x0000_s1026" o:spt="202" type="#_x0000_t202" style="position:absolute;left:0pt;margin-left:442.35pt;margin-top:32.1pt;height:16.45pt;width:5.5pt;z-index:-251654144;mso-width-relative:page;mso-height-relative:page;" filled="f" stroked="f" coordsize="21600,21600" o:gfxdata="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krZ3jZAAAACQEAAA8AAAAAAAAAAQAgAAAAIgAAAGRycy9kb3ducmV2LnhtbFBLAQIU&#10;ABQAAAAIAIdO4kBumPczuQEAAHIDAAAOAAAAAAAAAAEAIAAAACgBAABkcnMvZTJvRG9jLnhtbFBL&#10;BQYAAAAABgAGAFkBAABTBQAAAAA=&#10;">
                <v:fill on="f" focussize="0,0"/>
                <v:stroke on="f"/>
                <v:imagedata o:title=""/>
                <o:lock v:ext="edit" aspectratio="f"/>
                <v:textbox inset="0mm,0mm,0mm,0mm">
                  <w:txbxContent>
                    <w:p w14:paraId="294F96FC">
                      <w:pPr>
                        <w:pStyle w:val="31"/>
                        <w:spacing w:before="20" w:line="222" w:lineRule="auto"/>
                        <w:jc w:val="right"/>
                      </w:pPr>
                      <w:r>
                        <w:rPr>
                          <w:spacing w:val="-13"/>
                          <w:w w:val="68"/>
                        </w:rPr>
                        <w:t>)</w:t>
                      </w:r>
                    </w:p>
                  </w:txbxContent>
                </v:textbox>
              </v:shape>
            </w:pict>
          </mc:Fallback>
        </mc:AlternateContent>
      </w:r>
      <w:r>
        <w:rPr>
          <w:spacing w:val="-2"/>
          <w:sz w:val="28"/>
          <w:szCs w:val="28"/>
        </w:rPr>
        <w:t>床上用品</w:t>
      </w:r>
    </w:p>
    <w:p w14:paraId="1116C5CC">
      <w:pPr>
        <w:spacing w:line="119" w:lineRule="exact"/>
      </w:pPr>
    </w:p>
    <w:tbl>
      <w:tblPr>
        <w:tblStyle w:val="433"/>
        <w:tblW w:w="9147" w:type="dxa"/>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739"/>
        <w:gridCol w:w="721"/>
        <w:gridCol w:w="2755"/>
        <w:gridCol w:w="1845"/>
        <w:gridCol w:w="1423"/>
      </w:tblGrid>
      <w:tr w14:paraId="0B716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64" w:type="dxa"/>
            <w:vAlign w:val="top"/>
          </w:tcPr>
          <w:p w14:paraId="6B4145CD">
            <w:pPr>
              <w:pStyle w:val="434"/>
              <w:spacing w:before="32" w:line="214" w:lineRule="auto"/>
              <w:ind w:left="200"/>
            </w:pPr>
            <w:r>
              <w:rPr>
                <w:spacing w:val="-5"/>
              </w:rPr>
              <w:t>序号</w:t>
            </w:r>
          </w:p>
        </w:tc>
        <w:tc>
          <w:tcPr>
            <w:tcW w:w="1739" w:type="dxa"/>
            <w:vAlign w:val="top"/>
          </w:tcPr>
          <w:p w14:paraId="0D50BDF8">
            <w:pPr>
              <w:pStyle w:val="434"/>
              <w:spacing w:before="32" w:line="214" w:lineRule="auto"/>
              <w:ind w:left="448"/>
            </w:pPr>
            <w:r>
              <w:rPr>
                <w:spacing w:val="-3"/>
              </w:rPr>
              <w:t>产品名称</w:t>
            </w:r>
          </w:p>
        </w:tc>
        <w:tc>
          <w:tcPr>
            <w:tcW w:w="721" w:type="dxa"/>
            <w:vAlign w:val="top"/>
          </w:tcPr>
          <w:p w14:paraId="0B48CA45">
            <w:pPr>
              <w:pStyle w:val="434"/>
              <w:spacing w:before="32" w:line="214" w:lineRule="auto"/>
              <w:ind w:left="196"/>
            </w:pPr>
            <w:r>
              <w:rPr>
                <w:spacing w:val="-6"/>
              </w:rPr>
              <w:t>单位</w:t>
            </w:r>
          </w:p>
        </w:tc>
        <w:tc>
          <w:tcPr>
            <w:tcW w:w="2755" w:type="dxa"/>
            <w:vAlign w:val="top"/>
          </w:tcPr>
          <w:p w14:paraId="0152B8CC">
            <w:pPr>
              <w:pStyle w:val="434"/>
              <w:spacing w:before="32" w:line="214" w:lineRule="auto"/>
              <w:ind w:left="1197"/>
            </w:pPr>
            <w:r>
              <w:rPr>
                <w:spacing w:val="-5"/>
              </w:rPr>
              <w:t>材质</w:t>
            </w:r>
          </w:p>
        </w:tc>
        <w:tc>
          <w:tcPr>
            <w:tcW w:w="1845" w:type="dxa"/>
            <w:vAlign w:val="top"/>
          </w:tcPr>
          <w:p w14:paraId="5A1CB0B8">
            <w:pPr>
              <w:pStyle w:val="434"/>
              <w:spacing w:before="32" w:line="214" w:lineRule="auto"/>
              <w:ind w:left="384"/>
            </w:pPr>
            <w:r>
              <w:rPr>
                <w:spacing w:val="-2"/>
              </w:rPr>
              <w:t>规格（cm）</w:t>
            </w:r>
          </w:p>
        </w:tc>
        <w:tc>
          <w:tcPr>
            <w:tcW w:w="1423" w:type="dxa"/>
            <w:vAlign w:val="top"/>
          </w:tcPr>
          <w:p w14:paraId="7A2ECE68">
            <w:pPr>
              <w:pStyle w:val="434"/>
              <w:spacing w:before="32" w:line="214" w:lineRule="auto"/>
              <w:ind w:left="15"/>
            </w:pPr>
            <w:r>
              <w:rPr>
                <w:spacing w:val="-15"/>
              </w:rPr>
              <w:t>重量（kg</w:t>
            </w:r>
          </w:p>
        </w:tc>
      </w:tr>
      <w:tr w14:paraId="056AF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4" w:type="dxa"/>
            <w:vAlign w:val="top"/>
          </w:tcPr>
          <w:p w14:paraId="40C8124A">
            <w:pPr>
              <w:pStyle w:val="434"/>
              <w:spacing w:before="191" w:line="241" w:lineRule="auto"/>
              <w:ind w:left="139"/>
            </w:pPr>
            <w:r>
              <w:t>1</w:t>
            </w:r>
          </w:p>
        </w:tc>
        <w:tc>
          <w:tcPr>
            <w:tcW w:w="1739" w:type="dxa"/>
            <w:vAlign w:val="top"/>
          </w:tcPr>
          <w:p w14:paraId="3B733391">
            <w:pPr>
              <w:pStyle w:val="434"/>
              <w:spacing w:before="192" w:line="219" w:lineRule="auto"/>
              <w:ind w:left="117"/>
            </w:pPr>
            <w:r>
              <w:rPr>
                <w:spacing w:val="-13"/>
              </w:rPr>
              <w:t>太空被（白色）</w:t>
            </w:r>
          </w:p>
        </w:tc>
        <w:tc>
          <w:tcPr>
            <w:tcW w:w="721" w:type="dxa"/>
            <w:vAlign w:val="top"/>
          </w:tcPr>
          <w:p w14:paraId="55123035">
            <w:pPr>
              <w:pStyle w:val="434"/>
              <w:spacing w:before="192" w:line="219" w:lineRule="auto"/>
              <w:ind w:left="116"/>
            </w:pPr>
            <w:r>
              <w:t>床</w:t>
            </w:r>
          </w:p>
        </w:tc>
        <w:tc>
          <w:tcPr>
            <w:tcW w:w="2755" w:type="dxa"/>
            <w:vAlign w:val="top"/>
          </w:tcPr>
          <w:p w14:paraId="43CC01F1">
            <w:pPr>
              <w:pStyle w:val="434"/>
              <w:spacing w:before="36" w:line="219" w:lineRule="auto"/>
              <w:ind w:left="118"/>
            </w:pPr>
            <w:r>
              <w:rPr>
                <w:spacing w:val="-3"/>
              </w:rPr>
              <w:t>面料：全棉</w:t>
            </w:r>
          </w:p>
          <w:p w14:paraId="21E6CB79">
            <w:pPr>
              <w:pStyle w:val="434"/>
              <w:spacing w:before="21" w:line="212" w:lineRule="auto"/>
              <w:ind w:left="119"/>
            </w:pPr>
            <w:r>
              <w:rPr>
                <w:spacing w:val="-2"/>
              </w:rPr>
              <w:t>填充物：整张羽丝绵</w:t>
            </w:r>
          </w:p>
        </w:tc>
        <w:tc>
          <w:tcPr>
            <w:tcW w:w="1845" w:type="dxa"/>
            <w:vAlign w:val="top"/>
          </w:tcPr>
          <w:p w14:paraId="30EBA9E1">
            <w:pPr>
              <w:pStyle w:val="434"/>
              <w:spacing w:before="191"/>
              <w:ind w:left="137"/>
            </w:pPr>
            <w:r>
              <w:rPr>
                <w:spacing w:val="-4"/>
              </w:rPr>
              <w:t>100*100</w:t>
            </w:r>
          </w:p>
        </w:tc>
        <w:tc>
          <w:tcPr>
            <w:tcW w:w="1423" w:type="dxa"/>
            <w:vAlign w:val="top"/>
          </w:tcPr>
          <w:p w14:paraId="1B0C3ED2">
            <w:pPr>
              <w:pStyle w:val="434"/>
              <w:spacing w:before="191" w:line="239" w:lineRule="auto"/>
              <w:ind w:left="361"/>
            </w:pPr>
            <w:r>
              <w:rPr>
                <w:spacing w:val="-10"/>
              </w:rPr>
              <w:t>1.2</w:t>
            </w:r>
          </w:p>
        </w:tc>
      </w:tr>
      <w:tr w14:paraId="5633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64" w:type="dxa"/>
            <w:vAlign w:val="top"/>
          </w:tcPr>
          <w:p w14:paraId="0C78616C">
            <w:pPr>
              <w:pStyle w:val="434"/>
              <w:spacing w:before="26" w:line="241" w:lineRule="auto"/>
              <w:ind w:left="124"/>
            </w:pPr>
            <w:r>
              <w:t>2</w:t>
            </w:r>
          </w:p>
        </w:tc>
        <w:tc>
          <w:tcPr>
            <w:tcW w:w="1739" w:type="dxa"/>
            <w:vAlign w:val="top"/>
          </w:tcPr>
          <w:p w14:paraId="734B612E">
            <w:pPr>
              <w:pStyle w:val="434"/>
              <w:spacing w:before="27" w:line="219" w:lineRule="auto"/>
              <w:ind w:left="115"/>
            </w:pPr>
            <w:r>
              <w:rPr>
                <w:spacing w:val="-2"/>
              </w:rPr>
              <w:t>床垫（薄款）</w:t>
            </w:r>
          </w:p>
        </w:tc>
        <w:tc>
          <w:tcPr>
            <w:tcW w:w="721" w:type="dxa"/>
            <w:vAlign w:val="top"/>
          </w:tcPr>
          <w:p w14:paraId="0CC71995">
            <w:pPr>
              <w:pStyle w:val="434"/>
              <w:spacing w:before="27" w:line="219" w:lineRule="auto"/>
              <w:ind w:left="116"/>
            </w:pPr>
            <w:r>
              <w:t>床</w:t>
            </w:r>
          </w:p>
        </w:tc>
        <w:tc>
          <w:tcPr>
            <w:tcW w:w="2755" w:type="dxa"/>
            <w:vAlign w:val="top"/>
          </w:tcPr>
          <w:p w14:paraId="3980585E">
            <w:pPr>
              <w:pStyle w:val="434"/>
              <w:spacing w:before="27" w:line="219" w:lineRule="auto"/>
              <w:ind w:left="118"/>
            </w:pPr>
            <w:r>
              <w:rPr>
                <w:spacing w:val="-3"/>
              </w:rPr>
              <w:t>面料:涤棉</w:t>
            </w:r>
          </w:p>
          <w:p w14:paraId="14946AB9">
            <w:pPr>
              <w:pStyle w:val="434"/>
              <w:spacing w:before="7" w:line="200" w:lineRule="auto"/>
              <w:ind w:left="119"/>
            </w:pPr>
            <w:r>
              <w:rPr>
                <w:spacing w:val="-2"/>
              </w:rPr>
              <w:t>填充物：整张羽丝绵</w:t>
            </w:r>
          </w:p>
        </w:tc>
        <w:tc>
          <w:tcPr>
            <w:tcW w:w="1845" w:type="dxa"/>
            <w:vAlign w:val="top"/>
          </w:tcPr>
          <w:p w14:paraId="51AEAC8B">
            <w:pPr>
              <w:pStyle w:val="434"/>
              <w:spacing w:before="26"/>
              <w:ind w:left="137"/>
            </w:pPr>
            <w:r>
              <w:rPr>
                <w:spacing w:val="-4"/>
              </w:rPr>
              <w:t>100*200</w:t>
            </w:r>
          </w:p>
        </w:tc>
        <w:tc>
          <w:tcPr>
            <w:tcW w:w="1423" w:type="dxa"/>
            <w:vAlign w:val="top"/>
          </w:tcPr>
          <w:p w14:paraId="4F0BB58D">
            <w:pPr>
              <w:pStyle w:val="434"/>
              <w:spacing w:before="26" w:line="239" w:lineRule="auto"/>
              <w:ind w:left="361"/>
            </w:pPr>
            <w:r>
              <w:rPr>
                <w:spacing w:val="-10"/>
              </w:rPr>
              <w:t>1.5</w:t>
            </w:r>
          </w:p>
        </w:tc>
      </w:tr>
      <w:tr w14:paraId="5206E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4" w:type="dxa"/>
            <w:vAlign w:val="top"/>
          </w:tcPr>
          <w:p w14:paraId="6CDA3E26">
            <w:pPr>
              <w:pStyle w:val="434"/>
              <w:spacing w:before="27" w:line="214" w:lineRule="auto"/>
              <w:ind w:left="126"/>
            </w:pPr>
            <w:r>
              <w:t>3</w:t>
            </w:r>
          </w:p>
        </w:tc>
        <w:tc>
          <w:tcPr>
            <w:tcW w:w="1739" w:type="dxa"/>
            <w:vAlign w:val="top"/>
          </w:tcPr>
          <w:p w14:paraId="0C1F9F88">
            <w:pPr>
              <w:pStyle w:val="434"/>
              <w:spacing w:before="27" w:line="214" w:lineRule="auto"/>
              <w:ind w:left="118"/>
            </w:pPr>
            <w:r>
              <w:rPr>
                <w:spacing w:val="-6"/>
              </w:rPr>
              <w:t>盖絮</w:t>
            </w:r>
          </w:p>
        </w:tc>
        <w:tc>
          <w:tcPr>
            <w:tcW w:w="721" w:type="dxa"/>
            <w:vAlign w:val="top"/>
          </w:tcPr>
          <w:p w14:paraId="496E9F15">
            <w:pPr>
              <w:pStyle w:val="434"/>
              <w:spacing w:before="27" w:line="214" w:lineRule="auto"/>
              <w:ind w:left="116"/>
            </w:pPr>
            <w:r>
              <w:t>床</w:t>
            </w:r>
          </w:p>
        </w:tc>
        <w:tc>
          <w:tcPr>
            <w:tcW w:w="2755" w:type="dxa"/>
            <w:vAlign w:val="top"/>
          </w:tcPr>
          <w:p w14:paraId="0649EA80">
            <w:pPr>
              <w:pStyle w:val="434"/>
              <w:spacing w:before="27" w:line="214" w:lineRule="auto"/>
              <w:ind w:left="109"/>
            </w:pPr>
            <w:r>
              <w:rPr>
                <w:spacing w:val="-4"/>
              </w:rPr>
              <w:t>A</w:t>
            </w:r>
            <w:r>
              <w:rPr>
                <w:spacing w:val="13"/>
              </w:rPr>
              <w:t xml:space="preserve"> </w:t>
            </w:r>
            <w:r>
              <w:rPr>
                <w:spacing w:val="-4"/>
              </w:rPr>
              <w:t>级棉胎</w:t>
            </w:r>
          </w:p>
        </w:tc>
        <w:tc>
          <w:tcPr>
            <w:tcW w:w="1845" w:type="dxa"/>
            <w:vAlign w:val="top"/>
          </w:tcPr>
          <w:p w14:paraId="35D1F87E">
            <w:pPr>
              <w:pStyle w:val="434"/>
              <w:spacing w:before="27" w:line="214" w:lineRule="auto"/>
              <w:ind w:left="122"/>
            </w:pPr>
            <w:r>
              <w:rPr>
                <w:spacing w:val="-2"/>
              </w:rPr>
              <w:t>210*180</w:t>
            </w:r>
          </w:p>
        </w:tc>
        <w:tc>
          <w:tcPr>
            <w:tcW w:w="1423" w:type="dxa"/>
            <w:vAlign w:val="top"/>
          </w:tcPr>
          <w:p w14:paraId="5E4D7CC8">
            <w:pPr>
              <w:pStyle w:val="434"/>
              <w:spacing w:before="27" w:line="214" w:lineRule="auto"/>
              <w:ind w:left="286"/>
            </w:pPr>
            <w:r>
              <w:rPr>
                <w:spacing w:val="-4"/>
              </w:rPr>
              <w:t>2.25</w:t>
            </w:r>
          </w:p>
        </w:tc>
      </w:tr>
      <w:tr w14:paraId="53BD0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64" w:type="dxa"/>
            <w:vAlign w:val="top"/>
          </w:tcPr>
          <w:p w14:paraId="0FA54603">
            <w:pPr>
              <w:pStyle w:val="434"/>
              <w:spacing w:before="191" w:line="241" w:lineRule="auto"/>
              <w:ind w:left="121"/>
            </w:pPr>
            <w:r>
              <w:t>4</w:t>
            </w:r>
          </w:p>
        </w:tc>
        <w:tc>
          <w:tcPr>
            <w:tcW w:w="1739" w:type="dxa"/>
            <w:vAlign w:val="top"/>
          </w:tcPr>
          <w:p w14:paraId="100B391A">
            <w:pPr>
              <w:pStyle w:val="434"/>
              <w:spacing w:before="192" w:line="219" w:lineRule="auto"/>
              <w:ind w:left="117"/>
            </w:pPr>
            <w:r>
              <w:rPr>
                <w:spacing w:val="-4"/>
              </w:rPr>
              <w:t>太空被</w:t>
            </w:r>
          </w:p>
        </w:tc>
        <w:tc>
          <w:tcPr>
            <w:tcW w:w="721" w:type="dxa"/>
            <w:vAlign w:val="top"/>
          </w:tcPr>
          <w:p w14:paraId="5FC594B0">
            <w:pPr>
              <w:pStyle w:val="434"/>
              <w:spacing w:before="192" w:line="219" w:lineRule="auto"/>
              <w:ind w:left="116"/>
            </w:pPr>
            <w:r>
              <w:t>床</w:t>
            </w:r>
          </w:p>
        </w:tc>
        <w:tc>
          <w:tcPr>
            <w:tcW w:w="2755" w:type="dxa"/>
            <w:vAlign w:val="top"/>
          </w:tcPr>
          <w:p w14:paraId="1499A3FB">
            <w:pPr>
              <w:pStyle w:val="434"/>
              <w:spacing w:before="40" w:line="219" w:lineRule="auto"/>
              <w:ind w:left="118"/>
            </w:pPr>
            <w:r>
              <w:rPr>
                <w:spacing w:val="-3"/>
              </w:rPr>
              <w:t>面料：全棉</w:t>
            </w:r>
          </w:p>
          <w:p w14:paraId="0CE0523C">
            <w:pPr>
              <w:pStyle w:val="434"/>
              <w:spacing w:before="9" w:line="200" w:lineRule="auto"/>
              <w:ind w:left="119"/>
            </w:pPr>
            <w:r>
              <w:rPr>
                <w:spacing w:val="-2"/>
              </w:rPr>
              <w:t>填充物：整张羽丝绵</w:t>
            </w:r>
          </w:p>
        </w:tc>
        <w:tc>
          <w:tcPr>
            <w:tcW w:w="1845" w:type="dxa"/>
            <w:vAlign w:val="top"/>
          </w:tcPr>
          <w:p w14:paraId="3A486942">
            <w:pPr>
              <w:pStyle w:val="434"/>
              <w:spacing w:before="191"/>
              <w:ind w:left="122"/>
            </w:pPr>
            <w:r>
              <w:rPr>
                <w:spacing w:val="-2"/>
              </w:rPr>
              <w:t>210*180</w:t>
            </w:r>
          </w:p>
        </w:tc>
        <w:tc>
          <w:tcPr>
            <w:tcW w:w="1423" w:type="dxa"/>
            <w:vAlign w:val="top"/>
          </w:tcPr>
          <w:p w14:paraId="2CC02AB1">
            <w:pPr>
              <w:pStyle w:val="434"/>
              <w:spacing w:before="191" w:line="239" w:lineRule="auto"/>
              <w:ind w:left="361"/>
            </w:pPr>
            <w:r>
              <w:rPr>
                <w:spacing w:val="-10"/>
              </w:rPr>
              <w:t>1.2</w:t>
            </w:r>
          </w:p>
        </w:tc>
      </w:tr>
      <w:tr w14:paraId="07022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4" w:type="dxa"/>
            <w:vAlign w:val="top"/>
          </w:tcPr>
          <w:p w14:paraId="1C7B03BC">
            <w:pPr>
              <w:pStyle w:val="434"/>
              <w:spacing w:before="27" w:line="214" w:lineRule="auto"/>
              <w:ind w:left="126"/>
            </w:pPr>
            <w:r>
              <w:t>5</w:t>
            </w:r>
          </w:p>
        </w:tc>
        <w:tc>
          <w:tcPr>
            <w:tcW w:w="1739" w:type="dxa"/>
            <w:vAlign w:val="top"/>
          </w:tcPr>
          <w:p w14:paraId="78E5857A">
            <w:pPr>
              <w:pStyle w:val="434"/>
              <w:spacing w:before="27" w:line="214" w:lineRule="auto"/>
              <w:ind w:left="119"/>
            </w:pPr>
            <w:r>
              <w:rPr>
                <w:spacing w:val="-6"/>
              </w:rPr>
              <w:t>垫被</w:t>
            </w:r>
          </w:p>
        </w:tc>
        <w:tc>
          <w:tcPr>
            <w:tcW w:w="721" w:type="dxa"/>
            <w:vAlign w:val="top"/>
          </w:tcPr>
          <w:p w14:paraId="785B66BC">
            <w:pPr>
              <w:pStyle w:val="434"/>
              <w:spacing w:before="27" w:line="214" w:lineRule="auto"/>
              <w:ind w:left="116"/>
            </w:pPr>
            <w:r>
              <w:t>床</w:t>
            </w:r>
          </w:p>
        </w:tc>
        <w:tc>
          <w:tcPr>
            <w:tcW w:w="2755" w:type="dxa"/>
            <w:vAlign w:val="top"/>
          </w:tcPr>
          <w:p w14:paraId="4E64F3E5">
            <w:pPr>
              <w:pStyle w:val="434"/>
              <w:spacing w:before="27" w:line="214" w:lineRule="auto"/>
              <w:ind w:left="109"/>
            </w:pPr>
            <w:r>
              <w:rPr>
                <w:spacing w:val="-4"/>
              </w:rPr>
              <w:t>A</w:t>
            </w:r>
            <w:r>
              <w:rPr>
                <w:spacing w:val="13"/>
              </w:rPr>
              <w:t xml:space="preserve"> </w:t>
            </w:r>
            <w:r>
              <w:rPr>
                <w:spacing w:val="-4"/>
              </w:rPr>
              <w:t>级棉胎</w:t>
            </w:r>
          </w:p>
        </w:tc>
        <w:tc>
          <w:tcPr>
            <w:tcW w:w="1845" w:type="dxa"/>
            <w:vAlign w:val="top"/>
          </w:tcPr>
          <w:p w14:paraId="49CBC5F2">
            <w:pPr>
              <w:pStyle w:val="434"/>
              <w:spacing w:before="27" w:line="214" w:lineRule="auto"/>
              <w:ind w:left="120"/>
            </w:pPr>
            <w:r>
              <w:rPr>
                <w:spacing w:val="-2"/>
              </w:rPr>
              <w:t>90*200</w:t>
            </w:r>
          </w:p>
        </w:tc>
        <w:tc>
          <w:tcPr>
            <w:tcW w:w="1423" w:type="dxa"/>
            <w:vAlign w:val="top"/>
          </w:tcPr>
          <w:p w14:paraId="4F113503">
            <w:pPr>
              <w:pStyle w:val="434"/>
              <w:spacing w:before="27" w:line="214" w:lineRule="auto"/>
              <w:ind w:left="468"/>
            </w:pPr>
            <w:r>
              <w:t>3</w:t>
            </w:r>
          </w:p>
        </w:tc>
      </w:tr>
      <w:tr w14:paraId="60DCA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664" w:type="dxa"/>
            <w:vAlign w:val="top"/>
          </w:tcPr>
          <w:p w14:paraId="47297741">
            <w:pPr>
              <w:pStyle w:val="434"/>
              <w:spacing w:before="191"/>
              <w:ind w:left="123"/>
            </w:pPr>
            <w:r>
              <w:t>6</w:t>
            </w:r>
          </w:p>
        </w:tc>
        <w:tc>
          <w:tcPr>
            <w:tcW w:w="1739" w:type="dxa"/>
            <w:vAlign w:val="top"/>
          </w:tcPr>
          <w:p w14:paraId="3E84A7F8">
            <w:pPr>
              <w:pStyle w:val="434"/>
              <w:spacing w:before="192" w:line="219" w:lineRule="auto"/>
              <w:ind w:left="119"/>
            </w:pPr>
            <w:r>
              <w:rPr>
                <w:spacing w:val="-13"/>
              </w:rPr>
              <w:t>丝绵被（白色）</w:t>
            </w:r>
          </w:p>
        </w:tc>
        <w:tc>
          <w:tcPr>
            <w:tcW w:w="721" w:type="dxa"/>
            <w:vAlign w:val="top"/>
          </w:tcPr>
          <w:p w14:paraId="0C6ED5A6">
            <w:pPr>
              <w:pStyle w:val="434"/>
              <w:spacing w:before="192" w:line="219" w:lineRule="auto"/>
              <w:ind w:left="116"/>
            </w:pPr>
            <w:r>
              <w:t>床</w:t>
            </w:r>
          </w:p>
        </w:tc>
        <w:tc>
          <w:tcPr>
            <w:tcW w:w="2755" w:type="dxa"/>
            <w:vAlign w:val="top"/>
          </w:tcPr>
          <w:p w14:paraId="6A84906A">
            <w:pPr>
              <w:pStyle w:val="434"/>
              <w:spacing w:before="36" w:line="219" w:lineRule="auto"/>
              <w:ind w:left="118"/>
            </w:pPr>
            <w:r>
              <w:rPr>
                <w:spacing w:val="-3"/>
              </w:rPr>
              <w:t>面料：涤棉</w:t>
            </w:r>
          </w:p>
          <w:p w14:paraId="1B94DA97">
            <w:pPr>
              <w:pStyle w:val="434"/>
              <w:spacing w:before="22" w:line="200" w:lineRule="auto"/>
              <w:ind w:left="119"/>
            </w:pPr>
            <w:r>
              <w:rPr>
                <w:spacing w:val="-2"/>
              </w:rPr>
              <w:t>填充物：整张羽丝绵</w:t>
            </w:r>
          </w:p>
        </w:tc>
        <w:tc>
          <w:tcPr>
            <w:tcW w:w="1845" w:type="dxa"/>
            <w:vAlign w:val="top"/>
          </w:tcPr>
          <w:p w14:paraId="704C0C20">
            <w:pPr>
              <w:pStyle w:val="434"/>
              <w:spacing w:before="191"/>
              <w:ind w:left="137"/>
            </w:pPr>
            <w:r>
              <w:rPr>
                <w:spacing w:val="-4"/>
              </w:rPr>
              <w:t>150*200</w:t>
            </w:r>
          </w:p>
        </w:tc>
        <w:tc>
          <w:tcPr>
            <w:tcW w:w="1423" w:type="dxa"/>
            <w:vAlign w:val="top"/>
          </w:tcPr>
          <w:p w14:paraId="3D4B5C91">
            <w:pPr>
              <w:pStyle w:val="434"/>
              <w:spacing w:before="191" w:line="239" w:lineRule="auto"/>
              <w:ind w:left="361"/>
            </w:pPr>
            <w:r>
              <w:rPr>
                <w:spacing w:val="-10"/>
              </w:rPr>
              <w:t>1.5</w:t>
            </w:r>
          </w:p>
        </w:tc>
      </w:tr>
      <w:tr w14:paraId="5775B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664" w:type="dxa"/>
            <w:vAlign w:val="top"/>
          </w:tcPr>
          <w:p w14:paraId="65A4AEF3">
            <w:pPr>
              <w:pStyle w:val="434"/>
              <w:spacing w:before="190"/>
              <w:ind w:left="127"/>
            </w:pPr>
            <w:r>
              <w:t>7</w:t>
            </w:r>
          </w:p>
        </w:tc>
        <w:tc>
          <w:tcPr>
            <w:tcW w:w="1739" w:type="dxa"/>
            <w:vAlign w:val="top"/>
          </w:tcPr>
          <w:p w14:paraId="61F2192C">
            <w:pPr>
              <w:pStyle w:val="434"/>
              <w:spacing w:before="35" w:line="217" w:lineRule="auto"/>
              <w:ind w:left="128" w:right="426" w:firstLine="11"/>
            </w:pPr>
            <w:r>
              <w:rPr>
                <w:spacing w:val="-7"/>
              </w:rPr>
              <w:t>四季春秋被</w:t>
            </w:r>
            <w:r>
              <w:rPr>
                <w:spacing w:val="-6"/>
              </w:rPr>
              <w:t>（1.5</w:t>
            </w:r>
            <w:r>
              <w:rPr>
                <w:spacing w:val="-49"/>
              </w:rPr>
              <w:t xml:space="preserve"> </w:t>
            </w:r>
            <w:r>
              <w:rPr>
                <w:spacing w:val="-6"/>
              </w:rPr>
              <w:t>米）</w:t>
            </w:r>
          </w:p>
        </w:tc>
        <w:tc>
          <w:tcPr>
            <w:tcW w:w="721" w:type="dxa"/>
            <w:vAlign w:val="top"/>
          </w:tcPr>
          <w:p w14:paraId="5CB2BBB2">
            <w:pPr>
              <w:pStyle w:val="434"/>
              <w:spacing w:before="191" w:line="219" w:lineRule="auto"/>
              <w:ind w:left="116"/>
            </w:pPr>
            <w:r>
              <w:t>床</w:t>
            </w:r>
          </w:p>
        </w:tc>
        <w:tc>
          <w:tcPr>
            <w:tcW w:w="2755" w:type="dxa"/>
            <w:vAlign w:val="top"/>
          </w:tcPr>
          <w:p w14:paraId="4535C8F6">
            <w:pPr>
              <w:pStyle w:val="434"/>
              <w:spacing w:before="37" w:line="219" w:lineRule="auto"/>
              <w:ind w:left="118"/>
            </w:pPr>
            <w:r>
              <w:rPr>
                <w:spacing w:val="-2"/>
              </w:rPr>
              <w:t>面料：水洗棉</w:t>
            </w:r>
          </w:p>
          <w:p w14:paraId="5B52C3A8">
            <w:pPr>
              <w:pStyle w:val="434"/>
              <w:spacing w:before="19" w:line="199" w:lineRule="auto"/>
              <w:ind w:left="119"/>
            </w:pPr>
            <w:r>
              <w:rPr>
                <w:spacing w:val="-2"/>
              </w:rPr>
              <w:t>填充物：整张羽丝绵</w:t>
            </w:r>
          </w:p>
        </w:tc>
        <w:tc>
          <w:tcPr>
            <w:tcW w:w="1845" w:type="dxa"/>
            <w:vAlign w:val="top"/>
          </w:tcPr>
          <w:p w14:paraId="3E2F9061">
            <w:pPr>
              <w:pStyle w:val="434"/>
              <w:spacing w:before="190"/>
              <w:ind w:left="137"/>
            </w:pPr>
            <w:r>
              <w:rPr>
                <w:spacing w:val="-4"/>
              </w:rPr>
              <w:t>150*200</w:t>
            </w:r>
          </w:p>
        </w:tc>
        <w:tc>
          <w:tcPr>
            <w:tcW w:w="1423" w:type="dxa"/>
            <w:vAlign w:val="top"/>
          </w:tcPr>
          <w:p w14:paraId="4B0CA58D">
            <w:pPr>
              <w:pStyle w:val="434"/>
              <w:spacing w:before="190" w:line="239" w:lineRule="auto"/>
              <w:ind w:left="361"/>
            </w:pPr>
            <w:r>
              <w:rPr>
                <w:spacing w:val="-10"/>
              </w:rPr>
              <w:t>1.5</w:t>
            </w:r>
          </w:p>
        </w:tc>
      </w:tr>
      <w:tr w14:paraId="69CA3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664" w:type="dxa"/>
            <w:vAlign w:val="top"/>
          </w:tcPr>
          <w:p w14:paraId="3E03B0DA">
            <w:pPr>
              <w:pStyle w:val="434"/>
              <w:spacing w:before="191"/>
              <w:ind w:left="122"/>
            </w:pPr>
            <w:r>
              <w:t>8</w:t>
            </w:r>
          </w:p>
        </w:tc>
        <w:tc>
          <w:tcPr>
            <w:tcW w:w="1739" w:type="dxa"/>
            <w:vAlign w:val="top"/>
          </w:tcPr>
          <w:p w14:paraId="6CF2377B">
            <w:pPr>
              <w:pStyle w:val="434"/>
              <w:spacing w:before="36" w:line="218" w:lineRule="auto"/>
              <w:ind w:left="128" w:right="426" w:firstLine="11"/>
            </w:pPr>
            <w:r>
              <w:rPr>
                <w:spacing w:val="-7"/>
              </w:rPr>
              <w:t>四季春秋被</w:t>
            </w:r>
            <w:r>
              <w:rPr>
                <w:spacing w:val="-6"/>
              </w:rPr>
              <w:t>（1.8</w:t>
            </w:r>
            <w:r>
              <w:rPr>
                <w:spacing w:val="-49"/>
              </w:rPr>
              <w:t xml:space="preserve"> </w:t>
            </w:r>
            <w:r>
              <w:rPr>
                <w:spacing w:val="-6"/>
              </w:rPr>
              <w:t>米）</w:t>
            </w:r>
          </w:p>
        </w:tc>
        <w:tc>
          <w:tcPr>
            <w:tcW w:w="721" w:type="dxa"/>
            <w:vAlign w:val="top"/>
          </w:tcPr>
          <w:p w14:paraId="06E72BE1">
            <w:pPr>
              <w:pStyle w:val="434"/>
              <w:spacing w:before="192" w:line="219" w:lineRule="auto"/>
              <w:ind w:left="116"/>
            </w:pPr>
            <w:r>
              <w:t>床</w:t>
            </w:r>
          </w:p>
        </w:tc>
        <w:tc>
          <w:tcPr>
            <w:tcW w:w="2755" w:type="dxa"/>
            <w:vAlign w:val="top"/>
          </w:tcPr>
          <w:p w14:paraId="3890EE0D">
            <w:pPr>
              <w:pStyle w:val="434"/>
              <w:spacing w:before="36" w:line="218" w:lineRule="auto"/>
              <w:ind w:left="118" w:right="477"/>
            </w:pPr>
            <w:r>
              <w:rPr>
                <w:spacing w:val="-24"/>
                <w:w w:val="99"/>
              </w:rPr>
              <w:t>面料水洗棉，填充整张</w:t>
            </w:r>
            <w:r>
              <w:rPr>
                <w:spacing w:val="-4"/>
              </w:rPr>
              <w:t>羽丝绵</w:t>
            </w:r>
          </w:p>
        </w:tc>
        <w:tc>
          <w:tcPr>
            <w:tcW w:w="1845" w:type="dxa"/>
            <w:vAlign w:val="top"/>
          </w:tcPr>
          <w:p w14:paraId="0E6E984C">
            <w:pPr>
              <w:pStyle w:val="434"/>
              <w:spacing w:before="191"/>
              <w:ind w:left="137"/>
            </w:pPr>
            <w:r>
              <w:rPr>
                <w:spacing w:val="-4"/>
              </w:rPr>
              <w:t>180*210</w:t>
            </w:r>
          </w:p>
        </w:tc>
        <w:tc>
          <w:tcPr>
            <w:tcW w:w="1423" w:type="dxa"/>
            <w:vAlign w:val="top"/>
          </w:tcPr>
          <w:p w14:paraId="217930EE">
            <w:pPr>
              <w:pStyle w:val="434"/>
              <w:spacing w:before="192" w:line="239" w:lineRule="auto"/>
              <w:ind w:left="361"/>
            </w:pPr>
            <w:r>
              <w:rPr>
                <w:spacing w:val="-10"/>
              </w:rPr>
              <w:t>1.8</w:t>
            </w:r>
          </w:p>
        </w:tc>
      </w:tr>
      <w:tr w14:paraId="5DF2B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64" w:type="dxa"/>
            <w:vAlign w:val="top"/>
          </w:tcPr>
          <w:p w14:paraId="67421E4B">
            <w:pPr>
              <w:pStyle w:val="434"/>
              <w:spacing w:before="193"/>
              <w:ind w:left="122"/>
            </w:pPr>
            <w:r>
              <w:t>9</w:t>
            </w:r>
          </w:p>
        </w:tc>
        <w:tc>
          <w:tcPr>
            <w:tcW w:w="1739" w:type="dxa"/>
            <w:vAlign w:val="top"/>
          </w:tcPr>
          <w:p w14:paraId="0B1E5F51">
            <w:pPr>
              <w:pStyle w:val="434"/>
              <w:spacing w:before="194" w:line="219" w:lineRule="auto"/>
              <w:ind w:left="116"/>
            </w:pPr>
            <w:r>
              <w:rPr>
                <w:spacing w:val="-3"/>
              </w:rPr>
              <w:t>海绵床垫</w:t>
            </w:r>
          </w:p>
        </w:tc>
        <w:tc>
          <w:tcPr>
            <w:tcW w:w="721" w:type="dxa"/>
            <w:vAlign w:val="top"/>
          </w:tcPr>
          <w:p w14:paraId="214063DE">
            <w:pPr>
              <w:pStyle w:val="434"/>
              <w:spacing w:before="194" w:line="219" w:lineRule="auto"/>
              <w:ind w:left="116"/>
            </w:pPr>
            <w:r>
              <w:t>床</w:t>
            </w:r>
          </w:p>
        </w:tc>
        <w:tc>
          <w:tcPr>
            <w:tcW w:w="2755" w:type="dxa"/>
            <w:vAlign w:val="top"/>
          </w:tcPr>
          <w:p w14:paraId="47B0FAD4">
            <w:pPr>
              <w:pStyle w:val="434"/>
              <w:spacing w:before="39" w:line="219" w:lineRule="auto"/>
              <w:ind w:left="118"/>
            </w:pPr>
            <w:r>
              <w:rPr>
                <w:spacing w:val="-2"/>
              </w:rPr>
              <w:t>面料：防水布</w:t>
            </w:r>
          </w:p>
          <w:p w14:paraId="64519F59">
            <w:pPr>
              <w:pStyle w:val="434"/>
              <w:spacing w:before="13" w:line="219" w:lineRule="auto"/>
              <w:ind w:left="119"/>
            </w:pPr>
            <w:r>
              <w:rPr>
                <w:spacing w:val="-2"/>
              </w:rPr>
              <w:t>填充物：高密度海绵</w:t>
            </w:r>
          </w:p>
        </w:tc>
        <w:tc>
          <w:tcPr>
            <w:tcW w:w="1845" w:type="dxa"/>
            <w:vAlign w:val="top"/>
          </w:tcPr>
          <w:p w14:paraId="66A85103">
            <w:pPr>
              <w:pStyle w:val="434"/>
              <w:spacing w:before="193"/>
              <w:ind w:left="120"/>
            </w:pPr>
            <w:r>
              <w:rPr>
                <w:spacing w:val="-2"/>
              </w:rPr>
              <w:t>90*200</w:t>
            </w:r>
          </w:p>
        </w:tc>
        <w:tc>
          <w:tcPr>
            <w:tcW w:w="1423" w:type="dxa"/>
            <w:vAlign w:val="top"/>
          </w:tcPr>
          <w:p w14:paraId="7F65A1A8">
            <w:pPr>
              <w:pStyle w:val="434"/>
              <w:spacing w:before="193" w:line="241" w:lineRule="auto"/>
              <w:ind w:left="466"/>
            </w:pPr>
            <w:r>
              <w:t>2</w:t>
            </w:r>
          </w:p>
        </w:tc>
      </w:tr>
      <w:tr w14:paraId="345F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664" w:type="dxa"/>
            <w:vAlign w:val="top"/>
          </w:tcPr>
          <w:p w14:paraId="1FC6E5DE">
            <w:pPr>
              <w:pStyle w:val="434"/>
              <w:spacing w:before="192"/>
              <w:ind w:left="139"/>
            </w:pPr>
            <w:r>
              <w:rPr>
                <w:spacing w:val="-14"/>
              </w:rPr>
              <w:t>10</w:t>
            </w:r>
          </w:p>
        </w:tc>
        <w:tc>
          <w:tcPr>
            <w:tcW w:w="1739" w:type="dxa"/>
            <w:vAlign w:val="top"/>
          </w:tcPr>
          <w:p w14:paraId="6920FF18">
            <w:pPr>
              <w:pStyle w:val="434"/>
              <w:spacing w:before="193" w:line="219" w:lineRule="auto"/>
              <w:ind w:left="134"/>
            </w:pPr>
            <w:r>
              <w:rPr>
                <w:spacing w:val="-4"/>
              </w:rPr>
              <w:t>1 米全棉被子</w:t>
            </w:r>
          </w:p>
        </w:tc>
        <w:tc>
          <w:tcPr>
            <w:tcW w:w="721" w:type="dxa"/>
            <w:vAlign w:val="top"/>
          </w:tcPr>
          <w:p w14:paraId="3D7EEC59">
            <w:pPr>
              <w:pStyle w:val="434"/>
              <w:spacing w:before="193" w:line="219" w:lineRule="auto"/>
              <w:ind w:left="116"/>
            </w:pPr>
            <w:r>
              <w:t>床</w:t>
            </w:r>
          </w:p>
        </w:tc>
        <w:tc>
          <w:tcPr>
            <w:tcW w:w="2755" w:type="dxa"/>
            <w:vAlign w:val="top"/>
          </w:tcPr>
          <w:p w14:paraId="6CFBF169">
            <w:pPr>
              <w:pStyle w:val="434"/>
              <w:spacing w:before="37" w:line="219" w:lineRule="auto"/>
              <w:ind w:left="118"/>
            </w:pPr>
            <w:r>
              <w:rPr>
                <w:spacing w:val="-2"/>
              </w:rPr>
              <w:t>面料：高支全棉</w:t>
            </w:r>
          </w:p>
          <w:p w14:paraId="009DEF1E">
            <w:pPr>
              <w:pStyle w:val="434"/>
              <w:spacing w:before="22" w:line="219" w:lineRule="auto"/>
              <w:ind w:left="119"/>
            </w:pPr>
            <w:r>
              <w:rPr>
                <w:spacing w:val="-2"/>
              </w:rPr>
              <w:t>填充物：整张羽丝绵</w:t>
            </w:r>
          </w:p>
        </w:tc>
        <w:tc>
          <w:tcPr>
            <w:tcW w:w="1845" w:type="dxa"/>
            <w:vAlign w:val="top"/>
          </w:tcPr>
          <w:p w14:paraId="20B00E6C">
            <w:pPr>
              <w:pStyle w:val="434"/>
              <w:spacing w:before="192"/>
              <w:ind w:left="137"/>
            </w:pPr>
            <w:r>
              <w:rPr>
                <w:spacing w:val="-4"/>
              </w:rPr>
              <w:t>100*100</w:t>
            </w:r>
          </w:p>
        </w:tc>
        <w:tc>
          <w:tcPr>
            <w:tcW w:w="1423" w:type="dxa"/>
            <w:vAlign w:val="top"/>
          </w:tcPr>
          <w:p w14:paraId="3DF61C15">
            <w:pPr>
              <w:pStyle w:val="434"/>
              <w:spacing w:before="193" w:line="239" w:lineRule="auto"/>
              <w:ind w:left="361"/>
            </w:pPr>
            <w:r>
              <w:rPr>
                <w:spacing w:val="-10"/>
              </w:rPr>
              <w:t>1.3</w:t>
            </w:r>
          </w:p>
        </w:tc>
      </w:tr>
      <w:tr w14:paraId="41896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664" w:type="dxa"/>
            <w:vAlign w:val="top"/>
          </w:tcPr>
          <w:p w14:paraId="281F8F03">
            <w:pPr>
              <w:pStyle w:val="434"/>
              <w:spacing w:before="194" w:line="241" w:lineRule="auto"/>
              <w:ind w:left="139"/>
            </w:pPr>
            <w:r>
              <w:rPr>
                <w:spacing w:val="-14"/>
              </w:rPr>
              <w:t>11</w:t>
            </w:r>
          </w:p>
        </w:tc>
        <w:tc>
          <w:tcPr>
            <w:tcW w:w="1739" w:type="dxa"/>
            <w:vAlign w:val="top"/>
          </w:tcPr>
          <w:p w14:paraId="5DE4C251">
            <w:pPr>
              <w:pStyle w:val="434"/>
              <w:spacing w:before="194" w:line="219" w:lineRule="auto"/>
              <w:ind w:left="117"/>
            </w:pPr>
            <w:r>
              <w:rPr>
                <w:spacing w:val="-3"/>
              </w:rPr>
              <w:t>全棉盖被</w:t>
            </w:r>
          </w:p>
        </w:tc>
        <w:tc>
          <w:tcPr>
            <w:tcW w:w="721" w:type="dxa"/>
            <w:vAlign w:val="top"/>
          </w:tcPr>
          <w:p w14:paraId="26DA5AE8">
            <w:pPr>
              <w:pStyle w:val="434"/>
              <w:spacing w:before="194" w:line="219" w:lineRule="auto"/>
              <w:ind w:left="116"/>
            </w:pPr>
            <w:r>
              <w:t>床</w:t>
            </w:r>
          </w:p>
        </w:tc>
        <w:tc>
          <w:tcPr>
            <w:tcW w:w="2755" w:type="dxa"/>
            <w:vAlign w:val="top"/>
          </w:tcPr>
          <w:p w14:paraId="6B01D63E">
            <w:pPr>
              <w:pStyle w:val="434"/>
              <w:spacing w:before="37" w:line="219" w:lineRule="auto"/>
              <w:ind w:left="118"/>
            </w:pPr>
            <w:r>
              <w:rPr>
                <w:spacing w:val="-2"/>
              </w:rPr>
              <w:t>面料：全棉斜纹布</w:t>
            </w:r>
          </w:p>
          <w:p w14:paraId="1A0FA260">
            <w:pPr>
              <w:pStyle w:val="434"/>
              <w:spacing w:before="21" w:line="219" w:lineRule="auto"/>
              <w:ind w:left="119"/>
            </w:pPr>
            <w:r>
              <w:rPr>
                <w:spacing w:val="-2"/>
              </w:rPr>
              <w:t>填充物：整张羽丝绵</w:t>
            </w:r>
          </w:p>
        </w:tc>
        <w:tc>
          <w:tcPr>
            <w:tcW w:w="1845" w:type="dxa"/>
            <w:vAlign w:val="top"/>
          </w:tcPr>
          <w:p w14:paraId="722D2107">
            <w:pPr>
              <w:pStyle w:val="434"/>
              <w:spacing w:before="193"/>
              <w:ind w:left="137"/>
            </w:pPr>
            <w:r>
              <w:rPr>
                <w:spacing w:val="-4"/>
              </w:rPr>
              <w:t>150*180</w:t>
            </w:r>
          </w:p>
        </w:tc>
        <w:tc>
          <w:tcPr>
            <w:tcW w:w="1423" w:type="dxa"/>
            <w:vAlign w:val="top"/>
          </w:tcPr>
          <w:p w14:paraId="33193410">
            <w:pPr>
              <w:pStyle w:val="434"/>
              <w:spacing w:before="193" w:line="239" w:lineRule="auto"/>
              <w:ind w:left="361"/>
            </w:pPr>
            <w:r>
              <w:rPr>
                <w:spacing w:val="-10"/>
              </w:rPr>
              <w:t>1.8</w:t>
            </w:r>
          </w:p>
        </w:tc>
      </w:tr>
      <w:tr w14:paraId="18EDF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664" w:type="dxa"/>
            <w:vAlign w:val="top"/>
          </w:tcPr>
          <w:p w14:paraId="2AAD042F">
            <w:pPr>
              <w:spacing w:line="274" w:lineRule="auto"/>
              <w:rPr>
                <w:rFonts w:ascii="Arial"/>
                <w:sz w:val="21"/>
              </w:rPr>
            </w:pPr>
          </w:p>
          <w:p w14:paraId="1895A92B">
            <w:pPr>
              <w:pStyle w:val="434"/>
              <w:spacing w:before="78" w:line="241" w:lineRule="auto"/>
              <w:ind w:left="139"/>
            </w:pPr>
            <w:r>
              <w:rPr>
                <w:spacing w:val="-14"/>
              </w:rPr>
              <w:t>12</w:t>
            </w:r>
          </w:p>
        </w:tc>
        <w:tc>
          <w:tcPr>
            <w:tcW w:w="1739" w:type="dxa"/>
            <w:vAlign w:val="top"/>
          </w:tcPr>
          <w:p w14:paraId="7CE5B4BB">
            <w:pPr>
              <w:spacing w:line="274" w:lineRule="auto"/>
              <w:rPr>
                <w:rFonts w:ascii="Arial"/>
                <w:sz w:val="21"/>
              </w:rPr>
            </w:pPr>
          </w:p>
          <w:p w14:paraId="0BE40DFA">
            <w:pPr>
              <w:pStyle w:val="434"/>
              <w:spacing w:before="78" w:line="219" w:lineRule="auto"/>
              <w:ind w:left="117"/>
            </w:pPr>
            <w:r>
              <w:rPr>
                <w:spacing w:val="-2"/>
              </w:rPr>
              <w:t>全棉加厚垫被</w:t>
            </w:r>
          </w:p>
        </w:tc>
        <w:tc>
          <w:tcPr>
            <w:tcW w:w="721" w:type="dxa"/>
            <w:vAlign w:val="top"/>
          </w:tcPr>
          <w:p w14:paraId="14A10A1B">
            <w:pPr>
              <w:spacing w:line="274" w:lineRule="auto"/>
              <w:rPr>
                <w:rFonts w:ascii="Arial"/>
                <w:sz w:val="21"/>
              </w:rPr>
            </w:pPr>
          </w:p>
          <w:p w14:paraId="09E31B50">
            <w:pPr>
              <w:pStyle w:val="434"/>
              <w:spacing w:before="78" w:line="219" w:lineRule="auto"/>
              <w:ind w:left="116"/>
            </w:pPr>
            <w:r>
              <w:t>床</w:t>
            </w:r>
          </w:p>
        </w:tc>
        <w:tc>
          <w:tcPr>
            <w:tcW w:w="2755" w:type="dxa"/>
            <w:vAlign w:val="top"/>
          </w:tcPr>
          <w:p w14:paraId="66B42BF4">
            <w:pPr>
              <w:pStyle w:val="434"/>
              <w:spacing w:before="42" w:line="238" w:lineRule="auto"/>
              <w:ind w:left="117" w:right="225"/>
            </w:pPr>
            <w:r>
              <w:rPr>
                <w:spacing w:val="-11"/>
              </w:rPr>
              <w:t>面料：全棉斜纹布 填充</w:t>
            </w:r>
            <w:r>
              <w:rPr>
                <w:spacing w:val="-5"/>
              </w:rPr>
              <w:t>物：整张羽丝绵</w:t>
            </w:r>
          </w:p>
          <w:p w14:paraId="1F80AFCE">
            <w:pPr>
              <w:pStyle w:val="434"/>
              <w:spacing w:line="196" w:lineRule="auto"/>
              <w:ind w:left="128"/>
            </w:pPr>
            <w:r>
              <w:rPr>
                <w:spacing w:val="-6"/>
              </w:rPr>
              <w:t>（加厚）</w:t>
            </w:r>
          </w:p>
        </w:tc>
        <w:tc>
          <w:tcPr>
            <w:tcW w:w="1845" w:type="dxa"/>
            <w:vAlign w:val="top"/>
          </w:tcPr>
          <w:p w14:paraId="2F141E64">
            <w:pPr>
              <w:spacing w:line="273" w:lineRule="auto"/>
              <w:rPr>
                <w:rFonts w:ascii="Arial"/>
                <w:sz w:val="21"/>
              </w:rPr>
            </w:pPr>
          </w:p>
          <w:p w14:paraId="452E1811">
            <w:pPr>
              <w:pStyle w:val="434"/>
              <w:spacing w:before="78"/>
              <w:ind w:left="121"/>
            </w:pPr>
            <w:r>
              <w:rPr>
                <w:spacing w:val="-2"/>
              </w:rPr>
              <w:t>60*180</w:t>
            </w:r>
          </w:p>
        </w:tc>
        <w:tc>
          <w:tcPr>
            <w:tcW w:w="1423" w:type="dxa"/>
            <w:vAlign w:val="top"/>
          </w:tcPr>
          <w:p w14:paraId="62DCE616">
            <w:pPr>
              <w:spacing w:line="274" w:lineRule="auto"/>
              <w:rPr>
                <w:rFonts w:ascii="Arial"/>
                <w:sz w:val="21"/>
              </w:rPr>
            </w:pPr>
          </w:p>
          <w:p w14:paraId="3D362A0F">
            <w:pPr>
              <w:pStyle w:val="434"/>
              <w:spacing w:before="78" w:line="241" w:lineRule="auto"/>
              <w:ind w:left="466"/>
            </w:pPr>
            <w:r>
              <w:t>2</w:t>
            </w:r>
          </w:p>
        </w:tc>
      </w:tr>
      <w:tr w14:paraId="66139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664" w:type="dxa"/>
            <w:vAlign w:val="top"/>
          </w:tcPr>
          <w:p w14:paraId="7AAA787B">
            <w:pPr>
              <w:spacing w:line="273" w:lineRule="auto"/>
              <w:rPr>
                <w:rFonts w:ascii="Arial"/>
                <w:sz w:val="21"/>
              </w:rPr>
            </w:pPr>
          </w:p>
          <w:p w14:paraId="0C69BC99">
            <w:pPr>
              <w:pStyle w:val="434"/>
              <w:spacing w:before="78"/>
              <w:ind w:left="139"/>
            </w:pPr>
            <w:r>
              <w:rPr>
                <w:spacing w:val="-14"/>
              </w:rPr>
              <w:t>13</w:t>
            </w:r>
          </w:p>
        </w:tc>
        <w:tc>
          <w:tcPr>
            <w:tcW w:w="1739" w:type="dxa"/>
            <w:vAlign w:val="top"/>
          </w:tcPr>
          <w:p w14:paraId="03BA4B8D">
            <w:pPr>
              <w:pStyle w:val="434"/>
              <w:spacing w:before="198" w:line="244" w:lineRule="auto"/>
              <w:ind w:left="118" w:right="183"/>
            </w:pPr>
            <w:r>
              <w:rPr>
                <w:spacing w:val="-2"/>
              </w:rPr>
              <w:t>绣花全棉四件</w:t>
            </w:r>
            <w:r>
              <w:t>套</w:t>
            </w:r>
          </w:p>
        </w:tc>
        <w:tc>
          <w:tcPr>
            <w:tcW w:w="721" w:type="dxa"/>
            <w:vAlign w:val="top"/>
          </w:tcPr>
          <w:p w14:paraId="432864B5">
            <w:pPr>
              <w:spacing w:line="274" w:lineRule="auto"/>
              <w:rPr>
                <w:rFonts w:ascii="Arial"/>
                <w:sz w:val="21"/>
              </w:rPr>
            </w:pPr>
          </w:p>
          <w:p w14:paraId="263B45F7">
            <w:pPr>
              <w:pStyle w:val="434"/>
              <w:spacing w:before="78" w:line="219" w:lineRule="auto"/>
              <w:ind w:left="116"/>
            </w:pPr>
            <w:r>
              <w:t>床</w:t>
            </w:r>
          </w:p>
        </w:tc>
        <w:tc>
          <w:tcPr>
            <w:tcW w:w="2755" w:type="dxa"/>
            <w:vAlign w:val="top"/>
          </w:tcPr>
          <w:p w14:paraId="78E0E13E">
            <w:pPr>
              <w:pStyle w:val="434"/>
              <w:spacing w:before="196" w:line="245" w:lineRule="auto"/>
              <w:ind w:left="118" w:right="230"/>
            </w:pPr>
            <w:r>
              <w:rPr>
                <w:spacing w:val="-6"/>
              </w:rPr>
              <w:t>面料：高支全棉绣花</w:t>
            </w:r>
            <w:r>
              <w:rPr>
                <w:spacing w:val="-54"/>
              </w:rPr>
              <w:t xml:space="preserve"> </w:t>
            </w:r>
            <w:r>
              <w:rPr>
                <w:spacing w:val="-6"/>
              </w:rPr>
              <w:t>AB</w:t>
            </w:r>
            <w:r>
              <w:t>面</w:t>
            </w:r>
          </w:p>
        </w:tc>
        <w:tc>
          <w:tcPr>
            <w:tcW w:w="1845" w:type="dxa"/>
            <w:vAlign w:val="top"/>
          </w:tcPr>
          <w:p w14:paraId="431D791C">
            <w:pPr>
              <w:pStyle w:val="434"/>
              <w:spacing w:before="41" w:line="220" w:lineRule="auto"/>
              <w:ind w:left="120"/>
            </w:pPr>
            <w:r>
              <w:rPr>
                <w:spacing w:val="-6"/>
              </w:rPr>
              <w:t>枕套</w:t>
            </w:r>
            <w:r>
              <w:rPr>
                <w:spacing w:val="36"/>
              </w:rPr>
              <w:t xml:space="preserve"> </w:t>
            </w:r>
            <w:r>
              <w:rPr>
                <w:spacing w:val="-6"/>
              </w:rPr>
              <w:t>：48*74</w:t>
            </w:r>
          </w:p>
          <w:p w14:paraId="7A2E4970">
            <w:pPr>
              <w:pStyle w:val="434"/>
              <w:spacing w:before="28" w:line="219" w:lineRule="auto"/>
              <w:ind w:left="117"/>
            </w:pPr>
            <w:r>
              <w:rPr>
                <w:spacing w:val="-1"/>
              </w:rPr>
              <w:t>床单：250*250</w:t>
            </w:r>
          </w:p>
          <w:p w14:paraId="4F407A5B">
            <w:pPr>
              <w:pStyle w:val="434"/>
              <w:spacing w:before="19" w:line="196" w:lineRule="auto"/>
              <w:ind w:left="119"/>
            </w:pPr>
            <w:r>
              <w:rPr>
                <w:spacing w:val="-1"/>
              </w:rPr>
              <w:t>被套：200*230</w:t>
            </w:r>
          </w:p>
        </w:tc>
        <w:tc>
          <w:tcPr>
            <w:tcW w:w="1423" w:type="dxa"/>
            <w:vAlign w:val="top"/>
          </w:tcPr>
          <w:p w14:paraId="2C30F92A">
            <w:pPr>
              <w:spacing w:line="273" w:lineRule="auto"/>
              <w:rPr>
                <w:rFonts w:ascii="Arial"/>
                <w:sz w:val="21"/>
              </w:rPr>
            </w:pPr>
          </w:p>
          <w:p w14:paraId="2146684F">
            <w:pPr>
              <w:pStyle w:val="434"/>
              <w:spacing w:before="78" w:line="241" w:lineRule="auto"/>
              <w:ind w:left="466"/>
            </w:pPr>
            <w:r>
              <w:t>2</w:t>
            </w:r>
          </w:p>
        </w:tc>
      </w:tr>
      <w:tr w14:paraId="08EA9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64" w:type="dxa"/>
            <w:vAlign w:val="top"/>
          </w:tcPr>
          <w:p w14:paraId="5CAA5AC6">
            <w:pPr>
              <w:spacing w:line="277" w:lineRule="auto"/>
              <w:rPr>
                <w:rFonts w:ascii="Arial"/>
                <w:sz w:val="21"/>
              </w:rPr>
            </w:pPr>
          </w:p>
          <w:p w14:paraId="0435EE5E">
            <w:pPr>
              <w:pStyle w:val="434"/>
              <w:spacing w:before="78" w:line="241" w:lineRule="auto"/>
              <w:ind w:left="139"/>
            </w:pPr>
            <w:r>
              <w:rPr>
                <w:spacing w:val="-14"/>
              </w:rPr>
              <w:t>14</w:t>
            </w:r>
          </w:p>
        </w:tc>
        <w:tc>
          <w:tcPr>
            <w:tcW w:w="1739" w:type="dxa"/>
            <w:vAlign w:val="top"/>
          </w:tcPr>
          <w:p w14:paraId="10AB2CAE">
            <w:pPr>
              <w:spacing w:line="277" w:lineRule="auto"/>
              <w:rPr>
                <w:rFonts w:ascii="Arial"/>
                <w:sz w:val="21"/>
              </w:rPr>
            </w:pPr>
          </w:p>
          <w:p w14:paraId="6A501675">
            <w:pPr>
              <w:pStyle w:val="434"/>
              <w:spacing w:before="78" w:line="219" w:lineRule="auto"/>
              <w:ind w:left="117"/>
            </w:pPr>
            <w:r>
              <w:rPr>
                <w:spacing w:val="-2"/>
              </w:rPr>
              <w:t>全棉四件套</w:t>
            </w:r>
          </w:p>
        </w:tc>
        <w:tc>
          <w:tcPr>
            <w:tcW w:w="721" w:type="dxa"/>
            <w:vAlign w:val="top"/>
          </w:tcPr>
          <w:p w14:paraId="26EFD158">
            <w:pPr>
              <w:spacing w:line="277" w:lineRule="auto"/>
              <w:rPr>
                <w:rFonts w:ascii="Arial"/>
                <w:sz w:val="21"/>
              </w:rPr>
            </w:pPr>
          </w:p>
          <w:p w14:paraId="148DA1EE">
            <w:pPr>
              <w:pStyle w:val="434"/>
              <w:spacing w:before="78" w:line="219" w:lineRule="auto"/>
              <w:ind w:left="116"/>
            </w:pPr>
            <w:r>
              <w:t>床</w:t>
            </w:r>
          </w:p>
        </w:tc>
        <w:tc>
          <w:tcPr>
            <w:tcW w:w="2755" w:type="dxa"/>
            <w:vAlign w:val="top"/>
          </w:tcPr>
          <w:p w14:paraId="62AE0B0E">
            <w:pPr>
              <w:pStyle w:val="434"/>
              <w:spacing w:before="198" w:line="243" w:lineRule="auto"/>
              <w:ind w:left="118" w:right="230"/>
            </w:pPr>
            <w:r>
              <w:rPr>
                <w:spacing w:val="-6"/>
              </w:rPr>
              <w:t>面料：高支全棉印花</w:t>
            </w:r>
            <w:r>
              <w:rPr>
                <w:spacing w:val="-54"/>
              </w:rPr>
              <w:t xml:space="preserve"> </w:t>
            </w:r>
            <w:r>
              <w:rPr>
                <w:spacing w:val="-6"/>
              </w:rPr>
              <w:t>AB</w:t>
            </w:r>
            <w:r>
              <w:t>面</w:t>
            </w:r>
          </w:p>
        </w:tc>
        <w:tc>
          <w:tcPr>
            <w:tcW w:w="1845" w:type="dxa"/>
            <w:vAlign w:val="top"/>
          </w:tcPr>
          <w:p w14:paraId="3D269746">
            <w:pPr>
              <w:pStyle w:val="434"/>
              <w:spacing w:before="40" w:line="220" w:lineRule="auto"/>
              <w:ind w:left="120"/>
            </w:pPr>
            <w:r>
              <w:rPr>
                <w:spacing w:val="-2"/>
              </w:rPr>
              <w:t>枕套：48*74</w:t>
            </w:r>
          </w:p>
          <w:p w14:paraId="41D5FF58">
            <w:pPr>
              <w:pStyle w:val="434"/>
              <w:spacing w:before="28" w:line="219" w:lineRule="auto"/>
              <w:ind w:left="117"/>
            </w:pPr>
            <w:r>
              <w:rPr>
                <w:spacing w:val="-1"/>
              </w:rPr>
              <w:t>床单：250*250</w:t>
            </w:r>
          </w:p>
          <w:p w14:paraId="3D5191A3">
            <w:pPr>
              <w:pStyle w:val="434"/>
              <w:spacing w:before="29" w:line="204" w:lineRule="auto"/>
              <w:ind w:left="119"/>
            </w:pPr>
            <w:r>
              <w:rPr>
                <w:spacing w:val="-1"/>
              </w:rPr>
              <w:t>被套：200*230</w:t>
            </w:r>
          </w:p>
        </w:tc>
        <w:tc>
          <w:tcPr>
            <w:tcW w:w="1423" w:type="dxa"/>
            <w:vAlign w:val="top"/>
          </w:tcPr>
          <w:p w14:paraId="63EEA400">
            <w:pPr>
              <w:spacing w:line="277" w:lineRule="auto"/>
              <w:rPr>
                <w:rFonts w:ascii="Arial"/>
                <w:sz w:val="21"/>
              </w:rPr>
            </w:pPr>
          </w:p>
          <w:p w14:paraId="3DCD8E34">
            <w:pPr>
              <w:pStyle w:val="434"/>
              <w:spacing w:before="78" w:line="241" w:lineRule="auto"/>
              <w:ind w:left="466"/>
            </w:pPr>
            <w:r>
              <w:t>2</w:t>
            </w:r>
          </w:p>
        </w:tc>
      </w:tr>
      <w:tr w14:paraId="178C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4" w:type="dxa"/>
            <w:vAlign w:val="top"/>
          </w:tcPr>
          <w:p w14:paraId="2B4FFA6B">
            <w:pPr>
              <w:pStyle w:val="434"/>
              <w:spacing w:before="31" w:line="211" w:lineRule="auto"/>
              <w:ind w:left="139"/>
            </w:pPr>
            <w:r>
              <w:rPr>
                <w:spacing w:val="-14"/>
              </w:rPr>
              <w:t>15</w:t>
            </w:r>
          </w:p>
        </w:tc>
        <w:tc>
          <w:tcPr>
            <w:tcW w:w="1739" w:type="dxa"/>
            <w:vAlign w:val="top"/>
          </w:tcPr>
          <w:p w14:paraId="63566D29">
            <w:pPr>
              <w:pStyle w:val="434"/>
              <w:spacing w:before="31" w:line="211" w:lineRule="auto"/>
              <w:ind w:left="134"/>
            </w:pPr>
            <w:r>
              <w:rPr>
                <w:spacing w:val="-4"/>
              </w:rPr>
              <w:t>1 米全棉被套</w:t>
            </w:r>
          </w:p>
        </w:tc>
        <w:tc>
          <w:tcPr>
            <w:tcW w:w="721" w:type="dxa"/>
            <w:vAlign w:val="top"/>
          </w:tcPr>
          <w:p w14:paraId="205F2B58">
            <w:pPr>
              <w:pStyle w:val="434"/>
              <w:spacing w:before="31" w:line="211" w:lineRule="auto"/>
              <w:ind w:left="116"/>
            </w:pPr>
            <w:r>
              <w:t>床</w:t>
            </w:r>
          </w:p>
        </w:tc>
        <w:tc>
          <w:tcPr>
            <w:tcW w:w="2755" w:type="dxa"/>
            <w:vAlign w:val="top"/>
          </w:tcPr>
          <w:p w14:paraId="0472EE7F">
            <w:pPr>
              <w:pStyle w:val="434"/>
              <w:spacing w:before="31" w:line="211" w:lineRule="auto"/>
              <w:ind w:left="118"/>
            </w:pPr>
            <w:r>
              <w:rPr>
                <w:spacing w:val="-2"/>
              </w:rPr>
              <w:t>面料：高支全棉</w:t>
            </w:r>
          </w:p>
        </w:tc>
        <w:tc>
          <w:tcPr>
            <w:tcW w:w="1845" w:type="dxa"/>
            <w:vAlign w:val="top"/>
          </w:tcPr>
          <w:p w14:paraId="5162CB7E">
            <w:pPr>
              <w:pStyle w:val="434"/>
              <w:spacing w:before="31" w:line="211" w:lineRule="auto"/>
              <w:ind w:left="137"/>
            </w:pPr>
            <w:r>
              <w:rPr>
                <w:spacing w:val="-4"/>
              </w:rPr>
              <w:t>105*110</w:t>
            </w:r>
          </w:p>
        </w:tc>
        <w:tc>
          <w:tcPr>
            <w:tcW w:w="1423" w:type="dxa"/>
            <w:vAlign w:val="top"/>
          </w:tcPr>
          <w:p w14:paraId="455C5831">
            <w:pPr>
              <w:pStyle w:val="434"/>
              <w:spacing w:before="31" w:line="211" w:lineRule="auto"/>
              <w:ind w:left="345"/>
            </w:pPr>
            <w:r>
              <w:rPr>
                <w:spacing w:val="-4"/>
              </w:rPr>
              <w:t>0.3</w:t>
            </w:r>
          </w:p>
        </w:tc>
      </w:tr>
      <w:tr w14:paraId="5E77A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64" w:type="dxa"/>
            <w:vAlign w:val="top"/>
          </w:tcPr>
          <w:p w14:paraId="167317B0">
            <w:pPr>
              <w:pStyle w:val="434"/>
              <w:spacing w:before="197"/>
              <w:ind w:left="139"/>
            </w:pPr>
            <w:r>
              <w:rPr>
                <w:spacing w:val="-14"/>
              </w:rPr>
              <w:t>16</w:t>
            </w:r>
          </w:p>
        </w:tc>
        <w:tc>
          <w:tcPr>
            <w:tcW w:w="1739" w:type="dxa"/>
            <w:vAlign w:val="top"/>
          </w:tcPr>
          <w:p w14:paraId="76E5AFF1">
            <w:pPr>
              <w:pStyle w:val="434"/>
              <w:spacing w:before="198" w:line="220" w:lineRule="auto"/>
              <w:ind w:left="118"/>
            </w:pPr>
            <w:r>
              <w:rPr>
                <w:spacing w:val="-6"/>
              </w:rPr>
              <w:t>枕芯</w:t>
            </w:r>
          </w:p>
        </w:tc>
        <w:tc>
          <w:tcPr>
            <w:tcW w:w="721" w:type="dxa"/>
            <w:vAlign w:val="top"/>
          </w:tcPr>
          <w:p w14:paraId="3486970D">
            <w:pPr>
              <w:pStyle w:val="434"/>
              <w:spacing w:before="198" w:line="219" w:lineRule="auto"/>
              <w:ind w:left="116"/>
            </w:pPr>
            <w:r>
              <w:t>床</w:t>
            </w:r>
          </w:p>
        </w:tc>
        <w:tc>
          <w:tcPr>
            <w:tcW w:w="2755" w:type="dxa"/>
            <w:vAlign w:val="top"/>
          </w:tcPr>
          <w:p w14:paraId="28A607E9">
            <w:pPr>
              <w:pStyle w:val="434"/>
              <w:spacing w:before="45" w:line="219" w:lineRule="auto"/>
              <w:ind w:left="118"/>
            </w:pPr>
            <w:r>
              <w:rPr>
                <w:spacing w:val="-3"/>
              </w:rPr>
              <w:t>面料：涤棉</w:t>
            </w:r>
          </w:p>
          <w:p w14:paraId="1AB7EFAD">
            <w:pPr>
              <w:pStyle w:val="434"/>
              <w:spacing w:before="14" w:line="198" w:lineRule="auto"/>
              <w:ind w:left="119"/>
            </w:pPr>
            <w:r>
              <w:rPr>
                <w:spacing w:val="-2"/>
              </w:rPr>
              <w:t>填充物：羽丝绵</w:t>
            </w:r>
          </w:p>
        </w:tc>
        <w:tc>
          <w:tcPr>
            <w:tcW w:w="1845" w:type="dxa"/>
            <w:vAlign w:val="top"/>
          </w:tcPr>
          <w:p w14:paraId="273AEE9A">
            <w:pPr>
              <w:pStyle w:val="434"/>
              <w:spacing w:before="197"/>
              <w:ind w:left="118"/>
            </w:pPr>
            <w:r>
              <w:rPr>
                <w:spacing w:val="-2"/>
              </w:rPr>
              <w:t>48*74</w:t>
            </w:r>
          </w:p>
        </w:tc>
        <w:tc>
          <w:tcPr>
            <w:tcW w:w="1423" w:type="dxa"/>
            <w:vAlign w:val="top"/>
          </w:tcPr>
          <w:p w14:paraId="4766EAA4">
            <w:pPr>
              <w:pStyle w:val="434"/>
              <w:spacing w:before="197" w:line="239" w:lineRule="auto"/>
              <w:ind w:left="345"/>
            </w:pPr>
            <w:r>
              <w:rPr>
                <w:spacing w:val="-4"/>
              </w:rPr>
              <w:t>0.8</w:t>
            </w:r>
          </w:p>
        </w:tc>
      </w:tr>
    </w:tbl>
    <w:p w14:paraId="0468E5B5">
      <w:pPr>
        <w:spacing w:line="267" w:lineRule="auto"/>
        <w:rPr>
          <w:rFonts w:ascii="Arial"/>
          <w:sz w:val="21"/>
        </w:rPr>
      </w:pPr>
    </w:p>
    <w:p w14:paraId="0ACD8B1B">
      <w:pPr>
        <w:spacing w:line="267" w:lineRule="auto"/>
        <w:rPr>
          <w:rFonts w:ascii="Arial"/>
          <w:sz w:val="21"/>
        </w:rPr>
      </w:pPr>
    </w:p>
    <w:p w14:paraId="42F6FD2E">
      <w:pPr>
        <w:pStyle w:val="31"/>
        <w:spacing w:before="78" w:line="219" w:lineRule="auto"/>
        <w:ind w:left="42"/>
      </w:pPr>
      <w:r>
        <w:rPr>
          <w:spacing w:val="-2"/>
        </w:rPr>
        <w:t>附件二：被服洗涤租赁消毒隔离和质量监管要求</w:t>
      </w:r>
    </w:p>
    <w:p w14:paraId="3DC1A9A5">
      <w:pPr>
        <w:pStyle w:val="31"/>
        <w:spacing w:before="184" w:line="219" w:lineRule="auto"/>
        <w:ind w:left="507"/>
      </w:pPr>
      <w:r>
        <w:rPr>
          <w:spacing w:val="-1"/>
        </w:rPr>
        <w:t>一、加强工作人员的意识、预防感染、消毒相关知识的培训。</w:t>
      </w:r>
    </w:p>
    <w:p w14:paraId="02D984FA">
      <w:pPr>
        <w:pStyle w:val="31"/>
        <w:spacing w:before="183" w:line="313" w:lineRule="auto"/>
        <w:ind w:left="25" w:right="80" w:firstLine="481"/>
      </w:pPr>
      <w:r>
        <w:rPr>
          <w:spacing w:val="-3"/>
        </w:rPr>
        <w:t>二、洗衣房应严格划分污染区和清洗区。污染区包括收</w:t>
      </w:r>
      <w:r>
        <w:rPr>
          <w:spacing w:val="-4"/>
        </w:rPr>
        <w:t>集、分检、清点、处</w:t>
      </w:r>
      <w:r>
        <w:rPr>
          <w:spacing w:val="-3"/>
        </w:rPr>
        <w:t>理、洗涤、消毒污衣等场所。清洁区包括烘干、缝补、熨烫、折叠、储存发放区</w:t>
      </w:r>
      <w:r>
        <w:rPr>
          <w:spacing w:val="-1"/>
        </w:rPr>
        <w:t>等。禁止污染区物品进入清洁区及人员逆流往返。</w:t>
      </w:r>
    </w:p>
    <w:p w14:paraId="1A9648EF">
      <w:pPr>
        <w:pStyle w:val="31"/>
        <w:spacing w:before="183" w:line="313" w:lineRule="auto"/>
        <w:ind w:left="22" w:right="47" w:firstLine="480"/>
      </w:pPr>
      <w:r>
        <w:rPr>
          <w:spacing w:val="-2"/>
        </w:rPr>
        <w:t>三、被服收送时按规定实行分类收送：病人与工作人员被服分</w:t>
      </w:r>
      <w:r>
        <w:rPr>
          <w:spacing w:val="-3"/>
        </w:rPr>
        <w:t>类包装收送；清洁物与污染物分类包装收送；对传染性及感染性洗涤物品必须单独包装（放于</w:t>
      </w:r>
      <w:r>
        <w:rPr>
          <w:spacing w:val="-1"/>
        </w:rPr>
        <w:t>黄色医疗垃圾袋内，开口扎紧）收送。</w:t>
      </w:r>
    </w:p>
    <w:p w14:paraId="79E979A9">
      <w:pPr>
        <w:pStyle w:val="31"/>
        <w:spacing w:before="181" w:line="290" w:lineRule="auto"/>
        <w:ind w:left="23" w:right="80" w:firstLine="502"/>
      </w:pPr>
      <w:r>
        <w:rPr>
          <w:spacing w:val="-4"/>
        </w:rPr>
        <w:t>四、在清点、包装、运送时，应避免着地防止二次污染。下收下送时外包装</w:t>
      </w:r>
      <w:r>
        <w:t>袋应洁、污分开，并有明显标记，包装袋和</w:t>
      </w:r>
      <w:r>
        <w:rPr>
          <w:spacing w:val="-1"/>
        </w:rPr>
        <w:t>车辆用后即行清洗消毒。</w:t>
      </w:r>
    </w:p>
    <w:p w14:paraId="255F659D">
      <w:pPr>
        <w:pStyle w:val="31"/>
        <w:spacing w:before="181" w:line="325" w:lineRule="auto"/>
        <w:ind w:left="22" w:right="80" w:firstLine="484"/>
      </w:pPr>
      <w:r>
        <w:rPr>
          <w:spacing w:val="-3"/>
        </w:rPr>
        <w:t>五、严格操作规程和分类洗涤制度，防止交叉感染。病</w:t>
      </w:r>
      <w:r>
        <w:rPr>
          <w:spacing w:val="-4"/>
        </w:rPr>
        <w:t>人的衣服和员工的工</w:t>
      </w:r>
      <w:r>
        <w:rPr>
          <w:spacing w:val="-3"/>
        </w:rPr>
        <w:t>作服必须分机清洗，有色与无色分开，棉化纤分开，婴儿衣被应单独洗消，隔离病人的衣服应单独洗涤，一般被服与传染病被服分开洗涤，洗涤前检查衣服及其</w:t>
      </w:r>
      <w:r>
        <w:rPr>
          <w:spacing w:val="-1"/>
        </w:rPr>
        <w:t>他附属物品并将其清理等。</w:t>
      </w:r>
    </w:p>
    <w:p w14:paraId="15F698DC">
      <w:pPr>
        <w:pStyle w:val="31"/>
        <w:spacing w:before="185" w:line="313" w:lineRule="auto"/>
        <w:ind w:left="22" w:right="80" w:firstLine="482"/>
      </w:pPr>
      <w:r>
        <w:rPr>
          <w:spacing w:val="-3"/>
        </w:rPr>
        <w:t>六、洗衣房环境按照医院消毒卫生标准Ⅲ类要求：空气≤500cfu/m3 ，物体</w:t>
      </w:r>
      <w:r>
        <w:rPr>
          <w:spacing w:val="-2"/>
        </w:rPr>
        <w:t>表面≤ 10cfu/cm2，工作人员手≤5cfu/cm2；</w:t>
      </w:r>
      <w:r>
        <w:rPr>
          <w:spacing w:val="-3"/>
        </w:rPr>
        <w:t>清洁被服按接触皮肤的医疗用品要</w:t>
      </w:r>
      <w:r>
        <w:t>求：细菌菌落数应≤200cfu/100cm2；不</w:t>
      </w:r>
      <w:r>
        <w:rPr>
          <w:spacing w:val="-1"/>
        </w:rPr>
        <w:t>得检出致病性微生物。</w:t>
      </w:r>
    </w:p>
    <w:p w14:paraId="46F14B62">
      <w:pPr>
        <w:pStyle w:val="31"/>
        <w:spacing w:before="182" w:line="313" w:lineRule="auto"/>
        <w:ind w:left="28" w:right="26" w:firstLine="474"/>
      </w:pPr>
      <w:r>
        <w:rPr>
          <w:spacing w:val="-3"/>
        </w:rPr>
        <w:t>七、医院各类质地被服用品消毒方法和采用的洗涤消毒产品要达</w:t>
      </w:r>
      <w:r>
        <w:rPr>
          <w:spacing w:val="-4"/>
        </w:rPr>
        <w:t>到消毒、无</w:t>
      </w:r>
      <w:r>
        <w:rPr>
          <w:spacing w:val="-2"/>
        </w:rPr>
        <w:t>害、环保、经济的要求。洗涤过的被服要严格分类，必须达到表面无明显污渍、</w:t>
      </w:r>
      <w:r>
        <w:rPr>
          <w:spacing w:val="-1"/>
        </w:rPr>
        <w:t>外观平整、干燥无异味，工作服应保持平整挺括，避免发生各种差错。</w:t>
      </w:r>
    </w:p>
    <w:p w14:paraId="3E9475DD">
      <w:pPr>
        <w:pStyle w:val="31"/>
        <w:spacing w:before="184" w:line="311" w:lineRule="auto"/>
        <w:ind w:left="23" w:right="26" w:firstLine="483"/>
      </w:pPr>
      <w:r>
        <w:rPr>
          <w:spacing w:val="-3"/>
        </w:rPr>
        <w:t>八、被服集中存放划分工作区及清洁被服存放区，存放</w:t>
      </w:r>
      <w:r>
        <w:rPr>
          <w:spacing w:val="-4"/>
        </w:rPr>
        <w:t>区备有紫外线灯或动</w:t>
      </w:r>
      <w:r>
        <w:rPr>
          <w:spacing w:val="2"/>
        </w:rPr>
        <w:t>态空气消毒机。每天进行室内空气消毒</w:t>
      </w:r>
      <w:r>
        <w:rPr>
          <w:spacing w:val="37"/>
        </w:rPr>
        <w:t xml:space="preserve"> </w:t>
      </w:r>
      <w:r>
        <w:rPr>
          <w:spacing w:val="2"/>
        </w:rPr>
        <w:t>1-2 次，每次</w:t>
      </w:r>
      <w:r>
        <w:rPr>
          <w:spacing w:val="35"/>
        </w:rPr>
        <w:t xml:space="preserve"> </w:t>
      </w:r>
      <w:r>
        <w:rPr>
          <w:spacing w:val="2"/>
        </w:rPr>
        <w:t>1h；</w:t>
      </w:r>
      <w:r>
        <w:rPr>
          <w:spacing w:val="1"/>
        </w:rPr>
        <w:t>地面每日用有效氯</w:t>
      </w:r>
      <w:r>
        <w:rPr>
          <w:spacing w:val="-1"/>
        </w:rPr>
        <w:t xml:space="preserve">（500mg/L）消毒液擦拭，置物架每周用清洁液擦拭 1 </w:t>
      </w:r>
      <w:r>
        <w:rPr>
          <w:spacing w:val="-2"/>
        </w:rPr>
        <w:t>次。保证被服卫生质量。</w:t>
      </w:r>
    </w:p>
    <w:p w14:paraId="30A7F010">
      <w:pPr>
        <w:pStyle w:val="31"/>
        <w:spacing w:before="190" w:line="290" w:lineRule="auto"/>
        <w:ind w:left="27" w:firstLine="481"/>
      </w:pPr>
      <w:r>
        <w:rPr>
          <w:spacing w:val="-3"/>
        </w:rPr>
        <w:t>九、严格执行报废制度，被服低于六成新的、破损</w:t>
      </w:r>
      <w:r>
        <w:rPr>
          <w:spacing w:val="-4"/>
        </w:rPr>
        <w:t>后缝补面积大于规定标准</w:t>
      </w:r>
      <w:r>
        <w:rPr>
          <w:spacing w:val="-3"/>
        </w:rPr>
        <w:t>必须实施自然破损淘汰，</w:t>
      </w:r>
      <w:r>
        <w:rPr>
          <w:spacing w:val="-37"/>
        </w:rPr>
        <w:t xml:space="preserve"> </w:t>
      </w:r>
      <w:r>
        <w:rPr>
          <w:spacing w:val="-3"/>
        </w:rPr>
        <w:t>淘汰被服报医院进行标记，乙方应及时补</w:t>
      </w:r>
      <w:r>
        <w:rPr>
          <w:spacing w:val="-4"/>
        </w:rPr>
        <w:t>充各类被服。</w:t>
      </w:r>
    </w:p>
    <w:p w14:paraId="202B51E3">
      <w:pPr>
        <w:pStyle w:val="31"/>
        <w:spacing w:before="183" w:line="360" w:lineRule="auto"/>
        <w:ind w:left="27" w:right="80" w:firstLine="494"/>
      </w:pPr>
      <w:r>
        <w:rPr>
          <w:spacing w:val="-4"/>
        </w:rPr>
        <w:t>附件三：</w:t>
      </w:r>
      <w:r>
        <w:rPr>
          <w:rFonts w:hint="eastAsia"/>
          <w:spacing w:val="-4"/>
        </w:rPr>
        <w:t>六安市叶集区人民医院</w:t>
      </w:r>
      <w:r>
        <w:rPr>
          <w:spacing w:val="-4"/>
        </w:rPr>
        <w:t>被服洗涤租赁考评办法与实施（成交人</w:t>
      </w:r>
      <w:r>
        <w:rPr>
          <w:spacing w:val="-1"/>
        </w:rPr>
        <w:t>须无条件服从采购人考评办法）</w:t>
      </w:r>
    </w:p>
    <w:p w14:paraId="46354CF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一、实行日巡查制度：甲方监管人员对乙方服务质量随时进行检查，发现不合格处， 将根据情况扣罚质量分，整改后仍未达质量标准的加倍扣罚。服务质量巡查实行 100 分制，85 分为合格，每低于 1 分扣 50 元。</w:t>
      </w:r>
    </w:p>
    <w:p w14:paraId="1A3DA3E9">
      <w:pPr>
        <w:pStyle w:val="31"/>
        <w:spacing w:before="182" w:line="332" w:lineRule="auto"/>
        <w:ind w:left="24" w:right="469" w:firstLine="479"/>
      </w:pPr>
      <w:r>
        <w:rPr>
          <w:spacing w:val="-3"/>
        </w:rPr>
        <w:t>二、实行</w:t>
      </w:r>
      <w:r>
        <w:rPr>
          <w:rFonts w:hint="eastAsia"/>
          <w:spacing w:val="-3"/>
          <w:lang w:val="en-US" w:eastAsia="zh-CN"/>
        </w:rPr>
        <w:t>季度</w:t>
      </w:r>
      <w:r>
        <w:rPr>
          <w:spacing w:val="-3"/>
        </w:rPr>
        <w:t>服务质量检查考核制度：甲方对服务质量进</w:t>
      </w:r>
      <w:r>
        <w:rPr>
          <w:spacing w:val="-4"/>
        </w:rPr>
        <w:t>行全面检查考评，</w:t>
      </w:r>
      <w:r>
        <w:t>季度服务质量综合评价：</w:t>
      </w:r>
    </w:p>
    <w:p w14:paraId="10F12903">
      <w:pPr>
        <w:pStyle w:val="31"/>
        <w:spacing w:before="181" w:line="325" w:lineRule="auto"/>
        <w:ind w:left="17" w:right="493" w:firstLine="508"/>
        <w:rPr>
          <w:rFonts w:hint="eastAsia" w:eastAsia="宋体"/>
          <w:lang w:eastAsia="zh-CN"/>
        </w:rPr>
      </w:pPr>
      <w:r>
        <w:t>满分 100 分（90【含】分以上</w:t>
      </w:r>
      <w:r>
        <w:rPr>
          <w:spacing w:val="-1"/>
        </w:rPr>
        <w:t>的不罚款；85</w:t>
      </w:r>
      <w:r>
        <w:t xml:space="preserve"> </w:t>
      </w:r>
      <w:r>
        <w:rPr>
          <w:spacing w:val="-3"/>
        </w:rPr>
        <w:t>【含】-90【不含】分的，每低 1 分扣 500</w:t>
      </w:r>
      <w:r>
        <w:rPr>
          <w:spacing w:val="22"/>
        </w:rPr>
        <w:t xml:space="preserve"> </w:t>
      </w:r>
      <w:r>
        <w:rPr>
          <w:spacing w:val="-3"/>
        </w:rPr>
        <w:t>元；85</w:t>
      </w:r>
      <w:r>
        <w:rPr>
          <w:spacing w:val="12"/>
        </w:rPr>
        <w:t xml:space="preserve"> </w:t>
      </w:r>
      <w:r>
        <w:rPr>
          <w:spacing w:val="-3"/>
        </w:rPr>
        <w:t>分为合格；低于</w:t>
      </w:r>
      <w:r>
        <w:rPr>
          <w:spacing w:val="11"/>
        </w:rPr>
        <w:t xml:space="preserve"> </w:t>
      </w:r>
      <w:r>
        <w:rPr>
          <w:spacing w:val="-3"/>
        </w:rPr>
        <w:t>85</w:t>
      </w:r>
      <w:r>
        <w:rPr>
          <w:spacing w:val="12"/>
        </w:rPr>
        <w:t xml:space="preserve"> </w:t>
      </w:r>
      <w:r>
        <w:rPr>
          <w:spacing w:val="-3"/>
        </w:rPr>
        <w:t>分的，</w:t>
      </w:r>
      <w:r>
        <w:rPr>
          <w:spacing w:val="-4"/>
        </w:rPr>
        <w:t>每低</w:t>
      </w:r>
      <w:r>
        <w:rPr>
          <w:spacing w:val="31"/>
        </w:rPr>
        <w:t xml:space="preserve"> </w:t>
      </w:r>
      <w:r>
        <w:rPr>
          <w:spacing w:val="-4"/>
        </w:rPr>
        <w:t>1 分扣</w:t>
      </w:r>
      <w:r>
        <w:rPr>
          <w:spacing w:val="27"/>
        </w:rPr>
        <w:t xml:space="preserve"> </w:t>
      </w:r>
      <w:r>
        <w:rPr>
          <w:spacing w:val="-4"/>
        </w:rPr>
        <w:t>1000 元；成交人在季度服务质量考核中累计达 2 次不合格的，医院有权终止合同</w:t>
      </w:r>
      <w:r>
        <w:rPr>
          <w:rFonts w:hint="eastAsia"/>
          <w:spacing w:val="-4"/>
          <w:lang w:eastAsia="zh-CN"/>
        </w:rPr>
        <w:t>。</w:t>
      </w:r>
    </w:p>
    <w:p w14:paraId="19360911">
      <w:pPr>
        <w:pStyle w:val="31"/>
        <w:spacing w:before="182" w:line="325" w:lineRule="auto"/>
        <w:ind w:right="493"/>
      </w:pPr>
      <w:r>
        <w:rPr>
          <w:spacing w:val="-1"/>
        </w:rPr>
        <w:t>考核内容和标准暂定如下：</w:t>
      </w:r>
    </w:p>
    <w:p w14:paraId="53344983">
      <w:pPr>
        <w:spacing w:line="68" w:lineRule="exact"/>
      </w:pPr>
    </w:p>
    <w:tbl>
      <w:tblPr>
        <w:tblStyle w:val="433"/>
        <w:tblW w:w="8834"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69"/>
        <w:gridCol w:w="1073"/>
        <w:gridCol w:w="1073"/>
        <w:gridCol w:w="1719"/>
      </w:tblGrid>
      <w:tr w14:paraId="4E13F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969" w:type="dxa"/>
            <w:vAlign w:val="top"/>
          </w:tcPr>
          <w:p w14:paraId="1129713E">
            <w:pPr>
              <w:pStyle w:val="434"/>
              <w:spacing w:before="72" w:line="219" w:lineRule="auto"/>
              <w:ind w:left="2564"/>
              <w:rPr>
                <w:sz w:val="22"/>
                <w:szCs w:val="22"/>
              </w:rPr>
            </w:pPr>
            <w:r>
              <w:rPr>
                <w:spacing w:val="-17"/>
                <w:sz w:val="22"/>
                <w:szCs w:val="22"/>
              </w:rPr>
              <w:t>内容</w:t>
            </w:r>
          </w:p>
        </w:tc>
        <w:tc>
          <w:tcPr>
            <w:tcW w:w="1073" w:type="dxa"/>
            <w:vAlign w:val="top"/>
          </w:tcPr>
          <w:p w14:paraId="11E88261">
            <w:pPr>
              <w:pStyle w:val="434"/>
              <w:spacing w:before="72" w:line="219" w:lineRule="auto"/>
              <w:ind w:right="1"/>
              <w:jc w:val="right"/>
              <w:rPr>
                <w:sz w:val="22"/>
                <w:szCs w:val="22"/>
              </w:rPr>
            </w:pPr>
            <w:r>
              <w:rPr>
                <w:spacing w:val="-5"/>
                <w:sz w:val="22"/>
                <w:szCs w:val="22"/>
              </w:rPr>
              <w:t>分值</w:t>
            </w:r>
          </w:p>
        </w:tc>
        <w:tc>
          <w:tcPr>
            <w:tcW w:w="1073" w:type="dxa"/>
            <w:vAlign w:val="top"/>
          </w:tcPr>
          <w:p w14:paraId="3BC51166">
            <w:pPr>
              <w:pStyle w:val="434"/>
              <w:spacing w:before="72" w:line="219" w:lineRule="auto"/>
              <w:ind w:left="588"/>
              <w:rPr>
                <w:sz w:val="22"/>
                <w:szCs w:val="22"/>
              </w:rPr>
            </w:pPr>
            <w:r>
              <w:rPr>
                <w:spacing w:val="-4"/>
                <w:sz w:val="22"/>
                <w:szCs w:val="22"/>
              </w:rPr>
              <w:t>得分</w:t>
            </w:r>
          </w:p>
        </w:tc>
        <w:tc>
          <w:tcPr>
            <w:tcW w:w="1719" w:type="dxa"/>
            <w:vAlign w:val="top"/>
          </w:tcPr>
          <w:p w14:paraId="39B0B02E">
            <w:pPr>
              <w:pStyle w:val="434"/>
              <w:spacing w:before="50" w:line="219" w:lineRule="auto"/>
              <w:ind w:left="577"/>
              <w:rPr>
                <w:sz w:val="22"/>
                <w:szCs w:val="22"/>
              </w:rPr>
            </w:pPr>
            <w:r>
              <w:rPr>
                <w:spacing w:val="-2"/>
                <w:sz w:val="22"/>
                <w:szCs w:val="22"/>
              </w:rPr>
              <w:t>评价及建议</w:t>
            </w:r>
          </w:p>
        </w:tc>
      </w:tr>
      <w:tr w14:paraId="0A8E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69" w:type="dxa"/>
            <w:vAlign w:val="top"/>
          </w:tcPr>
          <w:p w14:paraId="26B302E4">
            <w:pPr>
              <w:pStyle w:val="434"/>
              <w:spacing w:before="73" w:line="219" w:lineRule="auto"/>
              <w:ind w:left="555"/>
              <w:rPr>
                <w:sz w:val="22"/>
                <w:szCs w:val="22"/>
              </w:rPr>
            </w:pPr>
            <w:r>
              <w:rPr>
                <w:spacing w:val="-2"/>
                <w:sz w:val="22"/>
                <w:szCs w:val="22"/>
              </w:rPr>
              <w:t>1.被服工仪容仪表，文明礼貌</w:t>
            </w:r>
          </w:p>
        </w:tc>
        <w:tc>
          <w:tcPr>
            <w:tcW w:w="1073" w:type="dxa"/>
            <w:vAlign w:val="top"/>
          </w:tcPr>
          <w:p w14:paraId="24D62C00">
            <w:pPr>
              <w:pStyle w:val="434"/>
              <w:spacing w:before="48"/>
              <w:ind w:left="767"/>
              <w:rPr>
                <w:sz w:val="22"/>
                <w:szCs w:val="22"/>
              </w:rPr>
            </w:pPr>
            <w:r>
              <w:rPr>
                <w:spacing w:val="-13"/>
                <w:sz w:val="22"/>
                <w:szCs w:val="22"/>
              </w:rPr>
              <w:t>10</w:t>
            </w:r>
          </w:p>
        </w:tc>
        <w:tc>
          <w:tcPr>
            <w:tcW w:w="1073" w:type="dxa"/>
            <w:vAlign w:val="top"/>
          </w:tcPr>
          <w:p w14:paraId="0EB43B7F">
            <w:pPr>
              <w:rPr>
                <w:rFonts w:ascii="Arial"/>
                <w:sz w:val="21"/>
              </w:rPr>
            </w:pPr>
          </w:p>
        </w:tc>
        <w:tc>
          <w:tcPr>
            <w:tcW w:w="1719" w:type="dxa"/>
            <w:vAlign w:val="top"/>
          </w:tcPr>
          <w:p w14:paraId="3D25A6C7">
            <w:pPr>
              <w:rPr>
                <w:rFonts w:ascii="Arial"/>
                <w:sz w:val="21"/>
              </w:rPr>
            </w:pPr>
          </w:p>
        </w:tc>
      </w:tr>
      <w:tr w14:paraId="3EC3B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969" w:type="dxa"/>
            <w:vAlign w:val="top"/>
          </w:tcPr>
          <w:p w14:paraId="3F6170CC">
            <w:pPr>
              <w:pStyle w:val="434"/>
              <w:spacing w:before="71" w:line="219" w:lineRule="auto"/>
              <w:ind w:left="541"/>
              <w:rPr>
                <w:sz w:val="22"/>
                <w:szCs w:val="22"/>
              </w:rPr>
            </w:pPr>
            <w:r>
              <w:rPr>
                <w:spacing w:val="-1"/>
                <w:sz w:val="22"/>
                <w:szCs w:val="22"/>
              </w:rPr>
              <w:t>2.工作责任心和服务态度</w:t>
            </w:r>
          </w:p>
        </w:tc>
        <w:tc>
          <w:tcPr>
            <w:tcW w:w="1073" w:type="dxa"/>
            <w:vAlign w:val="top"/>
          </w:tcPr>
          <w:p w14:paraId="54F604BA">
            <w:pPr>
              <w:pStyle w:val="434"/>
              <w:spacing w:before="49" w:line="237" w:lineRule="auto"/>
              <w:ind w:left="767"/>
              <w:rPr>
                <w:sz w:val="22"/>
                <w:szCs w:val="22"/>
              </w:rPr>
            </w:pPr>
            <w:r>
              <w:rPr>
                <w:spacing w:val="-13"/>
                <w:sz w:val="22"/>
                <w:szCs w:val="22"/>
              </w:rPr>
              <w:t>10</w:t>
            </w:r>
          </w:p>
        </w:tc>
        <w:tc>
          <w:tcPr>
            <w:tcW w:w="1073" w:type="dxa"/>
            <w:vAlign w:val="top"/>
          </w:tcPr>
          <w:p w14:paraId="027AFF46">
            <w:pPr>
              <w:rPr>
                <w:rFonts w:ascii="Arial"/>
                <w:sz w:val="21"/>
              </w:rPr>
            </w:pPr>
          </w:p>
        </w:tc>
        <w:tc>
          <w:tcPr>
            <w:tcW w:w="1719" w:type="dxa"/>
            <w:vAlign w:val="top"/>
          </w:tcPr>
          <w:p w14:paraId="26265612">
            <w:pPr>
              <w:rPr>
                <w:rFonts w:ascii="Arial"/>
                <w:sz w:val="21"/>
              </w:rPr>
            </w:pPr>
          </w:p>
        </w:tc>
      </w:tr>
      <w:tr w14:paraId="0BA2F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969" w:type="dxa"/>
            <w:vAlign w:val="top"/>
          </w:tcPr>
          <w:p w14:paraId="59B4FD3F">
            <w:pPr>
              <w:pStyle w:val="434"/>
              <w:spacing w:before="69" w:line="220" w:lineRule="auto"/>
              <w:ind w:left="543"/>
              <w:rPr>
                <w:sz w:val="22"/>
                <w:szCs w:val="22"/>
              </w:rPr>
            </w:pPr>
            <w:r>
              <w:rPr>
                <w:spacing w:val="-2"/>
                <w:sz w:val="22"/>
                <w:szCs w:val="22"/>
              </w:rPr>
              <w:t>3.院感要求执行情况</w:t>
            </w:r>
          </w:p>
        </w:tc>
        <w:tc>
          <w:tcPr>
            <w:tcW w:w="1073" w:type="dxa"/>
            <w:vAlign w:val="top"/>
          </w:tcPr>
          <w:p w14:paraId="60047748">
            <w:pPr>
              <w:pStyle w:val="434"/>
              <w:spacing w:before="48"/>
              <w:ind w:left="767"/>
              <w:rPr>
                <w:sz w:val="22"/>
                <w:szCs w:val="22"/>
              </w:rPr>
            </w:pPr>
            <w:r>
              <w:rPr>
                <w:spacing w:val="-13"/>
                <w:sz w:val="22"/>
                <w:szCs w:val="22"/>
              </w:rPr>
              <w:t>10</w:t>
            </w:r>
          </w:p>
        </w:tc>
        <w:tc>
          <w:tcPr>
            <w:tcW w:w="1073" w:type="dxa"/>
            <w:vAlign w:val="top"/>
          </w:tcPr>
          <w:p w14:paraId="45F54ACF">
            <w:pPr>
              <w:rPr>
                <w:rFonts w:ascii="Arial"/>
                <w:sz w:val="21"/>
              </w:rPr>
            </w:pPr>
          </w:p>
        </w:tc>
        <w:tc>
          <w:tcPr>
            <w:tcW w:w="1719" w:type="dxa"/>
            <w:vAlign w:val="top"/>
          </w:tcPr>
          <w:p w14:paraId="72B535DD">
            <w:pPr>
              <w:rPr>
                <w:rFonts w:ascii="Arial"/>
                <w:sz w:val="21"/>
              </w:rPr>
            </w:pPr>
          </w:p>
        </w:tc>
      </w:tr>
      <w:tr w14:paraId="499F4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969" w:type="dxa"/>
            <w:vAlign w:val="top"/>
          </w:tcPr>
          <w:p w14:paraId="0AD48EED">
            <w:pPr>
              <w:pStyle w:val="434"/>
              <w:spacing w:before="73" w:line="221" w:lineRule="auto"/>
              <w:ind w:left="537"/>
              <w:rPr>
                <w:sz w:val="22"/>
                <w:szCs w:val="22"/>
              </w:rPr>
            </w:pPr>
            <w:r>
              <w:rPr>
                <w:spacing w:val="-1"/>
                <w:sz w:val="22"/>
                <w:szCs w:val="22"/>
              </w:rPr>
              <w:t>4.主动性及配合情况</w:t>
            </w:r>
          </w:p>
        </w:tc>
        <w:tc>
          <w:tcPr>
            <w:tcW w:w="1073" w:type="dxa"/>
            <w:vAlign w:val="top"/>
          </w:tcPr>
          <w:p w14:paraId="00516350">
            <w:pPr>
              <w:pStyle w:val="434"/>
              <w:spacing w:before="50"/>
              <w:ind w:left="767"/>
              <w:rPr>
                <w:sz w:val="22"/>
                <w:szCs w:val="22"/>
              </w:rPr>
            </w:pPr>
            <w:r>
              <w:rPr>
                <w:spacing w:val="-13"/>
                <w:sz w:val="22"/>
                <w:szCs w:val="22"/>
              </w:rPr>
              <w:t>10</w:t>
            </w:r>
          </w:p>
        </w:tc>
        <w:tc>
          <w:tcPr>
            <w:tcW w:w="1073" w:type="dxa"/>
            <w:vAlign w:val="top"/>
          </w:tcPr>
          <w:p w14:paraId="144DA2E8">
            <w:pPr>
              <w:rPr>
                <w:rFonts w:ascii="Arial"/>
                <w:sz w:val="21"/>
              </w:rPr>
            </w:pPr>
          </w:p>
        </w:tc>
        <w:tc>
          <w:tcPr>
            <w:tcW w:w="1719" w:type="dxa"/>
            <w:vAlign w:val="top"/>
          </w:tcPr>
          <w:p w14:paraId="2F71C39D">
            <w:pPr>
              <w:rPr>
                <w:rFonts w:ascii="Arial"/>
                <w:sz w:val="21"/>
              </w:rPr>
            </w:pPr>
          </w:p>
        </w:tc>
      </w:tr>
      <w:tr w14:paraId="29817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969" w:type="dxa"/>
            <w:vAlign w:val="top"/>
          </w:tcPr>
          <w:p w14:paraId="36608AAB">
            <w:pPr>
              <w:pStyle w:val="434"/>
              <w:spacing w:before="73" w:line="217" w:lineRule="auto"/>
              <w:ind w:left="543"/>
              <w:rPr>
                <w:sz w:val="22"/>
                <w:szCs w:val="22"/>
              </w:rPr>
            </w:pPr>
            <w:r>
              <w:rPr>
                <w:spacing w:val="-2"/>
                <w:sz w:val="22"/>
                <w:szCs w:val="22"/>
              </w:rPr>
              <w:t>5.被服洗涤清洁质量</w:t>
            </w:r>
          </w:p>
        </w:tc>
        <w:tc>
          <w:tcPr>
            <w:tcW w:w="1073" w:type="dxa"/>
            <w:vAlign w:val="top"/>
          </w:tcPr>
          <w:p w14:paraId="7AFD141E">
            <w:pPr>
              <w:pStyle w:val="434"/>
              <w:spacing w:before="51" w:line="235" w:lineRule="auto"/>
              <w:ind w:left="767"/>
              <w:rPr>
                <w:sz w:val="22"/>
                <w:szCs w:val="22"/>
              </w:rPr>
            </w:pPr>
            <w:r>
              <w:rPr>
                <w:spacing w:val="-13"/>
                <w:sz w:val="22"/>
                <w:szCs w:val="22"/>
              </w:rPr>
              <w:t>10</w:t>
            </w:r>
          </w:p>
        </w:tc>
        <w:tc>
          <w:tcPr>
            <w:tcW w:w="1073" w:type="dxa"/>
            <w:vAlign w:val="top"/>
          </w:tcPr>
          <w:p w14:paraId="3CC73DE9">
            <w:pPr>
              <w:rPr>
                <w:rFonts w:ascii="Arial"/>
                <w:sz w:val="21"/>
              </w:rPr>
            </w:pPr>
          </w:p>
        </w:tc>
        <w:tc>
          <w:tcPr>
            <w:tcW w:w="1719" w:type="dxa"/>
            <w:vAlign w:val="top"/>
          </w:tcPr>
          <w:p w14:paraId="30CDAE0B">
            <w:pPr>
              <w:rPr>
                <w:rFonts w:ascii="Arial"/>
                <w:sz w:val="21"/>
              </w:rPr>
            </w:pPr>
          </w:p>
        </w:tc>
      </w:tr>
      <w:tr w14:paraId="0139B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69" w:type="dxa"/>
            <w:vAlign w:val="top"/>
          </w:tcPr>
          <w:p w14:paraId="04905028">
            <w:pPr>
              <w:pStyle w:val="434"/>
              <w:spacing w:before="72" w:line="220" w:lineRule="auto"/>
              <w:ind w:left="540"/>
              <w:rPr>
                <w:sz w:val="22"/>
                <w:szCs w:val="22"/>
              </w:rPr>
            </w:pPr>
            <w:r>
              <w:rPr>
                <w:spacing w:val="-2"/>
                <w:sz w:val="22"/>
                <w:szCs w:val="22"/>
              </w:rPr>
              <w:t>6.被服折叠熨烫质量</w:t>
            </w:r>
          </w:p>
        </w:tc>
        <w:tc>
          <w:tcPr>
            <w:tcW w:w="1073" w:type="dxa"/>
            <w:vAlign w:val="top"/>
          </w:tcPr>
          <w:p w14:paraId="72C53686">
            <w:pPr>
              <w:pStyle w:val="434"/>
              <w:spacing w:before="50"/>
              <w:ind w:left="767"/>
              <w:rPr>
                <w:sz w:val="22"/>
                <w:szCs w:val="22"/>
              </w:rPr>
            </w:pPr>
            <w:r>
              <w:rPr>
                <w:spacing w:val="-13"/>
                <w:sz w:val="22"/>
                <w:szCs w:val="22"/>
              </w:rPr>
              <w:t>10</w:t>
            </w:r>
          </w:p>
        </w:tc>
        <w:tc>
          <w:tcPr>
            <w:tcW w:w="1073" w:type="dxa"/>
            <w:vAlign w:val="top"/>
          </w:tcPr>
          <w:p w14:paraId="317CDE1D">
            <w:pPr>
              <w:rPr>
                <w:rFonts w:ascii="Arial"/>
                <w:sz w:val="21"/>
              </w:rPr>
            </w:pPr>
          </w:p>
        </w:tc>
        <w:tc>
          <w:tcPr>
            <w:tcW w:w="1719" w:type="dxa"/>
            <w:vAlign w:val="top"/>
          </w:tcPr>
          <w:p w14:paraId="5CF6C7F6">
            <w:pPr>
              <w:rPr>
                <w:rFonts w:ascii="Arial"/>
                <w:sz w:val="21"/>
              </w:rPr>
            </w:pPr>
          </w:p>
        </w:tc>
      </w:tr>
      <w:tr w14:paraId="15B39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969" w:type="dxa"/>
            <w:vAlign w:val="top"/>
          </w:tcPr>
          <w:p w14:paraId="29E12961">
            <w:pPr>
              <w:pStyle w:val="434"/>
              <w:spacing w:before="74" w:line="216" w:lineRule="auto"/>
              <w:ind w:left="544"/>
              <w:rPr>
                <w:sz w:val="22"/>
                <w:szCs w:val="22"/>
              </w:rPr>
            </w:pPr>
            <w:r>
              <w:rPr>
                <w:spacing w:val="-2"/>
                <w:sz w:val="22"/>
                <w:szCs w:val="22"/>
              </w:rPr>
              <w:t>7.被服缝补质量</w:t>
            </w:r>
          </w:p>
        </w:tc>
        <w:tc>
          <w:tcPr>
            <w:tcW w:w="1073" w:type="dxa"/>
            <w:vAlign w:val="top"/>
          </w:tcPr>
          <w:p w14:paraId="73442CF5">
            <w:pPr>
              <w:pStyle w:val="434"/>
              <w:spacing w:before="49" w:line="237" w:lineRule="auto"/>
              <w:ind w:left="767"/>
              <w:rPr>
                <w:sz w:val="22"/>
                <w:szCs w:val="22"/>
              </w:rPr>
            </w:pPr>
            <w:r>
              <w:rPr>
                <w:spacing w:val="-13"/>
                <w:sz w:val="22"/>
                <w:szCs w:val="22"/>
              </w:rPr>
              <w:t>10</w:t>
            </w:r>
          </w:p>
        </w:tc>
        <w:tc>
          <w:tcPr>
            <w:tcW w:w="1073" w:type="dxa"/>
            <w:vAlign w:val="top"/>
          </w:tcPr>
          <w:p w14:paraId="0EB8D0DD">
            <w:pPr>
              <w:rPr>
                <w:rFonts w:ascii="Arial"/>
                <w:sz w:val="21"/>
              </w:rPr>
            </w:pPr>
          </w:p>
        </w:tc>
        <w:tc>
          <w:tcPr>
            <w:tcW w:w="1719" w:type="dxa"/>
            <w:vAlign w:val="top"/>
          </w:tcPr>
          <w:p w14:paraId="319BD3FA">
            <w:pPr>
              <w:rPr>
                <w:rFonts w:ascii="Arial"/>
                <w:sz w:val="21"/>
              </w:rPr>
            </w:pPr>
          </w:p>
        </w:tc>
      </w:tr>
      <w:tr w14:paraId="701D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969" w:type="dxa"/>
            <w:vAlign w:val="top"/>
          </w:tcPr>
          <w:p w14:paraId="1EBD6AF2">
            <w:pPr>
              <w:pStyle w:val="434"/>
              <w:spacing w:before="75" w:line="220" w:lineRule="auto"/>
              <w:ind w:left="539"/>
              <w:rPr>
                <w:sz w:val="22"/>
                <w:szCs w:val="22"/>
              </w:rPr>
            </w:pPr>
            <w:r>
              <w:rPr>
                <w:spacing w:val="-1"/>
                <w:sz w:val="22"/>
                <w:szCs w:val="22"/>
              </w:rPr>
              <w:t>8.清点收，送及时性</w:t>
            </w:r>
          </w:p>
        </w:tc>
        <w:tc>
          <w:tcPr>
            <w:tcW w:w="1073" w:type="dxa"/>
            <w:vAlign w:val="top"/>
          </w:tcPr>
          <w:p w14:paraId="09C144A3">
            <w:pPr>
              <w:pStyle w:val="434"/>
              <w:spacing w:before="53"/>
              <w:ind w:left="767"/>
              <w:rPr>
                <w:sz w:val="22"/>
                <w:szCs w:val="22"/>
              </w:rPr>
            </w:pPr>
            <w:r>
              <w:rPr>
                <w:spacing w:val="-13"/>
                <w:sz w:val="22"/>
                <w:szCs w:val="22"/>
              </w:rPr>
              <w:t>10</w:t>
            </w:r>
          </w:p>
        </w:tc>
        <w:tc>
          <w:tcPr>
            <w:tcW w:w="1073" w:type="dxa"/>
            <w:vAlign w:val="top"/>
          </w:tcPr>
          <w:p w14:paraId="27092DF2">
            <w:pPr>
              <w:rPr>
                <w:rFonts w:ascii="Arial"/>
                <w:sz w:val="21"/>
              </w:rPr>
            </w:pPr>
          </w:p>
        </w:tc>
        <w:tc>
          <w:tcPr>
            <w:tcW w:w="1719" w:type="dxa"/>
            <w:vAlign w:val="top"/>
          </w:tcPr>
          <w:p w14:paraId="2969A551">
            <w:pPr>
              <w:rPr>
                <w:rFonts w:ascii="Arial"/>
                <w:sz w:val="21"/>
              </w:rPr>
            </w:pPr>
          </w:p>
        </w:tc>
      </w:tr>
      <w:tr w14:paraId="56809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969" w:type="dxa"/>
            <w:vAlign w:val="top"/>
          </w:tcPr>
          <w:p w14:paraId="5D36D204">
            <w:pPr>
              <w:pStyle w:val="434"/>
              <w:spacing w:before="72" w:line="216" w:lineRule="auto"/>
              <w:ind w:left="539"/>
              <w:rPr>
                <w:sz w:val="22"/>
                <w:szCs w:val="22"/>
              </w:rPr>
            </w:pPr>
            <w:r>
              <w:rPr>
                <w:spacing w:val="-1"/>
                <w:sz w:val="22"/>
                <w:szCs w:val="22"/>
              </w:rPr>
              <w:t>9.被服遗失，调错情况</w:t>
            </w:r>
          </w:p>
        </w:tc>
        <w:tc>
          <w:tcPr>
            <w:tcW w:w="1073" w:type="dxa"/>
            <w:vAlign w:val="top"/>
          </w:tcPr>
          <w:p w14:paraId="6A610614">
            <w:pPr>
              <w:pStyle w:val="434"/>
              <w:spacing w:before="51" w:line="234" w:lineRule="auto"/>
              <w:ind w:left="767"/>
              <w:rPr>
                <w:sz w:val="22"/>
                <w:szCs w:val="22"/>
              </w:rPr>
            </w:pPr>
            <w:r>
              <w:rPr>
                <w:spacing w:val="-13"/>
                <w:sz w:val="22"/>
                <w:szCs w:val="22"/>
              </w:rPr>
              <w:t>10</w:t>
            </w:r>
          </w:p>
        </w:tc>
        <w:tc>
          <w:tcPr>
            <w:tcW w:w="1073" w:type="dxa"/>
            <w:vAlign w:val="top"/>
          </w:tcPr>
          <w:p w14:paraId="486EDBA4">
            <w:pPr>
              <w:rPr>
                <w:rFonts w:ascii="Arial"/>
                <w:sz w:val="21"/>
              </w:rPr>
            </w:pPr>
          </w:p>
        </w:tc>
        <w:tc>
          <w:tcPr>
            <w:tcW w:w="1719" w:type="dxa"/>
            <w:vAlign w:val="top"/>
          </w:tcPr>
          <w:p w14:paraId="6A192964">
            <w:pPr>
              <w:rPr>
                <w:rFonts w:ascii="Arial"/>
                <w:sz w:val="21"/>
              </w:rPr>
            </w:pPr>
          </w:p>
        </w:tc>
      </w:tr>
      <w:tr w14:paraId="66C44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4969" w:type="dxa"/>
            <w:vAlign w:val="top"/>
          </w:tcPr>
          <w:p w14:paraId="53D4EDB8">
            <w:pPr>
              <w:pStyle w:val="434"/>
              <w:spacing w:before="76" w:line="220" w:lineRule="auto"/>
              <w:ind w:left="555"/>
              <w:rPr>
                <w:sz w:val="22"/>
                <w:szCs w:val="22"/>
              </w:rPr>
            </w:pPr>
            <w:r>
              <w:rPr>
                <w:spacing w:val="-3"/>
                <w:sz w:val="22"/>
                <w:szCs w:val="22"/>
              </w:rPr>
              <w:t>10.管理人员协调能力</w:t>
            </w:r>
          </w:p>
        </w:tc>
        <w:tc>
          <w:tcPr>
            <w:tcW w:w="1073" w:type="dxa"/>
            <w:vAlign w:val="top"/>
          </w:tcPr>
          <w:p w14:paraId="156C3983">
            <w:pPr>
              <w:pStyle w:val="434"/>
              <w:spacing w:before="52"/>
              <w:ind w:left="767"/>
              <w:rPr>
                <w:sz w:val="22"/>
                <w:szCs w:val="22"/>
              </w:rPr>
            </w:pPr>
            <w:r>
              <w:rPr>
                <w:spacing w:val="-13"/>
                <w:sz w:val="22"/>
                <w:szCs w:val="22"/>
              </w:rPr>
              <w:t>10</w:t>
            </w:r>
          </w:p>
        </w:tc>
        <w:tc>
          <w:tcPr>
            <w:tcW w:w="1073" w:type="dxa"/>
            <w:vAlign w:val="top"/>
          </w:tcPr>
          <w:p w14:paraId="60655D89">
            <w:pPr>
              <w:rPr>
                <w:rFonts w:ascii="Arial"/>
                <w:sz w:val="21"/>
              </w:rPr>
            </w:pPr>
          </w:p>
        </w:tc>
        <w:tc>
          <w:tcPr>
            <w:tcW w:w="1719" w:type="dxa"/>
            <w:vAlign w:val="top"/>
          </w:tcPr>
          <w:p w14:paraId="01EE6AAF">
            <w:pPr>
              <w:rPr>
                <w:rFonts w:ascii="Arial"/>
                <w:sz w:val="21"/>
              </w:rPr>
            </w:pPr>
          </w:p>
        </w:tc>
      </w:tr>
      <w:tr w14:paraId="2934F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15" w:type="dxa"/>
            <w:gridSpan w:val="3"/>
            <w:vAlign w:val="top"/>
          </w:tcPr>
          <w:p w14:paraId="46ED84B7">
            <w:pPr>
              <w:pStyle w:val="434"/>
              <w:spacing w:before="75" w:line="220" w:lineRule="auto"/>
              <w:ind w:left="117"/>
              <w:rPr>
                <w:sz w:val="22"/>
                <w:szCs w:val="22"/>
              </w:rPr>
            </w:pPr>
            <w:r>
              <w:rPr>
                <w:spacing w:val="-2"/>
                <w:sz w:val="22"/>
                <w:szCs w:val="22"/>
              </w:rPr>
              <w:t>评分标准：好 9-10 较好 7-8</w:t>
            </w:r>
            <w:r>
              <w:rPr>
                <w:spacing w:val="14"/>
                <w:sz w:val="22"/>
                <w:szCs w:val="22"/>
              </w:rPr>
              <w:t xml:space="preserve"> </w:t>
            </w:r>
            <w:r>
              <w:rPr>
                <w:spacing w:val="-2"/>
                <w:sz w:val="22"/>
                <w:szCs w:val="22"/>
              </w:rPr>
              <w:t>一般</w:t>
            </w:r>
            <w:r>
              <w:rPr>
                <w:spacing w:val="11"/>
                <w:sz w:val="22"/>
                <w:szCs w:val="22"/>
              </w:rPr>
              <w:t xml:space="preserve"> </w:t>
            </w:r>
            <w:r>
              <w:rPr>
                <w:spacing w:val="-2"/>
                <w:sz w:val="22"/>
                <w:szCs w:val="22"/>
              </w:rPr>
              <w:t>5-6</w:t>
            </w:r>
            <w:r>
              <w:rPr>
                <w:spacing w:val="12"/>
                <w:sz w:val="22"/>
                <w:szCs w:val="22"/>
              </w:rPr>
              <w:t xml:space="preserve"> </w:t>
            </w:r>
            <w:r>
              <w:rPr>
                <w:spacing w:val="-2"/>
                <w:sz w:val="22"/>
                <w:szCs w:val="22"/>
              </w:rPr>
              <w:t>差</w:t>
            </w:r>
            <w:r>
              <w:rPr>
                <w:spacing w:val="8"/>
                <w:sz w:val="22"/>
                <w:szCs w:val="22"/>
              </w:rPr>
              <w:t xml:space="preserve"> </w:t>
            </w:r>
            <w:r>
              <w:rPr>
                <w:spacing w:val="-2"/>
                <w:sz w:val="22"/>
                <w:szCs w:val="22"/>
              </w:rPr>
              <w:t>0-4</w:t>
            </w:r>
          </w:p>
        </w:tc>
        <w:tc>
          <w:tcPr>
            <w:tcW w:w="1719" w:type="dxa"/>
            <w:vAlign w:val="top"/>
          </w:tcPr>
          <w:p w14:paraId="0D074B7B">
            <w:pPr>
              <w:pStyle w:val="434"/>
              <w:spacing w:before="75" w:line="220" w:lineRule="auto"/>
              <w:rPr>
                <w:sz w:val="22"/>
                <w:szCs w:val="22"/>
              </w:rPr>
            </w:pPr>
            <w:r>
              <w:rPr>
                <w:spacing w:val="-2"/>
                <w:sz w:val="22"/>
                <w:szCs w:val="22"/>
              </w:rPr>
              <w:t>考核得分：</w:t>
            </w:r>
          </w:p>
        </w:tc>
      </w:tr>
      <w:tr w14:paraId="0A50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834" w:type="dxa"/>
            <w:gridSpan w:val="4"/>
            <w:vAlign w:val="top"/>
          </w:tcPr>
          <w:p w14:paraId="270E52DD">
            <w:pPr>
              <w:pStyle w:val="434"/>
              <w:spacing w:before="72" w:line="219" w:lineRule="auto"/>
              <w:ind w:left="118"/>
              <w:rPr>
                <w:sz w:val="22"/>
                <w:szCs w:val="22"/>
              </w:rPr>
            </w:pPr>
            <w:r>
              <w:rPr>
                <w:spacing w:val="-12"/>
                <w:sz w:val="22"/>
                <w:szCs w:val="22"/>
              </w:rPr>
              <w:t>考 核 科 室</w:t>
            </w:r>
            <w:r>
              <w:rPr>
                <w:spacing w:val="32"/>
                <w:sz w:val="22"/>
                <w:szCs w:val="22"/>
              </w:rPr>
              <w:t xml:space="preserve"> </w:t>
            </w:r>
            <w:r>
              <w:rPr>
                <w:spacing w:val="-12"/>
                <w:sz w:val="22"/>
                <w:szCs w:val="22"/>
              </w:rPr>
              <w:t>：</w:t>
            </w:r>
            <w:r>
              <w:rPr>
                <w:rFonts w:hint="eastAsia"/>
                <w:spacing w:val="-12"/>
                <w:sz w:val="22"/>
                <w:szCs w:val="22"/>
                <w:lang w:val="en-US" w:eastAsia="zh-CN"/>
              </w:rPr>
              <w:t xml:space="preserve">     </w:t>
            </w:r>
            <w:r>
              <w:rPr>
                <w:spacing w:val="-12"/>
                <w:sz w:val="22"/>
                <w:szCs w:val="22"/>
              </w:rPr>
              <w:t xml:space="preserve"> </w:t>
            </w:r>
            <w:r>
              <w:rPr>
                <w:rFonts w:hint="eastAsia"/>
                <w:spacing w:val="-12"/>
                <w:sz w:val="22"/>
                <w:szCs w:val="22"/>
                <w:lang w:val="en-US" w:eastAsia="zh-CN"/>
              </w:rPr>
              <w:t xml:space="preserve">                 </w:t>
            </w:r>
            <w:r>
              <w:rPr>
                <w:spacing w:val="-12"/>
                <w:sz w:val="22"/>
                <w:szCs w:val="22"/>
              </w:rPr>
              <w:t>签 名</w:t>
            </w:r>
            <w:r>
              <w:rPr>
                <w:spacing w:val="13"/>
                <w:sz w:val="22"/>
                <w:szCs w:val="22"/>
              </w:rPr>
              <w:t xml:space="preserve"> </w:t>
            </w:r>
            <w:r>
              <w:rPr>
                <w:spacing w:val="-12"/>
                <w:sz w:val="22"/>
                <w:szCs w:val="22"/>
              </w:rPr>
              <w:t>：</w:t>
            </w:r>
            <w:r>
              <w:rPr>
                <w:rFonts w:hint="eastAsia"/>
                <w:spacing w:val="-12"/>
                <w:sz w:val="22"/>
                <w:szCs w:val="22"/>
                <w:lang w:val="en-US" w:eastAsia="zh-CN"/>
              </w:rPr>
              <w:t xml:space="preserve">                      </w:t>
            </w:r>
            <w:r>
              <w:rPr>
                <w:spacing w:val="36"/>
                <w:sz w:val="22"/>
                <w:szCs w:val="22"/>
              </w:rPr>
              <w:t xml:space="preserve"> </w:t>
            </w:r>
            <w:r>
              <w:rPr>
                <w:spacing w:val="-12"/>
                <w:sz w:val="22"/>
                <w:szCs w:val="22"/>
              </w:rPr>
              <w:t>日 期</w:t>
            </w:r>
            <w:r>
              <w:rPr>
                <w:spacing w:val="16"/>
                <w:sz w:val="22"/>
                <w:szCs w:val="22"/>
              </w:rPr>
              <w:t xml:space="preserve"> </w:t>
            </w:r>
            <w:r>
              <w:rPr>
                <w:spacing w:val="-12"/>
                <w:sz w:val="22"/>
                <w:szCs w:val="22"/>
              </w:rPr>
              <w:t xml:space="preserve">： </w:t>
            </w:r>
            <w:r>
              <w:rPr>
                <w:rFonts w:hint="eastAsia"/>
                <w:spacing w:val="-12"/>
                <w:sz w:val="22"/>
                <w:szCs w:val="22"/>
                <w:lang w:val="en-US" w:eastAsia="zh-CN"/>
              </w:rPr>
              <w:t xml:space="preserve">  </w:t>
            </w:r>
            <w:r>
              <w:rPr>
                <w:spacing w:val="-12"/>
                <w:sz w:val="22"/>
                <w:szCs w:val="22"/>
              </w:rPr>
              <w:t>年</w:t>
            </w:r>
            <w:r>
              <w:rPr>
                <w:rFonts w:hint="eastAsia"/>
                <w:spacing w:val="-12"/>
                <w:sz w:val="22"/>
                <w:szCs w:val="22"/>
                <w:lang w:val="en-US" w:eastAsia="zh-CN"/>
              </w:rPr>
              <w:t xml:space="preserve">  </w:t>
            </w:r>
            <w:r>
              <w:rPr>
                <w:spacing w:val="2"/>
                <w:sz w:val="22"/>
                <w:szCs w:val="22"/>
              </w:rPr>
              <w:t xml:space="preserve"> </w:t>
            </w:r>
            <w:r>
              <w:rPr>
                <w:spacing w:val="-12"/>
                <w:sz w:val="22"/>
                <w:szCs w:val="22"/>
              </w:rPr>
              <w:t>月</w:t>
            </w:r>
            <w:r>
              <w:rPr>
                <w:spacing w:val="32"/>
                <w:sz w:val="22"/>
                <w:szCs w:val="22"/>
              </w:rPr>
              <w:t xml:space="preserve"> </w:t>
            </w:r>
            <w:r>
              <w:rPr>
                <w:rFonts w:hint="eastAsia"/>
                <w:spacing w:val="32"/>
                <w:sz w:val="22"/>
                <w:szCs w:val="22"/>
                <w:lang w:val="en-US" w:eastAsia="zh-CN"/>
              </w:rPr>
              <w:t xml:space="preserve"> </w:t>
            </w:r>
            <w:r>
              <w:rPr>
                <w:spacing w:val="-12"/>
                <w:sz w:val="22"/>
                <w:szCs w:val="22"/>
              </w:rPr>
              <w:t>日</w:t>
            </w:r>
          </w:p>
        </w:tc>
      </w:tr>
    </w:tbl>
    <w:p w14:paraId="2ECE0B48">
      <w:pPr>
        <w:spacing w:line="268" w:lineRule="auto"/>
        <w:rPr>
          <w:rFonts w:ascii="Arial"/>
          <w:sz w:val="21"/>
        </w:rPr>
      </w:pPr>
    </w:p>
    <w:p w14:paraId="079C7548">
      <w:pPr>
        <w:pStyle w:val="31"/>
        <w:spacing w:before="78" w:line="360" w:lineRule="auto"/>
        <w:ind w:left="27" w:right="70" w:firstLine="14"/>
      </w:pPr>
      <w:r>
        <w:rPr>
          <w:spacing w:val="-3"/>
        </w:rPr>
        <w:t>附件四、投标人承诺（需在响应文件中作出如下承诺，并加盖供应商签章，</w:t>
      </w:r>
      <w:r>
        <w:rPr>
          <w:spacing w:val="-1"/>
        </w:rPr>
        <w:t>未提供或内容不完整视为不实质性响应磋商文件，按废标处理）</w:t>
      </w:r>
    </w:p>
    <w:p w14:paraId="4629FF15">
      <w:pPr>
        <w:pStyle w:val="31"/>
        <w:spacing w:line="218" w:lineRule="auto"/>
        <w:ind w:left="3815"/>
      </w:pPr>
      <w:r>
        <w:rPr>
          <w:spacing w:val="-4"/>
        </w:rPr>
        <w:t>承诺书</w:t>
      </w:r>
    </w:p>
    <w:p w14:paraId="7612DE9C">
      <w:pPr>
        <w:pStyle w:val="31"/>
        <w:spacing w:before="184" w:line="219" w:lineRule="auto"/>
        <w:ind w:left="24"/>
      </w:pPr>
      <w:r>
        <w:rPr>
          <w:spacing w:val="-1"/>
        </w:rPr>
        <w:t>若我方一旦中标，承诺如下：</w:t>
      </w:r>
    </w:p>
    <w:p w14:paraId="2BD56842">
      <w:pPr>
        <w:pStyle w:val="31"/>
        <w:spacing w:before="182" w:line="332" w:lineRule="auto"/>
        <w:ind w:left="24" w:right="70" w:firstLine="496"/>
      </w:pPr>
      <w:r>
        <w:t>1、采购人现库存的未使用的所有布类用品按采购人采购价全部</w:t>
      </w:r>
      <w:r>
        <w:rPr>
          <w:spacing w:val="-1"/>
        </w:rPr>
        <w:t>收购，采购</w:t>
      </w:r>
      <w:r>
        <w:rPr>
          <w:spacing w:val="-2"/>
        </w:rPr>
        <w:t>人使用过的所有布类用品(不含窗帘、隔帘)均按采购人采购价的三折全部收购，</w:t>
      </w:r>
      <w:r>
        <w:t>费用在合同期的第一年内分 2 次等额支付。本次合同服务期满，如我方未再中</w:t>
      </w:r>
      <w:r>
        <w:rPr>
          <w:spacing w:val="-2"/>
        </w:rPr>
        <w:t>标，原投入的只适用于采购人的布类用品全部按我方采购价的三折和我方结算，</w:t>
      </w:r>
      <w:r>
        <w:rPr>
          <w:spacing w:val="-1"/>
        </w:rPr>
        <w:t>费用在合同期满后一次性支付。</w:t>
      </w:r>
    </w:p>
    <w:p w14:paraId="44659916">
      <w:pPr>
        <w:pStyle w:val="31"/>
        <w:spacing w:before="182" w:line="219" w:lineRule="auto"/>
        <w:ind w:left="506"/>
      </w:pPr>
      <w:r>
        <w:rPr>
          <w:spacing w:val="-1"/>
        </w:rPr>
        <w:t>2、院区间洁污布类用品运送所需车辆及管理均由我方自行负责。</w:t>
      </w:r>
    </w:p>
    <w:p w14:paraId="783D07B3">
      <w:pPr>
        <w:pStyle w:val="31"/>
        <w:spacing w:before="182" w:line="290" w:lineRule="auto"/>
        <w:ind w:left="25" w:right="25" w:firstLine="482"/>
      </w:pPr>
      <w:r>
        <w:rPr>
          <w:spacing w:val="-11"/>
        </w:rPr>
        <w:t>3、我方按照不低于采购人要求的标准对全部布类用品和枕芯、被絮（</w:t>
      </w:r>
      <w:r>
        <w:rPr>
          <w:spacing w:val="-12"/>
        </w:rPr>
        <w:t>两季）、</w:t>
      </w:r>
      <w:r>
        <w:rPr>
          <w:spacing w:val="-1"/>
        </w:rPr>
        <w:t>垫絮等物资进行足额配备。</w:t>
      </w:r>
    </w:p>
    <w:p w14:paraId="23C0F353">
      <w:pPr>
        <w:pStyle w:val="31"/>
        <w:spacing w:before="185" w:line="313" w:lineRule="auto"/>
        <w:ind w:left="23" w:right="105" w:firstLine="479"/>
      </w:pPr>
      <w:r>
        <w:t>4、投标人所提供的布草质量不得低于院方原来使用布草质量。新投入的床</w:t>
      </w:r>
      <w:r>
        <w:rPr>
          <w:spacing w:val="-3"/>
        </w:rPr>
        <w:t>单元布类用品和工作服的使用周期为两年。本项目要求所有洗涤布草无破损，零</w:t>
      </w:r>
      <w:r>
        <w:rPr>
          <w:spacing w:val="-4"/>
        </w:rPr>
        <w:t>补丁。</w:t>
      </w:r>
    </w:p>
    <w:p w14:paraId="5054A0BF">
      <w:pPr>
        <w:pStyle w:val="31"/>
        <w:spacing w:before="182" w:line="289" w:lineRule="auto"/>
        <w:ind w:left="46" w:right="51" w:firstLine="461"/>
      </w:pPr>
      <w:r>
        <w:t>5、出现重大事故或医患满意率较低时，采购人有权无条件随时单方终止合</w:t>
      </w:r>
      <w:r>
        <w:rPr>
          <w:spacing w:val="-2"/>
        </w:rPr>
        <w:t>同，另行招标，造成不良后果的，采购人将依照法规追究我方法律等相</w:t>
      </w:r>
      <w:r>
        <w:rPr>
          <w:spacing w:val="-3"/>
        </w:rPr>
        <w:t>关责任。</w:t>
      </w:r>
    </w:p>
    <w:p w14:paraId="2C6DDF33">
      <w:pPr>
        <w:pStyle w:val="31"/>
        <w:spacing w:before="184" w:line="313" w:lineRule="auto"/>
        <w:ind w:left="23" w:right="105" w:firstLine="481"/>
      </w:pPr>
      <w:r>
        <w:t>6、本项目成交人所提供的布草经招标方鉴定不能再继续使用的，须立即淘</w:t>
      </w:r>
      <w:r>
        <w:rPr>
          <w:spacing w:val="-3"/>
        </w:rPr>
        <w:t>汰并提供新布草，不得影响招标方使用。本项目要求提供的布草须依照甲方要求</w:t>
      </w:r>
      <w:r>
        <w:rPr>
          <w:spacing w:val="-1"/>
        </w:rPr>
        <w:t>印制相应的标识、字样。</w:t>
      </w:r>
    </w:p>
    <w:p w14:paraId="4795B7AB">
      <w:pPr>
        <w:pStyle w:val="31"/>
        <w:spacing w:before="184" w:line="313" w:lineRule="auto"/>
        <w:ind w:left="16" w:firstLine="493"/>
      </w:pPr>
      <w:r>
        <w:rPr>
          <w:spacing w:val="-7"/>
        </w:rPr>
        <w:t>7 、提供的干净的洗涤布草须满足最新的《医院医用织物洗涤消毒技术规范》</w:t>
      </w:r>
      <w:r>
        <w:t xml:space="preserve"> WS</w:t>
      </w:r>
      <w:r>
        <w:rPr>
          <w:spacing w:val="1"/>
        </w:rPr>
        <w:t>/T508-2016 要求，如经甲方发现</w:t>
      </w:r>
      <w:r>
        <w:t>有不符合质量要求的，该批次所提供布草将</w:t>
      </w:r>
      <w:r>
        <w:rPr>
          <w:spacing w:val="-1"/>
        </w:rPr>
        <w:t>全部退回返洗，并按照合同规定进行处罚。</w:t>
      </w:r>
    </w:p>
    <w:p w14:paraId="2A2E0F14">
      <w:pPr>
        <w:pStyle w:val="31"/>
        <w:spacing w:before="184" w:line="313" w:lineRule="auto"/>
        <w:ind w:left="24" w:right="105" w:firstLine="480"/>
      </w:pPr>
      <w:r>
        <w:rPr>
          <w:spacing w:val="-7"/>
        </w:rPr>
        <w:t>8、我方按时将布料送检报告（每批次）、洗涤剂产品合格证（每批次）、微</w:t>
      </w:r>
      <w:r>
        <w:rPr>
          <w:spacing w:val="-3"/>
        </w:rPr>
        <w:t>生物检测报告（每月一次）等需送至甲方监管部门备案，相关检测结果需得到官</w:t>
      </w:r>
      <w:r>
        <w:rPr>
          <w:spacing w:val="-2"/>
        </w:rPr>
        <w:t>方认可方可有效。</w:t>
      </w:r>
    </w:p>
    <w:p w14:paraId="02C3B5C4">
      <w:pPr>
        <w:pStyle w:val="31"/>
        <w:spacing w:before="183" w:line="289" w:lineRule="auto"/>
        <w:ind w:left="28" w:right="70" w:firstLine="476"/>
      </w:pPr>
      <w:r>
        <w:t>9、在院方下一轮招标采购中我方未能中标时，我方承诺在下一家服务公司</w:t>
      </w:r>
      <w:r>
        <w:rPr>
          <w:spacing w:val="-2"/>
        </w:rPr>
        <w:t>正式进驻运营前会持续向院方提供洗涤租赁服务工作，否则视同我方虚</w:t>
      </w:r>
      <w:r>
        <w:rPr>
          <w:spacing w:val="-3"/>
        </w:rPr>
        <w:t>假响应，</w:t>
      </w:r>
    </w:p>
    <w:p w14:paraId="2E548530">
      <w:pPr>
        <w:pStyle w:val="31"/>
        <w:spacing w:before="184" w:line="219" w:lineRule="auto"/>
        <w:ind w:left="29"/>
      </w:pPr>
      <w:r>
        <w:rPr>
          <w:spacing w:val="-1"/>
        </w:rPr>
        <w:t>并自愿接受相关监督部门任意处罚。</w:t>
      </w:r>
    </w:p>
    <w:p w14:paraId="2E6D6DB5">
      <w:pPr>
        <w:pStyle w:val="31"/>
        <w:spacing w:before="106" w:line="219" w:lineRule="auto"/>
        <w:ind w:left="23"/>
      </w:pPr>
      <w:r>
        <w:rPr>
          <w:spacing w:val="-1"/>
        </w:rPr>
        <w:t>承诺人（名称+签章</w:t>
      </w:r>
      <w:r>
        <w:rPr>
          <w:spacing w:val="-62"/>
          <w:w w:val="97"/>
        </w:rPr>
        <w:t>）：</w:t>
      </w:r>
    </w:p>
    <w:p w14:paraId="41D076AC">
      <w:pPr>
        <w:rPr>
          <w:rFonts w:hint="eastAsia" w:ascii="宋体" w:hAnsi="宋体" w:eastAsia="宋体" w:cs="宋体"/>
          <w:b/>
          <w:bCs/>
          <w:spacing w:val="-3"/>
          <w:sz w:val="24"/>
          <w:szCs w:val="24"/>
        </w:rPr>
      </w:pPr>
    </w:p>
    <w:p w14:paraId="0F06B4F7">
      <w:pPr>
        <w:pStyle w:val="31"/>
        <w:spacing w:before="78" w:line="219" w:lineRule="auto"/>
        <w:ind w:left="3411"/>
        <w:outlineLvl w:val="0"/>
        <w:rPr>
          <w:b/>
          <w:bCs/>
          <w:spacing w:val="-3"/>
          <w:sz w:val="24"/>
          <w:szCs w:val="24"/>
        </w:rPr>
      </w:pPr>
    </w:p>
    <w:p w14:paraId="02F98EE4">
      <w:pPr>
        <w:pStyle w:val="2"/>
        <w:rPr>
          <w:rFonts w:hint="default"/>
          <w:lang w:val="en-US" w:eastAsia="zh-CN"/>
        </w:rPr>
      </w:pPr>
    </w:p>
    <w:p w14:paraId="374097CE">
      <w:pPr>
        <w:rPr>
          <w:highlight w:val="none"/>
        </w:rPr>
      </w:pPr>
    </w:p>
    <w:p w14:paraId="63EEE481">
      <w:pPr>
        <w:rPr>
          <w:highlight w:val="none"/>
        </w:rPr>
      </w:pPr>
    </w:p>
    <w:p w14:paraId="6F7DC533">
      <w:pPr>
        <w:rPr>
          <w:highlight w:val="none"/>
        </w:rPr>
      </w:pPr>
    </w:p>
    <w:p w14:paraId="62073BE2">
      <w:pPr>
        <w:rPr>
          <w:highlight w:val="none"/>
        </w:rPr>
      </w:pPr>
    </w:p>
    <w:p w14:paraId="598343BE">
      <w:pPr>
        <w:rPr>
          <w:highlight w:val="none"/>
        </w:rPr>
      </w:pPr>
    </w:p>
    <w:p w14:paraId="75E639AD">
      <w:pPr>
        <w:rPr>
          <w:highlight w:val="none"/>
        </w:rPr>
      </w:pPr>
    </w:p>
    <w:p w14:paraId="67383C38">
      <w:pPr>
        <w:rPr>
          <w:highlight w:val="none"/>
        </w:rPr>
      </w:pPr>
    </w:p>
    <w:p w14:paraId="58E1F05C">
      <w:pPr>
        <w:rPr>
          <w:highlight w:val="none"/>
        </w:rPr>
      </w:pPr>
    </w:p>
    <w:p w14:paraId="3D0EFB51">
      <w:pPr>
        <w:rPr>
          <w:highlight w:val="none"/>
        </w:rPr>
      </w:pPr>
    </w:p>
    <w:p w14:paraId="0B558884">
      <w:pPr>
        <w:rPr>
          <w:highlight w:val="none"/>
        </w:rPr>
      </w:pPr>
    </w:p>
    <w:p w14:paraId="5CD1F284">
      <w:pPr>
        <w:rPr>
          <w:highlight w:val="none"/>
        </w:rPr>
      </w:pPr>
    </w:p>
    <w:p w14:paraId="72717148">
      <w:pPr>
        <w:rPr>
          <w:highlight w:val="none"/>
        </w:rPr>
      </w:pPr>
    </w:p>
    <w:p w14:paraId="082B8FFC">
      <w:pPr>
        <w:rPr>
          <w:highlight w:val="none"/>
        </w:rPr>
      </w:pPr>
    </w:p>
    <w:p w14:paraId="049CE660">
      <w:pPr>
        <w:rPr>
          <w:highlight w:val="none"/>
        </w:rPr>
      </w:pPr>
    </w:p>
    <w:p w14:paraId="0F38EF6D">
      <w:pPr>
        <w:rPr>
          <w:highlight w:val="none"/>
        </w:rPr>
      </w:pPr>
    </w:p>
    <w:p w14:paraId="23681E59">
      <w:pPr>
        <w:rPr>
          <w:highlight w:val="none"/>
        </w:rPr>
      </w:pPr>
    </w:p>
    <w:p w14:paraId="4307AF47">
      <w:pPr>
        <w:rPr>
          <w:highlight w:val="none"/>
        </w:rPr>
      </w:pPr>
    </w:p>
    <w:p w14:paraId="40A95722">
      <w:pPr>
        <w:rPr>
          <w:highlight w:val="none"/>
        </w:rPr>
      </w:pPr>
    </w:p>
    <w:p w14:paraId="0852C69E">
      <w:pPr>
        <w:rPr>
          <w:highlight w:val="none"/>
        </w:rPr>
      </w:pPr>
    </w:p>
    <w:p w14:paraId="464E7A8B">
      <w:pPr>
        <w:rPr>
          <w:highlight w:val="none"/>
        </w:rPr>
      </w:pPr>
    </w:p>
    <w:p w14:paraId="334A35FA">
      <w:pPr>
        <w:rPr>
          <w:highlight w:val="none"/>
        </w:rPr>
      </w:pPr>
    </w:p>
    <w:p w14:paraId="0CDCCC07">
      <w:pPr>
        <w:rPr>
          <w:highlight w:val="none"/>
        </w:rPr>
      </w:pPr>
    </w:p>
    <w:p w14:paraId="35C159C7">
      <w:pPr>
        <w:rPr>
          <w:highlight w:val="none"/>
        </w:rPr>
      </w:pPr>
    </w:p>
    <w:p w14:paraId="6B91B41A">
      <w:pPr>
        <w:rPr>
          <w:highlight w:val="none"/>
        </w:rPr>
      </w:pPr>
    </w:p>
    <w:p w14:paraId="7BFEBB14">
      <w:pPr>
        <w:rPr>
          <w:highlight w:val="none"/>
        </w:rPr>
      </w:pPr>
    </w:p>
    <w:p w14:paraId="0CCB0CA2">
      <w:pPr>
        <w:rPr>
          <w:highlight w:val="none"/>
        </w:rPr>
      </w:pPr>
    </w:p>
    <w:p w14:paraId="684BF02F">
      <w:pPr>
        <w:pStyle w:val="73"/>
        <w:ind w:left="0" w:leftChars="0" w:firstLine="0" w:firstLineChars="0"/>
        <w:rPr>
          <w:highlight w:val="none"/>
        </w:rPr>
      </w:pPr>
    </w:p>
    <w:p w14:paraId="36DB583F">
      <w:pPr>
        <w:pStyle w:val="73"/>
        <w:rPr>
          <w:highlight w:val="none"/>
        </w:rPr>
      </w:pPr>
    </w:p>
    <w:p w14:paraId="6C211C5E">
      <w:pPr>
        <w:pStyle w:val="73"/>
        <w:rPr>
          <w:highlight w:val="none"/>
        </w:rPr>
      </w:pPr>
    </w:p>
    <w:p w14:paraId="4BD4F758">
      <w:pPr>
        <w:autoSpaceDE w:val="0"/>
        <w:autoSpaceDN w:val="0"/>
        <w:adjustRightInd w:val="0"/>
        <w:snapToGrid w:val="0"/>
        <w:spacing w:after="156" w:afterLines="50"/>
        <w:jc w:val="center"/>
        <w:outlineLvl w:val="0"/>
        <w:rPr>
          <w:rFonts w:hint="eastAsia" w:ascii="宋体" w:hAnsi="宋体" w:cs="黑体"/>
          <w:kern w:val="0"/>
          <w:sz w:val="32"/>
          <w:szCs w:val="32"/>
          <w:highlight w:val="none"/>
        </w:rPr>
      </w:pPr>
      <w:bookmarkStart w:id="89" w:name="_Toc16841"/>
      <w:r>
        <w:rPr>
          <w:rFonts w:hint="eastAsia" w:ascii="宋体" w:hAnsi="宋体" w:cs="黑体"/>
          <w:kern w:val="0"/>
          <w:sz w:val="32"/>
          <w:szCs w:val="32"/>
          <w:highlight w:val="none"/>
        </w:rPr>
        <w:t>第六章 响应文件格式</w:t>
      </w:r>
      <w:bookmarkEnd w:id="89"/>
    </w:p>
    <w:p w14:paraId="6CB550AE">
      <w:pPr>
        <w:spacing w:line="360" w:lineRule="auto"/>
        <w:outlineLvl w:val="1"/>
        <w:rPr>
          <w:b/>
          <w:sz w:val="30"/>
          <w:szCs w:val="30"/>
          <w:highlight w:val="none"/>
        </w:rPr>
      </w:pPr>
      <w:bookmarkStart w:id="90" w:name="_Toc350418253"/>
      <w:bookmarkStart w:id="91" w:name="_Toc327276295"/>
      <w:bookmarkStart w:id="92" w:name="_Toc2190"/>
      <w:bookmarkStart w:id="93" w:name="_Toc332094984"/>
      <w:bookmarkStart w:id="94" w:name="_Toc414445763"/>
      <w:bookmarkStart w:id="95" w:name="_Toc23024"/>
      <w:bookmarkStart w:id="96" w:name="_Toc298458725"/>
      <w:bookmarkStart w:id="97" w:name="_Toc416103813"/>
      <w:bookmarkStart w:id="98" w:name="_Toc298745568"/>
      <w:bookmarkStart w:id="99" w:name="_Toc298745650"/>
      <w:bookmarkStart w:id="100" w:name="_Toc410631171"/>
      <w:bookmarkStart w:id="101" w:name="_Toc298434528"/>
      <w:bookmarkStart w:id="102" w:name="_Toc298434671"/>
      <w:r>
        <w:rPr>
          <w:b/>
          <w:sz w:val="30"/>
          <w:szCs w:val="30"/>
          <w:highlight w:val="none"/>
        </w:rPr>
        <w:t>评</w:t>
      </w:r>
      <w:r>
        <w:rPr>
          <w:rFonts w:hint="eastAsia"/>
          <w:b/>
          <w:sz w:val="30"/>
          <w:szCs w:val="30"/>
          <w:highlight w:val="none"/>
        </w:rPr>
        <w:t>审</w:t>
      </w:r>
      <w:r>
        <w:rPr>
          <w:b/>
          <w:sz w:val="30"/>
          <w:szCs w:val="30"/>
          <w:highlight w:val="none"/>
        </w:rPr>
        <w:t>索引</w:t>
      </w:r>
      <w:bookmarkEnd w:id="90"/>
      <w:bookmarkEnd w:id="91"/>
      <w:bookmarkEnd w:id="92"/>
      <w:bookmarkEnd w:id="93"/>
      <w:bookmarkEnd w:id="94"/>
      <w:bookmarkEnd w:id="95"/>
      <w:bookmarkEnd w:id="96"/>
      <w:bookmarkEnd w:id="97"/>
      <w:bookmarkEnd w:id="98"/>
      <w:bookmarkEnd w:id="99"/>
      <w:bookmarkEnd w:id="100"/>
      <w:bookmarkEnd w:id="101"/>
      <w:bookmarkEnd w:id="102"/>
    </w:p>
    <w:tbl>
      <w:tblPr>
        <w:tblStyle w:val="7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14:paraId="54F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5A44F4">
            <w:pPr>
              <w:snapToGrid w:val="0"/>
              <w:jc w:val="center"/>
              <w:rPr>
                <w:rFonts w:ascii="宋体"/>
                <w:szCs w:val="21"/>
                <w:highlight w:val="none"/>
              </w:rPr>
            </w:pPr>
            <w:r>
              <w:rPr>
                <w:rFonts w:hint="eastAsia" w:ascii="宋体"/>
                <w:szCs w:val="21"/>
                <w:highlight w:val="none"/>
              </w:rPr>
              <w:t>序号</w:t>
            </w:r>
          </w:p>
        </w:tc>
        <w:tc>
          <w:tcPr>
            <w:tcW w:w="1722" w:type="dxa"/>
            <w:vAlign w:val="center"/>
          </w:tcPr>
          <w:p w14:paraId="268FB1A1">
            <w:pPr>
              <w:snapToGrid w:val="0"/>
              <w:jc w:val="center"/>
              <w:rPr>
                <w:rFonts w:ascii="宋体"/>
                <w:szCs w:val="21"/>
                <w:highlight w:val="none"/>
              </w:rPr>
            </w:pPr>
            <w:r>
              <w:rPr>
                <w:rFonts w:hint="eastAsia" w:ascii="宋体"/>
                <w:szCs w:val="21"/>
                <w:highlight w:val="none"/>
              </w:rPr>
              <w:t>评审办法条款号</w:t>
            </w:r>
          </w:p>
        </w:tc>
        <w:tc>
          <w:tcPr>
            <w:tcW w:w="4536" w:type="dxa"/>
            <w:vAlign w:val="center"/>
          </w:tcPr>
          <w:p w14:paraId="291DE3D1">
            <w:pPr>
              <w:snapToGrid w:val="0"/>
              <w:jc w:val="center"/>
              <w:rPr>
                <w:rFonts w:ascii="宋体"/>
                <w:szCs w:val="21"/>
                <w:highlight w:val="none"/>
              </w:rPr>
            </w:pPr>
            <w:r>
              <w:rPr>
                <w:rFonts w:hint="eastAsia" w:ascii="宋体"/>
                <w:szCs w:val="21"/>
                <w:highlight w:val="none"/>
              </w:rPr>
              <w:t>评标办法要求</w:t>
            </w:r>
          </w:p>
        </w:tc>
        <w:tc>
          <w:tcPr>
            <w:tcW w:w="1843" w:type="dxa"/>
            <w:vAlign w:val="center"/>
          </w:tcPr>
          <w:p w14:paraId="32035179">
            <w:pPr>
              <w:snapToGrid w:val="0"/>
              <w:jc w:val="center"/>
              <w:rPr>
                <w:rFonts w:ascii="宋体"/>
                <w:szCs w:val="21"/>
                <w:highlight w:val="none"/>
              </w:rPr>
            </w:pPr>
            <w:r>
              <w:rPr>
                <w:rFonts w:hint="eastAsia" w:ascii="宋体"/>
                <w:szCs w:val="21"/>
                <w:highlight w:val="none"/>
              </w:rPr>
              <w:t>响应文件对应内容的册及页码</w:t>
            </w:r>
          </w:p>
        </w:tc>
      </w:tr>
      <w:tr w14:paraId="33B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56EAE585">
            <w:pPr>
              <w:snapToGrid w:val="0"/>
              <w:jc w:val="center"/>
              <w:rPr>
                <w:rFonts w:ascii="宋体"/>
                <w:szCs w:val="21"/>
                <w:highlight w:val="none"/>
              </w:rPr>
            </w:pPr>
            <w:r>
              <w:rPr>
                <w:rFonts w:hint="eastAsia" w:ascii="宋体"/>
                <w:szCs w:val="21"/>
                <w:highlight w:val="none"/>
              </w:rPr>
              <w:t>一</w:t>
            </w:r>
          </w:p>
        </w:tc>
        <w:tc>
          <w:tcPr>
            <w:tcW w:w="1722" w:type="dxa"/>
            <w:vAlign w:val="center"/>
          </w:tcPr>
          <w:p w14:paraId="54AC0B9A">
            <w:pPr>
              <w:snapToGrid w:val="0"/>
              <w:jc w:val="center"/>
              <w:rPr>
                <w:rFonts w:ascii="宋体"/>
                <w:szCs w:val="21"/>
                <w:highlight w:val="none"/>
              </w:rPr>
            </w:pPr>
            <w:r>
              <w:rPr>
                <w:rFonts w:hint="eastAsia" w:ascii="宋体"/>
                <w:szCs w:val="21"/>
                <w:highlight w:val="none"/>
              </w:rPr>
              <w:t>资格审查</w:t>
            </w:r>
          </w:p>
        </w:tc>
        <w:tc>
          <w:tcPr>
            <w:tcW w:w="4536" w:type="dxa"/>
            <w:vAlign w:val="center"/>
          </w:tcPr>
          <w:p w14:paraId="33E688DA">
            <w:pPr>
              <w:snapToGrid w:val="0"/>
              <w:jc w:val="center"/>
              <w:rPr>
                <w:rFonts w:ascii="宋体"/>
                <w:szCs w:val="21"/>
                <w:highlight w:val="none"/>
              </w:rPr>
            </w:pPr>
          </w:p>
        </w:tc>
        <w:tc>
          <w:tcPr>
            <w:tcW w:w="1843" w:type="dxa"/>
            <w:vAlign w:val="center"/>
          </w:tcPr>
          <w:p w14:paraId="0BD8CC1D">
            <w:pPr>
              <w:snapToGrid w:val="0"/>
              <w:ind w:firstLine="480"/>
              <w:jc w:val="center"/>
              <w:rPr>
                <w:rFonts w:ascii="宋体"/>
                <w:szCs w:val="21"/>
                <w:highlight w:val="none"/>
              </w:rPr>
            </w:pPr>
          </w:p>
        </w:tc>
      </w:tr>
      <w:tr w14:paraId="12F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FF2A03E">
            <w:pPr>
              <w:snapToGrid w:val="0"/>
              <w:jc w:val="center"/>
              <w:rPr>
                <w:rFonts w:ascii="宋体"/>
                <w:szCs w:val="21"/>
                <w:highlight w:val="none"/>
              </w:rPr>
            </w:pPr>
            <w:r>
              <w:rPr>
                <w:rFonts w:hint="eastAsia" w:ascii="宋体"/>
                <w:szCs w:val="21"/>
                <w:highlight w:val="none"/>
              </w:rPr>
              <w:t>1</w:t>
            </w:r>
          </w:p>
        </w:tc>
        <w:tc>
          <w:tcPr>
            <w:tcW w:w="1722" w:type="dxa"/>
            <w:vAlign w:val="center"/>
          </w:tcPr>
          <w:p w14:paraId="531433C2">
            <w:pPr>
              <w:snapToGrid w:val="0"/>
              <w:jc w:val="center"/>
              <w:rPr>
                <w:rFonts w:ascii="宋体"/>
                <w:szCs w:val="21"/>
                <w:highlight w:val="none"/>
              </w:rPr>
            </w:pPr>
          </w:p>
        </w:tc>
        <w:tc>
          <w:tcPr>
            <w:tcW w:w="4536" w:type="dxa"/>
            <w:vAlign w:val="center"/>
          </w:tcPr>
          <w:p w14:paraId="04D3E22D">
            <w:pPr>
              <w:snapToGrid w:val="0"/>
              <w:jc w:val="center"/>
              <w:rPr>
                <w:rFonts w:ascii="宋体"/>
                <w:szCs w:val="21"/>
                <w:highlight w:val="none"/>
              </w:rPr>
            </w:pPr>
          </w:p>
        </w:tc>
        <w:tc>
          <w:tcPr>
            <w:tcW w:w="1843" w:type="dxa"/>
            <w:vAlign w:val="center"/>
          </w:tcPr>
          <w:p w14:paraId="49FCB600">
            <w:pPr>
              <w:snapToGrid w:val="0"/>
              <w:ind w:firstLine="480"/>
              <w:jc w:val="center"/>
              <w:rPr>
                <w:rFonts w:ascii="宋体"/>
                <w:szCs w:val="21"/>
                <w:highlight w:val="none"/>
              </w:rPr>
            </w:pPr>
          </w:p>
        </w:tc>
      </w:tr>
      <w:tr w14:paraId="6AF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617A925">
            <w:pPr>
              <w:snapToGrid w:val="0"/>
              <w:jc w:val="center"/>
              <w:rPr>
                <w:rFonts w:ascii="宋体"/>
                <w:szCs w:val="21"/>
                <w:highlight w:val="none"/>
              </w:rPr>
            </w:pPr>
            <w:r>
              <w:rPr>
                <w:rFonts w:hint="eastAsia" w:ascii="宋体"/>
                <w:szCs w:val="21"/>
                <w:highlight w:val="none"/>
              </w:rPr>
              <w:t>2</w:t>
            </w:r>
          </w:p>
        </w:tc>
        <w:tc>
          <w:tcPr>
            <w:tcW w:w="1722" w:type="dxa"/>
            <w:vAlign w:val="center"/>
          </w:tcPr>
          <w:p w14:paraId="0E2BDF17">
            <w:pPr>
              <w:snapToGrid w:val="0"/>
              <w:jc w:val="center"/>
              <w:rPr>
                <w:rFonts w:ascii="宋体"/>
                <w:szCs w:val="21"/>
                <w:highlight w:val="none"/>
              </w:rPr>
            </w:pPr>
          </w:p>
        </w:tc>
        <w:tc>
          <w:tcPr>
            <w:tcW w:w="4536" w:type="dxa"/>
            <w:vAlign w:val="center"/>
          </w:tcPr>
          <w:p w14:paraId="4D4102B2">
            <w:pPr>
              <w:snapToGrid w:val="0"/>
              <w:jc w:val="center"/>
              <w:rPr>
                <w:rFonts w:ascii="宋体"/>
                <w:szCs w:val="21"/>
                <w:highlight w:val="none"/>
              </w:rPr>
            </w:pPr>
          </w:p>
        </w:tc>
        <w:tc>
          <w:tcPr>
            <w:tcW w:w="1843" w:type="dxa"/>
            <w:vAlign w:val="center"/>
          </w:tcPr>
          <w:p w14:paraId="3E899084">
            <w:pPr>
              <w:snapToGrid w:val="0"/>
              <w:ind w:firstLine="480"/>
              <w:jc w:val="center"/>
              <w:rPr>
                <w:rFonts w:ascii="宋体"/>
                <w:szCs w:val="21"/>
                <w:highlight w:val="none"/>
              </w:rPr>
            </w:pPr>
          </w:p>
        </w:tc>
      </w:tr>
      <w:tr w14:paraId="34E2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52045ED">
            <w:pPr>
              <w:snapToGrid w:val="0"/>
              <w:jc w:val="center"/>
              <w:rPr>
                <w:rFonts w:ascii="宋体"/>
                <w:szCs w:val="21"/>
                <w:highlight w:val="none"/>
              </w:rPr>
            </w:pPr>
            <w:r>
              <w:rPr>
                <w:rFonts w:hint="eastAsia" w:ascii="宋体"/>
                <w:szCs w:val="21"/>
                <w:highlight w:val="none"/>
              </w:rPr>
              <w:t>...</w:t>
            </w:r>
          </w:p>
        </w:tc>
        <w:tc>
          <w:tcPr>
            <w:tcW w:w="1722" w:type="dxa"/>
            <w:vAlign w:val="center"/>
          </w:tcPr>
          <w:p w14:paraId="5145CB85">
            <w:pPr>
              <w:snapToGrid w:val="0"/>
              <w:jc w:val="center"/>
              <w:rPr>
                <w:rFonts w:ascii="宋体"/>
                <w:szCs w:val="21"/>
                <w:highlight w:val="none"/>
              </w:rPr>
            </w:pPr>
          </w:p>
        </w:tc>
        <w:tc>
          <w:tcPr>
            <w:tcW w:w="4536" w:type="dxa"/>
            <w:vAlign w:val="center"/>
          </w:tcPr>
          <w:p w14:paraId="5AD4F792">
            <w:pPr>
              <w:snapToGrid w:val="0"/>
              <w:jc w:val="center"/>
              <w:rPr>
                <w:rFonts w:ascii="宋体"/>
                <w:szCs w:val="21"/>
                <w:highlight w:val="none"/>
              </w:rPr>
            </w:pPr>
          </w:p>
        </w:tc>
        <w:tc>
          <w:tcPr>
            <w:tcW w:w="1843" w:type="dxa"/>
            <w:vAlign w:val="center"/>
          </w:tcPr>
          <w:p w14:paraId="1B42D9D3">
            <w:pPr>
              <w:snapToGrid w:val="0"/>
              <w:ind w:firstLine="480"/>
              <w:jc w:val="center"/>
              <w:rPr>
                <w:rFonts w:ascii="宋体"/>
                <w:szCs w:val="21"/>
                <w:highlight w:val="none"/>
              </w:rPr>
            </w:pPr>
          </w:p>
        </w:tc>
      </w:tr>
      <w:tr w14:paraId="559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9467052">
            <w:pPr>
              <w:snapToGrid w:val="0"/>
              <w:jc w:val="center"/>
              <w:rPr>
                <w:rFonts w:ascii="宋体"/>
                <w:szCs w:val="21"/>
                <w:highlight w:val="none"/>
              </w:rPr>
            </w:pPr>
            <w:r>
              <w:rPr>
                <w:rFonts w:hint="eastAsia" w:ascii="宋体"/>
                <w:szCs w:val="21"/>
                <w:highlight w:val="none"/>
              </w:rPr>
              <w:t>二</w:t>
            </w:r>
          </w:p>
        </w:tc>
        <w:tc>
          <w:tcPr>
            <w:tcW w:w="1722" w:type="dxa"/>
            <w:vAlign w:val="center"/>
          </w:tcPr>
          <w:p w14:paraId="78A2BCA1">
            <w:pPr>
              <w:snapToGrid w:val="0"/>
              <w:jc w:val="center"/>
              <w:rPr>
                <w:rFonts w:ascii="宋体"/>
                <w:szCs w:val="21"/>
                <w:highlight w:val="none"/>
              </w:rPr>
            </w:pPr>
            <w:r>
              <w:rPr>
                <w:rFonts w:hint="eastAsia" w:ascii="宋体"/>
                <w:szCs w:val="21"/>
                <w:highlight w:val="none"/>
              </w:rPr>
              <w:t>符合性审查</w:t>
            </w:r>
          </w:p>
        </w:tc>
        <w:tc>
          <w:tcPr>
            <w:tcW w:w="4536" w:type="dxa"/>
            <w:vAlign w:val="center"/>
          </w:tcPr>
          <w:p w14:paraId="6A94320F">
            <w:pPr>
              <w:snapToGrid w:val="0"/>
              <w:jc w:val="center"/>
              <w:rPr>
                <w:rFonts w:ascii="宋体"/>
                <w:szCs w:val="21"/>
                <w:highlight w:val="none"/>
              </w:rPr>
            </w:pPr>
          </w:p>
        </w:tc>
        <w:tc>
          <w:tcPr>
            <w:tcW w:w="1843" w:type="dxa"/>
            <w:vAlign w:val="center"/>
          </w:tcPr>
          <w:p w14:paraId="09FB58BF">
            <w:pPr>
              <w:snapToGrid w:val="0"/>
              <w:ind w:firstLine="480"/>
              <w:jc w:val="center"/>
              <w:rPr>
                <w:rFonts w:ascii="宋体"/>
                <w:szCs w:val="21"/>
                <w:highlight w:val="none"/>
              </w:rPr>
            </w:pPr>
          </w:p>
        </w:tc>
      </w:tr>
      <w:tr w14:paraId="6A0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0D940E">
            <w:pPr>
              <w:snapToGrid w:val="0"/>
              <w:jc w:val="center"/>
              <w:rPr>
                <w:rFonts w:ascii="宋体"/>
                <w:szCs w:val="21"/>
                <w:highlight w:val="none"/>
              </w:rPr>
            </w:pPr>
            <w:r>
              <w:rPr>
                <w:rFonts w:hint="eastAsia" w:ascii="宋体"/>
                <w:szCs w:val="21"/>
                <w:highlight w:val="none"/>
              </w:rPr>
              <w:t>1</w:t>
            </w:r>
          </w:p>
        </w:tc>
        <w:tc>
          <w:tcPr>
            <w:tcW w:w="1722" w:type="dxa"/>
            <w:vAlign w:val="center"/>
          </w:tcPr>
          <w:p w14:paraId="7D611E63">
            <w:pPr>
              <w:snapToGrid w:val="0"/>
              <w:jc w:val="center"/>
              <w:rPr>
                <w:rFonts w:ascii="宋体"/>
                <w:szCs w:val="21"/>
                <w:highlight w:val="none"/>
              </w:rPr>
            </w:pPr>
          </w:p>
        </w:tc>
        <w:tc>
          <w:tcPr>
            <w:tcW w:w="4536" w:type="dxa"/>
            <w:vAlign w:val="center"/>
          </w:tcPr>
          <w:p w14:paraId="55B37BB3">
            <w:pPr>
              <w:snapToGrid w:val="0"/>
              <w:jc w:val="center"/>
              <w:rPr>
                <w:rFonts w:ascii="宋体"/>
                <w:szCs w:val="21"/>
                <w:highlight w:val="none"/>
              </w:rPr>
            </w:pPr>
          </w:p>
        </w:tc>
        <w:tc>
          <w:tcPr>
            <w:tcW w:w="1843" w:type="dxa"/>
            <w:vAlign w:val="center"/>
          </w:tcPr>
          <w:p w14:paraId="0E9201E3">
            <w:pPr>
              <w:snapToGrid w:val="0"/>
              <w:ind w:firstLine="480"/>
              <w:jc w:val="center"/>
              <w:rPr>
                <w:rFonts w:ascii="宋体"/>
                <w:szCs w:val="21"/>
                <w:highlight w:val="none"/>
              </w:rPr>
            </w:pPr>
          </w:p>
        </w:tc>
      </w:tr>
      <w:tr w14:paraId="04B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8A8076">
            <w:pPr>
              <w:snapToGrid w:val="0"/>
              <w:jc w:val="center"/>
              <w:rPr>
                <w:rFonts w:ascii="宋体"/>
                <w:szCs w:val="21"/>
                <w:highlight w:val="none"/>
              </w:rPr>
            </w:pPr>
            <w:r>
              <w:rPr>
                <w:rFonts w:hint="eastAsia" w:ascii="宋体"/>
                <w:szCs w:val="21"/>
                <w:highlight w:val="none"/>
              </w:rPr>
              <w:t>2</w:t>
            </w:r>
          </w:p>
        </w:tc>
        <w:tc>
          <w:tcPr>
            <w:tcW w:w="1722" w:type="dxa"/>
            <w:vAlign w:val="center"/>
          </w:tcPr>
          <w:p w14:paraId="69FA5477">
            <w:pPr>
              <w:snapToGrid w:val="0"/>
              <w:jc w:val="center"/>
              <w:rPr>
                <w:rFonts w:ascii="宋体"/>
                <w:szCs w:val="21"/>
                <w:highlight w:val="none"/>
              </w:rPr>
            </w:pPr>
          </w:p>
        </w:tc>
        <w:tc>
          <w:tcPr>
            <w:tcW w:w="4536" w:type="dxa"/>
            <w:vAlign w:val="center"/>
          </w:tcPr>
          <w:p w14:paraId="490DB3BD">
            <w:pPr>
              <w:snapToGrid w:val="0"/>
              <w:jc w:val="center"/>
              <w:rPr>
                <w:rFonts w:ascii="宋体"/>
                <w:szCs w:val="21"/>
                <w:highlight w:val="none"/>
              </w:rPr>
            </w:pPr>
          </w:p>
        </w:tc>
        <w:tc>
          <w:tcPr>
            <w:tcW w:w="1843" w:type="dxa"/>
            <w:vAlign w:val="center"/>
          </w:tcPr>
          <w:p w14:paraId="6483B4CE">
            <w:pPr>
              <w:snapToGrid w:val="0"/>
              <w:ind w:firstLine="480"/>
              <w:jc w:val="center"/>
              <w:rPr>
                <w:rFonts w:ascii="宋体"/>
                <w:szCs w:val="21"/>
                <w:highlight w:val="none"/>
              </w:rPr>
            </w:pPr>
          </w:p>
        </w:tc>
      </w:tr>
      <w:tr w14:paraId="2EB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8F0C80C">
            <w:pPr>
              <w:snapToGrid w:val="0"/>
              <w:jc w:val="center"/>
              <w:rPr>
                <w:rFonts w:ascii="宋体"/>
                <w:szCs w:val="21"/>
                <w:highlight w:val="none"/>
              </w:rPr>
            </w:pPr>
            <w:r>
              <w:rPr>
                <w:rFonts w:hint="eastAsia" w:ascii="宋体"/>
                <w:szCs w:val="21"/>
                <w:highlight w:val="none"/>
              </w:rPr>
              <w:t>...</w:t>
            </w:r>
          </w:p>
        </w:tc>
        <w:tc>
          <w:tcPr>
            <w:tcW w:w="1722" w:type="dxa"/>
            <w:vAlign w:val="center"/>
          </w:tcPr>
          <w:p w14:paraId="1701FAFC">
            <w:pPr>
              <w:snapToGrid w:val="0"/>
              <w:jc w:val="center"/>
              <w:rPr>
                <w:rFonts w:ascii="宋体"/>
                <w:szCs w:val="21"/>
                <w:highlight w:val="none"/>
              </w:rPr>
            </w:pPr>
          </w:p>
        </w:tc>
        <w:tc>
          <w:tcPr>
            <w:tcW w:w="4536" w:type="dxa"/>
            <w:vAlign w:val="center"/>
          </w:tcPr>
          <w:p w14:paraId="1A2BB69B">
            <w:pPr>
              <w:snapToGrid w:val="0"/>
              <w:jc w:val="center"/>
              <w:rPr>
                <w:rFonts w:ascii="宋体"/>
                <w:szCs w:val="21"/>
                <w:highlight w:val="none"/>
              </w:rPr>
            </w:pPr>
          </w:p>
        </w:tc>
        <w:tc>
          <w:tcPr>
            <w:tcW w:w="1843" w:type="dxa"/>
            <w:vAlign w:val="center"/>
          </w:tcPr>
          <w:p w14:paraId="6250EF07">
            <w:pPr>
              <w:snapToGrid w:val="0"/>
              <w:ind w:firstLine="480"/>
              <w:jc w:val="center"/>
              <w:rPr>
                <w:rFonts w:ascii="宋体"/>
                <w:szCs w:val="21"/>
                <w:highlight w:val="none"/>
              </w:rPr>
            </w:pPr>
          </w:p>
        </w:tc>
      </w:tr>
      <w:tr w14:paraId="2BA9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3BB53F">
            <w:pPr>
              <w:snapToGrid w:val="0"/>
              <w:jc w:val="center"/>
              <w:rPr>
                <w:rFonts w:hint="eastAsia" w:ascii="宋体" w:eastAsia="宋体"/>
                <w:szCs w:val="21"/>
                <w:highlight w:val="none"/>
                <w:lang w:val="en-US" w:eastAsia="zh-CN"/>
              </w:rPr>
            </w:pPr>
            <w:r>
              <w:rPr>
                <w:rFonts w:hint="eastAsia" w:ascii="宋体"/>
                <w:szCs w:val="21"/>
                <w:highlight w:val="none"/>
                <w:lang w:val="en-US" w:eastAsia="zh-CN"/>
              </w:rPr>
              <w:t>三</w:t>
            </w:r>
          </w:p>
        </w:tc>
        <w:tc>
          <w:tcPr>
            <w:tcW w:w="1722" w:type="dxa"/>
            <w:vAlign w:val="center"/>
          </w:tcPr>
          <w:p w14:paraId="5FF52FC8">
            <w:pPr>
              <w:snapToGrid w:val="0"/>
              <w:jc w:val="center"/>
              <w:rPr>
                <w:rFonts w:hint="eastAsia" w:ascii="宋体"/>
                <w:szCs w:val="21"/>
                <w:highlight w:val="none"/>
                <w:lang w:val="en-US" w:eastAsia="zh-CN"/>
              </w:rPr>
            </w:pPr>
            <w:r>
              <w:rPr>
                <w:rFonts w:hint="eastAsia" w:ascii="宋体"/>
                <w:szCs w:val="21"/>
                <w:highlight w:val="none"/>
              </w:rPr>
              <w:t>商务和技术</w:t>
            </w:r>
            <w:r>
              <w:rPr>
                <w:rFonts w:hint="eastAsia" w:ascii="宋体"/>
                <w:szCs w:val="21"/>
                <w:highlight w:val="none"/>
                <w:lang w:val="en-US" w:eastAsia="zh-CN"/>
              </w:rPr>
              <w:t>审查</w:t>
            </w:r>
          </w:p>
        </w:tc>
        <w:tc>
          <w:tcPr>
            <w:tcW w:w="4536" w:type="dxa"/>
            <w:vAlign w:val="center"/>
          </w:tcPr>
          <w:p w14:paraId="51094AD8">
            <w:pPr>
              <w:snapToGrid w:val="0"/>
              <w:jc w:val="center"/>
              <w:rPr>
                <w:rFonts w:hint="eastAsia" w:ascii="宋体"/>
                <w:szCs w:val="21"/>
                <w:highlight w:val="none"/>
              </w:rPr>
            </w:pPr>
          </w:p>
        </w:tc>
        <w:tc>
          <w:tcPr>
            <w:tcW w:w="1843" w:type="dxa"/>
            <w:vAlign w:val="center"/>
          </w:tcPr>
          <w:p w14:paraId="688A41E2">
            <w:pPr>
              <w:snapToGrid w:val="0"/>
              <w:ind w:firstLine="480"/>
              <w:jc w:val="center"/>
              <w:rPr>
                <w:rFonts w:ascii="宋体"/>
                <w:szCs w:val="21"/>
                <w:highlight w:val="none"/>
              </w:rPr>
            </w:pPr>
          </w:p>
        </w:tc>
      </w:tr>
      <w:tr w14:paraId="30E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D0F084F">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1</w:t>
            </w:r>
          </w:p>
        </w:tc>
        <w:tc>
          <w:tcPr>
            <w:tcW w:w="1722" w:type="dxa"/>
            <w:vAlign w:val="center"/>
          </w:tcPr>
          <w:p w14:paraId="7CC6C5AF">
            <w:pPr>
              <w:snapToGrid w:val="0"/>
              <w:jc w:val="center"/>
              <w:rPr>
                <w:rFonts w:hint="eastAsia" w:ascii="宋体"/>
                <w:szCs w:val="21"/>
                <w:highlight w:val="none"/>
              </w:rPr>
            </w:pPr>
          </w:p>
        </w:tc>
        <w:tc>
          <w:tcPr>
            <w:tcW w:w="4536" w:type="dxa"/>
            <w:vAlign w:val="center"/>
          </w:tcPr>
          <w:p w14:paraId="31816690">
            <w:pPr>
              <w:snapToGrid w:val="0"/>
              <w:jc w:val="center"/>
              <w:rPr>
                <w:rFonts w:hint="eastAsia" w:ascii="宋体"/>
                <w:szCs w:val="21"/>
                <w:highlight w:val="none"/>
              </w:rPr>
            </w:pPr>
          </w:p>
        </w:tc>
        <w:tc>
          <w:tcPr>
            <w:tcW w:w="1843" w:type="dxa"/>
            <w:vAlign w:val="center"/>
          </w:tcPr>
          <w:p w14:paraId="57949245">
            <w:pPr>
              <w:snapToGrid w:val="0"/>
              <w:ind w:firstLine="480"/>
              <w:jc w:val="center"/>
              <w:rPr>
                <w:rFonts w:ascii="宋体"/>
                <w:szCs w:val="21"/>
                <w:highlight w:val="none"/>
              </w:rPr>
            </w:pPr>
          </w:p>
        </w:tc>
      </w:tr>
      <w:tr w14:paraId="0A7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B18E412">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2</w:t>
            </w:r>
          </w:p>
        </w:tc>
        <w:tc>
          <w:tcPr>
            <w:tcW w:w="1722" w:type="dxa"/>
            <w:vAlign w:val="center"/>
          </w:tcPr>
          <w:p w14:paraId="0C777012">
            <w:pPr>
              <w:snapToGrid w:val="0"/>
              <w:jc w:val="center"/>
              <w:rPr>
                <w:rFonts w:hint="eastAsia" w:ascii="宋体"/>
                <w:szCs w:val="21"/>
                <w:highlight w:val="none"/>
              </w:rPr>
            </w:pPr>
          </w:p>
        </w:tc>
        <w:tc>
          <w:tcPr>
            <w:tcW w:w="4536" w:type="dxa"/>
            <w:vAlign w:val="center"/>
          </w:tcPr>
          <w:p w14:paraId="3D7DBA2B">
            <w:pPr>
              <w:snapToGrid w:val="0"/>
              <w:jc w:val="center"/>
              <w:rPr>
                <w:rFonts w:hint="eastAsia" w:ascii="宋体"/>
                <w:szCs w:val="21"/>
                <w:highlight w:val="none"/>
              </w:rPr>
            </w:pPr>
          </w:p>
        </w:tc>
        <w:tc>
          <w:tcPr>
            <w:tcW w:w="1843" w:type="dxa"/>
            <w:vAlign w:val="center"/>
          </w:tcPr>
          <w:p w14:paraId="5CB235E7">
            <w:pPr>
              <w:snapToGrid w:val="0"/>
              <w:ind w:firstLine="480"/>
              <w:jc w:val="center"/>
              <w:rPr>
                <w:rFonts w:ascii="宋体"/>
                <w:szCs w:val="21"/>
                <w:highlight w:val="none"/>
              </w:rPr>
            </w:pPr>
          </w:p>
        </w:tc>
      </w:tr>
      <w:tr w14:paraId="70D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690733D">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w:t>
            </w:r>
          </w:p>
        </w:tc>
        <w:tc>
          <w:tcPr>
            <w:tcW w:w="1722" w:type="dxa"/>
            <w:vAlign w:val="center"/>
          </w:tcPr>
          <w:p w14:paraId="14E56A67">
            <w:pPr>
              <w:snapToGrid w:val="0"/>
              <w:jc w:val="center"/>
              <w:rPr>
                <w:rFonts w:hint="eastAsia" w:ascii="宋体"/>
                <w:szCs w:val="21"/>
                <w:highlight w:val="none"/>
              </w:rPr>
            </w:pPr>
          </w:p>
        </w:tc>
        <w:tc>
          <w:tcPr>
            <w:tcW w:w="4536" w:type="dxa"/>
            <w:vAlign w:val="center"/>
          </w:tcPr>
          <w:p w14:paraId="2A69F24B">
            <w:pPr>
              <w:snapToGrid w:val="0"/>
              <w:jc w:val="center"/>
              <w:rPr>
                <w:rFonts w:hint="eastAsia" w:ascii="宋体"/>
                <w:szCs w:val="21"/>
                <w:highlight w:val="none"/>
              </w:rPr>
            </w:pPr>
          </w:p>
        </w:tc>
        <w:tc>
          <w:tcPr>
            <w:tcW w:w="1843" w:type="dxa"/>
            <w:vAlign w:val="center"/>
          </w:tcPr>
          <w:p w14:paraId="03B4CA86">
            <w:pPr>
              <w:snapToGrid w:val="0"/>
              <w:ind w:firstLine="480"/>
              <w:jc w:val="center"/>
              <w:rPr>
                <w:rFonts w:ascii="宋体"/>
                <w:szCs w:val="21"/>
                <w:highlight w:val="none"/>
              </w:rPr>
            </w:pPr>
          </w:p>
        </w:tc>
      </w:tr>
    </w:tbl>
    <w:p w14:paraId="16142381">
      <w:pPr>
        <w:spacing w:line="360" w:lineRule="auto"/>
        <w:ind w:firstLine="480"/>
        <w:jc w:val="left"/>
        <w:rPr>
          <w:rFonts w:ascii="宋体"/>
          <w:szCs w:val="21"/>
          <w:highlight w:val="none"/>
        </w:rPr>
      </w:pPr>
    </w:p>
    <w:p w14:paraId="1E1E6988">
      <w:pPr>
        <w:rPr>
          <w:rFonts w:ascii="宋体"/>
          <w:szCs w:val="21"/>
          <w:highlight w:val="none"/>
        </w:rPr>
      </w:pPr>
      <w:r>
        <w:rPr>
          <w:rFonts w:hint="eastAsia" w:ascii="宋体"/>
          <w:szCs w:val="21"/>
          <w:highlight w:val="none"/>
        </w:rPr>
        <w:t>注：该评标索引表格放在响应文件目录后，正文的第一页。</w:t>
      </w:r>
    </w:p>
    <w:p w14:paraId="70C6767B">
      <w:pPr>
        <w:widowControl/>
        <w:jc w:val="left"/>
        <w:rPr>
          <w:rFonts w:ascii="宋体"/>
          <w:szCs w:val="21"/>
          <w:highlight w:val="none"/>
        </w:rPr>
      </w:pPr>
      <w:r>
        <w:rPr>
          <w:rFonts w:ascii="宋体"/>
          <w:szCs w:val="21"/>
          <w:highlight w:val="none"/>
        </w:rPr>
        <w:br w:type="page"/>
      </w:r>
    </w:p>
    <w:p w14:paraId="7E207C51">
      <w:pPr>
        <w:pStyle w:val="423"/>
        <w:spacing w:line="360" w:lineRule="auto"/>
        <w:ind w:firstLine="0" w:firstLineChars="0"/>
        <w:outlineLvl w:val="1"/>
        <w:rPr>
          <w:b/>
          <w:sz w:val="24"/>
          <w:highlight w:val="none"/>
        </w:rPr>
      </w:pPr>
      <w:bookmarkStart w:id="103" w:name="_A1_投标书"/>
      <w:bookmarkEnd w:id="103"/>
      <w:bookmarkStart w:id="104" w:name="_Toc176663528"/>
      <w:bookmarkStart w:id="105" w:name="_Toc192127127"/>
      <w:bookmarkStart w:id="106" w:name="_Toc181038076"/>
      <w:bookmarkStart w:id="107" w:name="_Toc128455956"/>
      <w:bookmarkStart w:id="108" w:name="_Toc179091096"/>
      <w:bookmarkStart w:id="109" w:name="_Toc162669084"/>
      <w:bookmarkStart w:id="110" w:name="_Toc192127128"/>
      <w:r>
        <w:rPr>
          <w:rFonts w:hint="eastAsia"/>
          <w:b/>
          <w:sz w:val="24"/>
          <w:highlight w:val="none"/>
        </w:rPr>
        <w:t xml:space="preserve">附件1  </w:t>
      </w:r>
      <w:r>
        <w:rPr>
          <w:b/>
          <w:sz w:val="24"/>
          <w:highlight w:val="none"/>
        </w:rPr>
        <w:t>报价函</w:t>
      </w:r>
      <w:r>
        <w:rPr>
          <w:rFonts w:hint="eastAsia"/>
          <w:b/>
          <w:iCs/>
          <w:sz w:val="24"/>
          <w:highlight w:val="none"/>
        </w:rPr>
        <w:t>及</w:t>
      </w:r>
      <w:r>
        <w:rPr>
          <w:b/>
          <w:sz w:val="24"/>
          <w:highlight w:val="none"/>
        </w:rPr>
        <w:t>报价函附录</w:t>
      </w:r>
    </w:p>
    <w:bookmarkEnd w:id="104"/>
    <w:bookmarkEnd w:id="105"/>
    <w:bookmarkEnd w:id="106"/>
    <w:bookmarkEnd w:id="107"/>
    <w:bookmarkEnd w:id="108"/>
    <w:bookmarkEnd w:id="109"/>
    <w:p w14:paraId="7F9C9417">
      <w:pPr>
        <w:autoSpaceDE w:val="0"/>
        <w:autoSpaceDN w:val="0"/>
        <w:adjustRightInd w:val="0"/>
        <w:jc w:val="center"/>
        <w:rPr>
          <w:rFonts w:ascii="宋体" w:hAnsi="宋体" w:cs="黑体"/>
          <w:kern w:val="0"/>
          <w:sz w:val="24"/>
          <w:highlight w:val="none"/>
        </w:rPr>
      </w:pPr>
    </w:p>
    <w:p w14:paraId="447F9AC0">
      <w:pPr>
        <w:autoSpaceDE w:val="0"/>
        <w:autoSpaceDN w:val="0"/>
        <w:adjustRightInd w:val="0"/>
        <w:jc w:val="center"/>
        <w:rPr>
          <w:rFonts w:ascii="宋体" w:hAnsi="宋体" w:cs="黑体"/>
          <w:kern w:val="0"/>
          <w:sz w:val="24"/>
          <w:highlight w:val="none"/>
        </w:rPr>
      </w:pPr>
      <w:r>
        <w:rPr>
          <w:rFonts w:hint="eastAsia" w:ascii="宋体" w:hAnsi="宋体" w:cs="黑体"/>
          <w:kern w:val="0"/>
          <w:sz w:val="24"/>
          <w:highlight w:val="none"/>
        </w:rPr>
        <w:t>报价函</w:t>
      </w:r>
    </w:p>
    <w:p w14:paraId="56B5C8D7">
      <w:pPr>
        <w:autoSpaceDE w:val="0"/>
        <w:autoSpaceDN w:val="0"/>
        <w:adjustRightInd w:val="0"/>
        <w:jc w:val="center"/>
        <w:rPr>
          <w:rFonts w:ascii="宋体" w:hAnsi="宋体" w:cs="黑体"/>
          <w:kern w:val="0"/>
          <w:sz w:val="24"/>
          <w:highlight w:val="none"/>
        </w:rPr>
      </w:pPr>
    </w:p>
    <w:p w14:paraId="4700D6CA">
      <w:pPr>
        <w:autoSpaceDE w:val="0"/>
        <w:autoSpaceDN w:val="0"/>
        <w:adjustRightInd w:val="0"/>
        <w:jc w:val="center"/>
        <w:rPr>
          <w:rFonts w:ascii="宋体" w:hAnsi="宋体" w:cs="黑体"/>
          <w:kern w:val="0"/>
          <w:sz w:val="24"/>
          <w:highlight w:val="none"/>
        </w:rPr>
      </w:pPr>
    </w:p>
    <w:p w14:paraId="1A65BCED">
      <w:pPr>
        <w:autoSpaceDE w:val="0"/>
        <w:autoSpaceDN w:val="0"/>
        <w:adjustRightInd w:val="0"/>
        <w:snapToGrid w:val="0"/>
        <w:spacing w:line="360" w:lineRule="auto"/>
        <w:jc w:val="left"/>
        <w:rPr>
          <w:rFonts w:ascii="宋体" w:hAnsi="宋体" w:cs="仿宋_GB2312"/>
          <w:kern w:val="0"/>
          <w:sz w:val="24"/>
          <w:highlight w:val="none"/>
        </w:rPr>
      </w:pP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（采购人名称）：</w:t>
      </w:r>
    </w:p>
    <w:p w14:paraId="3B9815DA">
      <w:pPr>
        <w:autoSpaceDE w:val="0"/>
        <w:autoSpaceDN w:val="0"/>
        <w:adjustRightInd w:val="0"/>
        <w:snapToGrid w:val="0"/>
        <w:spacing w:line="360" w:lineRule="auto"/>
        <w:ind w:firstLine="480" w:firstLineChars="200"/>
        <w:jc w:val="left"/>
        <w:rPr>
          <w:rFonts w:ascii="宋体" w:hAnsi="宋体" w:cs="仿宋_GB2312"/>
          <w:kern w:val="0"/>
          <w:sz w:val="24"/>
          <w:highlight w:val="none"/>
        </w:rPr>
      </w:pPr>
      <w:r>
        <w:rPr>
          <w:rFonts w:hint="eastAsia" w:ascii="宋体" w:hAnsi="宋体" w:cs="TimesNewRomanPSMT"/>
          <w:kern w:val="0"/>
          <w:sz w:val="24"/>
          <w:highlight w:val="none"/>
        </w:rPr>
        <w:t>1.</w:t>
      </w:r>
      <w:r>
        <w:rPr>
          <w:rFonts w:hint="eastAsia" w:ascii="宋体" w:hAnsi="宋体" w:cs="仿宋_GB2312"/>
          <w:kern w:val="0"/>
          <w:sz w:val="24"/>
          <w:highlight w:val="none"/>
        </w:rPr>
        <w:t>我方已仔细研究了</w:t>
      </w:r>
      <w:r>
        <w:rPr>
          <w:rFonts w:hint="eastAsia" w:ascii="宋体" w:hAnsi="宋体" w:cs="仿宋_GB2312"/>
          <w:kern w:val="0"/>
          <w:sz w:val="24"/>
          <w:highlight w:val="none"/>
          <w:u w:val="single"/>
          <w:lang w:eastAsia="zh-CN"/>
        </w:rPr>
        <w:t>六安市叶集区人民医院被服等租赁洗涤服务项目</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文件（包括修改、澄清文件）的全部内容，且对</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文件无任何异议，并愿意以“报价函附录”所填写的响应总价、服务期及服务地点</w:t>
      </w:r>
      <w:r>
        <w:rPr>
          <w:rFonts w:hint="eastAsia" w:ascii="宋体" w:hAnsi="宋体" w:cs="TimesNewRomanPSMT"/>
          <w:kern w:val="0"/>
          <w:sz w:val="24"/>
          <w:highlight w:val="none"/>
        </w:rPr>
        <w:t>，向你方</w:t>
      </w:r>
      <w:r>
        <w:rPr>
          <w:rFonts w:hint="eastAsia" w:ascii="宋体" w:hAnsi="宋体"/>
          <w:sz w:val="24"/>
          <w:highlight w:val="none"/>
        </w:rPr>
        <w:t>提供</w:t>
      </w:r>
      <w:r>
        <w:rPr>
          <w:rFonts w:hint="eastAsia" w:ascii="宋体" w:hAnsi="宋体"/>
          <w:sz w:val="24"/>
          <w:highlight w:val="none"/>
          <w:lang w:eastAsia="zh-CN"/>
        </w:rPr>
        <w:t>磋商</w:t>
      </w:r>
      <w:r>
        <w:rPr>
          <w:rFonts w:hint="eastAsia" w:ascii="宋体" w:hAnsi="宋体"/>
          <w:sz w:val="24"/>
          <w:highlight w:val="none"/>
        </w:rPr>
        <w:t>文件要求的服务</w:t>
      </w:r>
      <w:r>
        <w:rPr>
          <w:rFonts w:hint="eastAsia" w:ascii="宋体" w:hAnsi="宋体" w:cs="仿宋_GB2312"/>
          <w:kern w:val="0"/>
          <w:sz w:val="24"/>
          <w:highlight w:val="none"/>
        </w:rPr>
        <w:t>。</w:t>
      </w:r>
    </w:p>
    <w:p w14:paraId="61B17760">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2.我方承诺在响应文件有效期内不修改或撤销投标文件。否则，你方可不退还我方的</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保证金。</w:t>
      </w:r>
    </w:p>
    <w:p w14:paraId="714D7A2C">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3.本响应文件有效期为自递交响应文件截止之日起</w:t>
      </w:r>
      <w:r>
        <w:rPr>
          <w:rFonts w:hint="eastAsia" w:ascii="宋体" w:hAnsi="宋体" w:cs="TimesNewRomanPSMT"/>
          <w:kern w:val="0"/>
          <w:sz w:val="24"/>
          <w:highlight w:val="none"/>
          <w:u w:val="single"/>
        </w:rPr>
        <w:t xml:space="preserve">    </w:t>
      </w:r>
      <w:r>
        <w:rPr>
          <w:rFonts w:hint="eastAsia" w:ascii="宋体" w:hAnsi="宋体" w:cs="TimesNewRomanPSMT"/>
          <w:kern w:val="0"/>
          <w:sz w:val="24"/>
          <w:highlight w:val="none"/>
        </w:rPr>
        <w:t>个日历日。</w:t>
      </w:r>
    </w:p>
    <w:p w14:paraId="59F94928">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4.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14:paraId="3892DC83">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5．如我方成交：</w:t>
      </w:r>
    </w:p>
    <w:p w14:paraId="5DA0C66C">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ascii="宋体" w:hAnsi="宋体" w:cs="TimesNewRomanPSMT"/>
          <w:kern w:val="0"/>
          <w:sz w:val="24"/>
          <w:highlight w:val="none"/>
        </w:rPr>
        <w:t>1</w:t>
      </w:r>
      <w:r>
        <w:rPr>
          <w:rFonts w:hint="eastAsia" w:ascii="宋体" w:hAnsi="宋体" w:cs="仿宋_GB2312"/>
          <w:kern w:val="0"/>
          <w:sz w:val="24"/>
          <w:highlight w:val="none"/>
        </w:rPr>
        <w:t>）我方承诺在收到成交通知书后，在成交通知书规定的期限内与你方签订合同。</w:t>
      </w:r>
    </w:p>
    <w:p w14:paraId="23DD259B">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2</w:t>
      </w:r>
      <w:r>
        <w:rPr>
          <w:rFonts w:hint="eastAsia" w:ascii="宋体" w:hAnsi="宋体" w:cs="仿宋_GB2312"/>
          <w:kern w:val="0"/>
          <w:sz w:val="24"/>
          <w:highlight w:val="none"/>
        </w:rPr>
        <w:t>）我方承诺按照</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文件规定向你方递交履约保证金。作为履行合同的担保。</w:t>
      </w:r>
    </w:p>
    <w:p w14:paraId="00D0FC05">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3</w:t>
      </w:r>
      <w:r>
        <w:rPr>
          <w:rFonts w:hint="eastAsia" w:ascii="宋体" w:hAnsi="宋体" w:cs="仿宋_GB2312"/>
          <w:kern w:val="0"/>
          <w:sz w:val="24"/>
          <w:highlight w:val="none"/>
        </w:rPr>
        <w:t>）我方承诺按合同约定的期限和地点，提供符合招</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文件要求的全部的服务。</w:t>
      </w:r>
    </w:p>
    <w:p w14:paraId="4F808109">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（4）我方保证在规定时间内按要求支付代理服务费。</w:t>
      </w:r>
    </w:p>
    <w:p w14:paraId="0C0174F5">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6.如</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后的最后报价函与本报价函内容有差异，以最后的报价函内容为准。</w:t>
      </w:r>
    </w:p>
    <w:p w14:paraId="03939C26">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7．</w:t>
      </w:r>
      <w:r>
        <w:rPr>
          <w:rFonts w:hint="eastAsia" w:ascii="宋体" w:hAnsi="宋体" w:cs="TimesNewRomanPSMT"/>
          <w:kern w:val="0"/>
          <w:sz w:val="24"/>
          <w:highlight w:val="none"/>
          <w:u w:val="single"/>
        </w:rPr>
        <w:t xml:space="preserve">               </w:t>
      </w:r>
      <w:r>
        <w:rPr>
          <w:rFonts w:ascii="宋体" w:hAnsi="宋体" w:cs="TimesNewRomanPSMT"/>
          <w:kern w:val="0"/>
          <w:sz w:val="24"/>
          <w:highlight w:val="none"/>
          <w:u w:val="single"/>
        </w:rPr>
        <w:t xml:space="preserve"> </w:t>
      </w:r>
      <w:r>
        <w:rPr>
          <w:rFonts w:hint="eastAsia" w:ascii="宋体" w:hAnsi="宋体" w:cs="TimesNewRomanPSMT"/>
          <w:kern w:val="0"/>
          <w:sz w:val="24"/>
          <w:highlight w:val="none"/>
        </w:rPr>
        <w:t>（其他补充说明）。</w:t>
      </w:r>
    </w:p>
    <w:p w14:paraId="0DE754D9">
      <w:pPr>
        <w:autoSpaceDE w:val="0"/>
        <w:autoSpaceDN w:val="0"/>
        <w:adjustRightInd w:val="0"/>
        <w:snapToGrid w:val="0"/>
        <w:spacing w:line="360" w:lineRule="auto"/>
        <w:jc w:val="left"/>
        <w:rPr>
          <w:rFonts w:ascii="宋体" w:hAnsi="宋体" w:cs="仿宋_GB2312"/>
          <w:kern w:val="0"/>
          <w:sz w:val="24"/>
          <w:highlight w:val="none"/>
        </w:rPr>
      </w:pPr>
    </w:p>
    <w:p w14:paraId="5BD125B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ascii="宋体" w:hAnsi="宋体" w:cs="仿宋_GB2312"/>
          <w:kern w:val="0"/>
          <w:sz w:val="24"/>
          <w:highlight w:val="none"/>
        </w:rPr>
        <w:t>供应商：</w:t>
      </w:r>
    </w:p>
    <w:p w14:paraId="64A8286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法定代表人或其委托代理人：</w:t>
      </w:r>
      <w:r>
        <w:rPr>
          <w:rFonts w:ascii="宋体" w:hAnsi="宋体" w:cs="仿宋_GB2312"/>
          <w:kern w:val="0"/>
          <w:sz w:val="24"/>
          <w:highlight w:val="none"/>
        </w:rPr>
        <w:t xml:space="preserve"> </w:t>
      </w:r>
      <w:r>
        <w:rPr>
          <w:rFonts w:hint="eastAsia" w:ascii="宋体" w:hAnsi="宋体" w:cs="仿宋_GB2312"/>
          <w:kern w:val="0"/>
          <w:sz w:val="24"/>
          <w:highlight w:val="none"/>
        </w:rPr>
        <w:t>（签字或盖人名章）</w:t>
      </w:r>
    </w:p>
    <w:p w14:paraId="20EEFD86">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地址：</w:t>
      </w:r>
    </w:p>
    <w:p w14:paraId="03A4F147">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电话：</w:t>
      </w:r>
    </w:p>
    <w:p w14:paraId="36E2D2FB">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传真：</w:t>
      </w:r>
    </w:p>
    <w:p w14:paraId="562A398E">
      <w:pPr>
        <w:autoSpaceDE w:val="0"/>
        <w:autoSpaceDN w:val="0"/>
        <w:adjustRightInd w:val="0"/>
        <w:snapToGrid w:val="0"/>
        <w:spacing w:line="360" w:lineRule="auto"/>
        <w:ind w:left="5939" w:leftChars="2828"/>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E2385F8">
      <w:pPr>
        <w:spacing w:line="360" w:lineRule="auto"/>
        <w:rPr>
          <w:rFonts w:ascii="宋体" w:hAnsi="宋体"/>
          <w:sz w:val="24"/>
          <w:highlight w:val="none"/>
        </w:rPr>
      </w:pPr>
      <w:r>
        <w:rPr>
          <w:highlight w:val="none"/>
        </w:rPr>
        <w:br w:type="page"/>
      </w:r>
      <w:bookmarkEnd w:id="110"/>
      <w:bookmarkStart w:id="111" w:name="_Toc195922057"/>
      <w:bookmarkStart w:id="112" w:name="_Toc192127131"/>
      <w:bookmarkStart w:id="113" w:name="_Toc416103827"/>
      <w:r>
        <w:rPr>
          <w:b/>
          <w:sz w:val="24"/>
          <w:highlight w:val="none"/>
        </w:rPr>
        <w:t xml:space="preserve"> </w:t>
      </w:r>
    </w:p>
    <w:p w14:paraId="4F25671E">
      <w:pPr>
        <w:spacing w:line="360" w:lineRule="auto"/>
        <w:jc w:val="center"/>
        <w:rPr>
          <w:rFonts w:ascii="宋体" w:hAnsi="宋体"/>
          <w:sz w:val="24"/>
          <w:highlight w:val="none"/>
        </w:rPr>
      </w:pPr>
      <w:r>
        <w:rPr>
          <w:rFonts w:hint="eastAsia" w:ascii="宋体" w:hAnsi="宋体"/>
          <w:sz w:val="24"/>
          <w:highlight w:val="none"/>
        </w:rPr>
        <w:t>报价函附录</w:t>
      </w:r>
    </w:p>
    <w:tbl>
      <w:tblPr>
        <w:tblStyle w:val="7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6CD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8B451C2">
            <w:pPr>
              <w:ind w:left="141" w:leftChars="67" w:right="103" w:rightChars="49"/>
              <w:jc w:val="center"/>
              <w:rPr>
                <w:rFonts w:hint="eastAsia" w:ascii="宋体" w:hAnsi="宋体" w:eastAsia="宋体" w:cs="宋体"/>
                <w:b/>
                <w:sz w:val="24"/>
                <w:highlight w:val="none"/>
              </w:rPr>
            </w:pPr>
            <w:r>
              <w:rPr>
                <w:rFonts w:hint="eastAsia" w:ascii="宋体" w:hAnsi="宋体" w:eastAsia="宋体" w:cs="宋体"/>
                <w:b/>
                <w:sz w:val="24"/>
                <w:highlight w:val="none"/>
              </w:rPr>
              <w:t>项目编号及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文件名称</w:t>
            </w:r>
          </w:p>
        </w:tc>
        <w:tc>
          <w:tcPr>
            <w:tcW w:w="6329" w:type="dxa"/>
            <w:vAlign w:val="center"/>
          </w:tcPr>
          <w:p w14:paraId="0CB937B9">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p>
          <w:p w14:paraId="7589EA5D">
            <w:pPr>
              <w:ind w:left="189" w:leftChars="90" w:firstLine="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六安市叶集区人民医院被服等租赁洗涤服务项目</w:t>
            </w:r>
          </w:p>
        </w:tc>
      </w:tr>
      <w:tr w14:paraId="444E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2E34AF5">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响应文件总价</w:t>
            </w:r>
          </w:p>
        </w:tc>
        <w:tc>
          <w:tcPr>
            <w:tcW w:w="6329" w:type="dxa"/>
            <w:vAlign w:val="center"/>
          </w:tcPr>
          <w:p w14:paraId="5EAABEED">
            <w:pPr>
              <w:ind w:left="189" w:leftChars="90" w:firstLine="1"/>
              <w:rPr>
                <w:rFonts w:hint="eastAsia" w:ascii="宋体" w:hAnsi="宋体" w:eastAsia="宋体" w:cs="宋体"/>
                <w:sz w:val="24"/>
                <w:highlight w:val="none"/>
                <w:lang w:val="en-US" w:eastAsia="zh-CN"/>
              </w:rPr>
            </w:pPr>
          </w:p>
          <w:p w14:paraId="0657ED16">
            <w:pPr>
              <w:pStyle w:val="434"/>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/年；三年合计：       </w:t>
            </w:r>
          </w:p>
          <w:p w14:paraId="33744854">
            <w:pPr>
              <w:pStyle w:val="434"/>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/年；三年合计：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0B0A7343">
            <w:pPr>
              <w:ind w:left="189" w:leftChars="90" w:firstLine="1"/>
              <w:jc w:val="both"/>
              <w:rPr>
                <w:rFonts w:hint="eastAsia" w:ascii="仿宋" w:hAnsi="仿宋" w:eastAsia="仿宋" w:cs="仿宋"/>
                <w:spacing w:val="-2"/>
                <w:sz w:val="24"/>
                <w:szCs w:val="24"/>
              </w:rPr>
            </w:pPr>
            <w:r>
              <w:rPr>
                <w:rFonts w:hint="eastAsia" w:ascii="仿宋" w:hAnsi="仿宋" w:eastAsia="仿宋" w:cs="仿宋"/>
                <w:spacing w:val="-2"/>
                <w:sz w:val="24"/>
                <w:szCs w:val="24"/>
              </w:rPr>
              <w:t>折合单价</w:t>
            </w:r>
            <w:r>
              <w:rPr>
                <w:rFonts w:hint="eastAsia" w:ascii="仿宋" w:hAnsi="仿宋" w:eastAsia="仿宋" w:cs="仿宋"/>
                <w:spacing w:val="-2"/>
                <w:sz w:val="24"/>
                <w:szCs w:val="24"/>
                <w:u w:val="single" w:color="auto"/>
              </w:rPr>
              <w:t xml:space="preserve">       元/</w:t>
            </w:r>
            <w:r>
              <w:rPr>
                <w:rFonts w:hint="eastAsia" w:ascii="仿宋" w:hAnsi="仿宋" w:eastAsia="仿宋" w:cs="仿宋"/>
                <w:spacing w:val="-2"/>
                <w:sz w:val="24"/>
                <w:szCs w:val="24"/>
              </w:rPr>
              <w:t>床位日（精确到小数点后两位。</w:t>
            </w:r>
          </w:p>
          <w:p w14:paraId="0F5F6C7B">
            <w:pPr>
              <w:ind w:left="189" w:leftChars="90" w:firstLine="1"/>
              <w:jc w:val="both"/>
              <w:rPr>
                <w:rFonts w:hint="eastAsia" w:ascii="仿宋" w:hAnsi="仿宋" w:eastAsia="仿宋" w:cs="仿宋"/>
                <w:sz w:val="24"/>
                <w:szCs w:val="24"/>
                <w:highlight w:val="none"/>
                <w:lang w:val="en-US" w:eastAsia="zh-CN"/>
              </w:rPr>
            </w:pPr>
            <w:r>
              <w:rPr>
                <w:rFonts w:hint="eastAsia" w:ascii="仿宋" w:hAnsi="仿宋" w:eastAsia="仿宋" w:cs="仿宋"/>
                <w:spacing w:val="-2"/>
                <w:sz w:val="24"/>
                <w:szCs w:val="24"/>
              </w:rPr>
              <w:t>换算公式：单价=一年报价/365</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天/</w:t>
            </w:r>
            <w:r>
              <w:rPr>
                <w:rFonts w:hint="eastAsia" w:ascii="仿宋" w:hAnsi="仿宋" w:eastAsia="仿宋" w:cs="仿宋"/>
                <w:spacing w:val="-2"/>
                <w:sz w:val="24"/>
                <w:szCs w:val="24"/>
                <w:lang w:val="en-US" w:eastAsia="zh-CN"/>
              </w:rPr>
              <w:t>365</w:t>
            </w:r>
            <w:r>
              <w:rPr>
                <w:rFonts w:hint="eastAsia" w:ascii="仿宋" w:hAnsi="仿宋" w:eastAsia="仿宋" w:cs="仿宋"/>
                <w:spacing w:val="-45"/>
                <w:sz w:val="24"/>
                <w:szCs w:val="24"/>
              </w:rPr>
              <w:t xml:space="preserve"> </w:t>
            </w:r>
            <w:r>
              <w:rPr>
                <w:rFonts w:hint="eastAsia" w:ascii="仿宋" w:hAnsi="仿宋" w:eastAsia="仿宋" w:cs="仿宋"/>
                <w:spacing w:val="-2"/>
                <w:sz w:val="24"/>
                <w:szCs w:val="24"/>
              </w:rPr>
              <w:t>张床位）</w:t>
            </w:r>
          </w:p>
          <w:p w14:paraId="1BD498A7">
            <w:pPr>
              <w:ind w:left="189" w:leftChars="90" w:firstLine="1"/>
              <w:jc w:val="both"/>
              <w:rPr>
                <w:rFonts w:hint="eastAsia" w:ascii="仿宋" w:hAnsi="仿宋" w:eastAsia="仿宋" w:cs="仿宋"/>
                <w:sz w:val="24"/>
                <w:szCs w:val="24"/>
                <w:highlight w:val="none"/>
                <w:lang w:val="en-US" w:eastAsia="zh-CN"/>
              </w:rPr>
            </w:pPr>
          </w:p>
          <w:p w14:paraId="54003519">
            <w:pPr>
              <w:ind w:left="189" w:leftChars="90" w:firstLine="1"/>
              <w:rPr>
                <w:rFonts w:hint="eastAsia" w:ascii="宋体" w:hAnsi="宋体" w:eastAsia="宋体" w:cs="宋体"/>
                <w:sz w:val="24"/>
                <w:highlight w:val="none"/>
                <w:lang w:val="en-US" w:eastAsia="zh-CN"/>
              </w:rPr>
            </w:pPr>
          </w:p>
        </w:tc>
      </w:tr>
      <w:tr w14:paraId="3A52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946" w:type="dxa"/>
            <w:vAlign w:val="center"/>
          </w:tcPr>
          <w:p w14:paraId="01F17D1C">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329" w:type="dxa"/>
            <w:vAlign w:val="center"/>
          </w:tcPr>
          <w:p w14:paraId="5F6ECF96">
            <w:pPr>
              <w:ind w:firstLine="1920" w:firstLineChars="800"/>
              <w:rPr>
                <w:rFonts w:hint="eastAsia" w:ascii="宋体" w:hAnsi="宋体" w:eastAsia="宋体" w:cs="宋体"/>
                <w:sz w:val="24"/>
                <w:highlight w:val="none"/>
                <w:lang w:val="en-US"/>
              </w:rPr>
            </w:pPr>
          </w:p>
        </w:tc>
      </w:tr>
      <w:tr w14:paraId="41D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A36EE59">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服务地点</w:t>
            </w:r>
          </w:p>
        </w:tc>
        <w:tc>
          <w:tcPr>
            <w:tcW w:w="6329" w:type="dxa"/>
            <w:vAlign w:val="center"/>
          </w:tcPr>
          <w:p w14:paraId="6174204D">
            <w:pPr>
              <w:ind w:left="899" w:leftChars="428" w:firstLine="720" w:firstLineChars="300"/>
              <w:rPr>
                <w:rFonts w:hint="eastAsia" w:ascii="宋体" w:hAnsi="宋体" w:eastAsia="宋体" w:cs="宋体"/>
                <w:sz w:val="24"/>
                <w:highlight w:val="none"/>
                <w:lang w:val="en-US" w:eastAsia="zh-CN"/>
              </w:rPr>
            </w:pPr>
          </w:p>
        </w:tc>
      </w:tr>
      <w:tr w14:paraId="440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46" w:type="dxa"/>
            <w:vAlign w:val="center"/>
          </w:tcPr>
          <w:p w14:paraId="7EAD2067">
            <w:pPr>
              <w:jc w:val="center"/>
              <w:rPr>
                <w:rFonts w:hint="eastAsia" w:ascii="宋体" w:hAnsi="宋体" w:eastAsia="宋体" w:cs="宋体"/>
                <w:b/>
                <w:sz w:val="24"/>
                <w:highlight w:val="none"/>
              </w:rPr>
            </w:pPr>
            <w:r>
              <w:rPr>
                <w:rFonts w:hint="eastAsia" w:ascii="宋体" w:hAnsi="宋体" w:eastAsia="宋体" w:cs="宋体"/>
                <w:b/>
                <w:sz w:val="24"/>
                <w:highlight w:val="none"/>
              </w:rPr>
              <w:t>其他声明（如有）</w:t>
            </w:r>
          </w:p>
        </w:tc>
        <w:tc>
          <w:tcPr>
            <w:tcW w:w="6329" w:type="dxa"/>
            <w:vAlign w:val="center"/>
          </w:tcPr>
          <w:p w14:paraId="6F45ECA0">
            <w:pPr>
              <w:ind w:left="899" w:leftChars="428" w:firstLine="1"/>
              <w:rPr>
                <w:rFonts w:hint="eastAsia" w:ascii="宋体" w:hAnsi="宋体" w:eastAsia="宋体" w:cs="宋体"/>
                <w:sz w:val="24"/>
                <w:highlight w:val="none"/>
              </w:rPr>
            </w:pPr>
          </w:p>
        </w:tc>
      </w:tr>
    </w:tbl>
    <w:p w14:paraId="703E3E93">
      <w:pPr>
        <w:pStyle w:val="40"/>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供应商名称（盖章）：</w:t>
      </w:r>
      <w:r>
        <w:rPr>
          <w:rFonts w:hint="eastAsia" w:ascii="仿宋_GB2312" w:hAnsi="宋体" w:eastAsia="仿宋_GB2312"/>
          <w:sz w:val="24"/>
          <w:highlight w:val="none"/>
          <w:u w:val="single"/>
        </w:rPr>
        <w:t xml:space="preserve">                         </w:t>
      </w:r>
    </w:p>
    <w:p w14:paraId="4482D4C2">
      <w:pPr>
        <w:pStyle w:val="40"/>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供应商授权代表(签字或盖人名章)：</w:t>
      </w:r>
      <w:r>
        <w:rPr>
          <w:rFonts w:hint="eastAsia" w:ascii="仿宋_GB2312" w:hAnsi="宋体" w:eastAsia="仿宋_GB2312"/>
          <w:sz w:val="24"/>
          <w:highlight w:val="none"/>
          <w:u w:val="single"/>
        </w:rPr>
        <w:tab/>
      </w:r>
    </w:p>
    <w:p w14:paraId="092E0DEC">
      <w:pPr>
        <w:pStyle w:val="40"/>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31E88106">
      <w:pPr>
        <w:pStyle w:val="40"/>
        <w:tabs>
          <w:tab w:val="left" w:pos="5580"/>
        </w:tabs>
        <w:spacing w:before="120"/>
        <w:ind w:firstLine="720" w:firstLineChars="300"/>
        <w:rPr>
          <w:rFonts w:ascii="仿宋_GB2312" w:hAnsi="宋体" w:eastAsia="仿宋_GB2312"/>
          <w:sz w:val="24"/>
          <w:highlight w:val="none"/>
          <w:u w:val="single"/>
        </w:rPr>
      </w:pPr>
    </w:p>
    <w:p w14:paraId="05940BCC">
      <w:pPr>
        <w:pStyle w:val="40"/>
        <w:tabs>
          <w:tab w:val="left" w:pos="5580"/>
        </w:tabs>
        <w:spacing w:before="120"/>
        <w:ind w:firstLine="720" w:firstLineChars="300"/>
        <w:rPr>
          <w:rFonts w:ascii="仿宋_GB2312" w:hAnsi="宋体" w:eastAsia="仿宋_GB2312"/>
          <w:sz w:val="24"/>
          <w:highlight w:val="none"/>
        </w:rPr>
      </w:pPr>
    </w:p>
    <w:p w14:paraId="69D6A1FD">
      <w:pPr>
        <w:pStyle w:val="40"/>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注:此表中响应文件总价应与附件5中的总价相一致。</w:t>
      </w:r>
    </w:p>
    <w:p w14:paraId="1916A7B0">
      <w:pPr>
        <w:pStyle w:val="40"/>
        <w:tabs>
          <w:tab w:val="left" w:pos="5580"/>
        </w:tabs>
        <w:spacing w:before="120"/>
        <w:ind w:firstLine="720" w:firstLineChars="300"/>
        <w:rPr>
          <w:rFonts w:ascii="仿宋_GB2312" w:hAnsi="宋体" w:eastAsia="仿宋_GB2312"/>
          <w:sz w:val="24"/>
          <w:highlight w:val="none"/>
        </w:rPr>
      </w:pPr>
      <w:r>
        <w:rPr>
          <w:rFonts w:hAnsi="宋体"/>
          <w:sz w:val="24"/>
          <w:highlight w:val="none"/>
        </w:rPr>
        <w:br w:type="page"/>
      </w:r>
    </w:p>
    <w:p w14:paraId="3D993C34">
      <w:pPr>
        <w:pStyle w:val="423"/>
        <w:spacing w:line="360" w:lineRule="auto"/>
        <w:ind w:firstLine="0" w:firstLineChars="0"/>
        <w:outlineLvl w:val="1"/>
        <w:rPr>
          <w:b/>
          <w:sz w:val="24"/>
          <w:highlight w:val="none"/>
        </w:rPr>
      </w:pPr>
      <w:r>
        <w:rPr>
          <w:rFonts w:hint="eastAsia"/>
          <w:b/>
          <w:sz w:val="24"/>
          <w:highlight w:val="none"/>
        </w:rPr>
        <w:t>附件2  法定代表人身份证明</w:t>
      </w:r>
    </w:p>
    <w:p w14:paraId="1071B257">
      <w:pPr>
        <w:spacing w:before="156" w:beforeLines="50" w:line="288" w:lineRule="auto"/>
        <w:ind w:hanging="104"/>
        <w:jc w:val="center"/>
        <w:rPr>
          <w:rFonts w:ascii="宋体" w:hAnsi="宋体"/>
          <w:szCs w:val="21"/>
          <w:highlight w:val="none"/>
        </w:rPr>
      </w:pPr>
    </w:p>
    <w:p w14:paraId="187B0536">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法定代表人身份证明</w:t>
      </w:r>
    </w:p>
    <w:p w14:paraId="06167567">
      <w:pPr>
        <w:autoSpaceDE w:val="0"/>
        <w:autoSpaceDN w:val="0"/>
        <w:adjustRightInd w:val="0"/>
        <w:spacing w:line="360" w:lineRule="auto"/>
        <w:jc w:val="left"/>
        <w:rPr>
          <w:rFonts w:ascii="宋体" w:hAnsi="宋体" w:cs="仿宋_GB2312"/>
          <w:kern w:val="0"/>
          <w:sz w:val="24"/>
          <w:highlight w:val="none"/>
        </w:rPr>
      </w:pPr>
    </w:p>
    <w:p w14:paraId="1F50B80A">
      <w:pPr>
        <w:autoSpaceDE w:val="0"/>
        <w:autoSpaceDN w:val="0"/>
        <w:adjustRightInd w:val="0"/>
        <w:spacing w:line="360" w:lineRule="auto"/>
        <w:jc w:val="left"/>
        <w:rPr>
          <w:rFonts w:ascii="宋体" w:hAnsi="宋体" w:cs="仿宋_GB2312"/>
          <w:kern w:val="0"/>
          <w:sz w:val="24"/>
          <w:highlight w:val="none"/>
        </w:rPr>
      </w:pPr>
    </w:p>
    <w:p w14:paraId="1F9B2F74">
      <w:pPr>
        <w:autoSpaceDE w:val="0"/>
        <w:autoSpaceDN w:val="0"/>
        <w:adjustRightInd w:val="0"/>
        <w:spacing w:line="360" w:lineRule="auto"/>
        <w:jc w:val="left"/>
        <w:rPr>
          <w:rFonts w:ascii="宋体" w:hAnsi="宋体" w:cs="仿宋_GB2312"/>
          <w:kern w:val="0"/>
          <w:sz w:val="24"/>
          <w:highlight w:val="none"/>
        </w:rPr>
      </w:pPr>
    </w:p>
    <w:p w14:paraId="6C730DB3">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姓名：</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性别：</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年龄：</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 xml:space="preserve"> 职务：</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系</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w:t>
      </w:r>
    </w:p>
    <w:p w14:paraId="6CB1F71A">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特此证明。</w:t>
      </w:r>
    </w:p>
    <w:p w14:paraId="40A0691C">
      <w:pPr>
        <w:autoSpaceDE w:val="0"/>
        <w:autoSpaceDN w:val="0"/>
        <w:adjustRightInd w:val="0"/>
        <w:spacing w:line="360" w:lineRule="auto"/>
        <w:jc w:val="left"/>
        <w:rPr>
          <w:rFonts w:ascii="宋体" w:hAnsi="宋体" w:cs="仿宋_GB2312"/>
          <w:kern w:val="0"/>
          <w:sz w:val="24"/>
          <w:highlight w:val="none"/>
        </w:rPr>
      </w:pPr>
    </w:p>
    <w:p w14:paraId="05EAA2FE">
      <w:pPr>
        <w:autoSpaceDE w:val="0"/>
        <w:autoSpaceDN w:val="0"/>
        <w:adjustRightInd w:val="0"/>
        <w:spacing w:line="360" w:lineRule="auto"/>
        <w:jc w:val="left"/>
        <w:rPr>
          <w:rFonts w:ascii="宋体" w:hAnsi="宋体" w:cs="仿宋_GB2312"/>
          <w:kern w:val="0"/>
          <w:sz w:val="24"/>
          <w:highlight w:val="none"/>
        </w:rPr>
      </w:pPr>
    </w:p>
    <w:p w14:paraId="3987165E">
      <w:pPr>
        <w:autoSpaceDE w:val="0"/>
        <w:autoSpaceDN w:val="0"/>
        <w:adjustRightInd w:val="0"/>
        <w:spacing w:line="360" w:lineRule="auto"/>
        <w:jc w:val="left"/>
        <w:rPr>
          <w:rFonts w:ascii="宋体" w:hAnsi="宋体" w:cs="仿宋_GB2312"/>
          <w:kern w:val="0"/>
          <w:sz w:val="24"/>
          <w:highlight w:val="none"/>
        </w:rPr>
      </w:pPr>
    </w:p>
    <w:p w14:paraId="2C08BFA4">
      <w:pPr>
        <w:autoSpaceDE w:val="0"/>
        <w:autoSpaceDN w:val="0"/>
        <w:adjustRightInd w:val="0"/>
        <w:spacing w:line="360" w:lineRule="auto"/>
        <w:jc w:val="left"/>
        <w:rPr>
          <w:rFonts w:ascii="宋体" w:hAnsi="宋体" w:cs="仿宋_GB2312"/>
          <w:kern w:val="0"/>
          <w:sz w:val="24"/>
          <w:highlight w:val="none"/>
        </w:rPr>
      </w:pPr>
    </w:p>
    <w:p w14:paraId="459F0609">
      <w:pPr>
        <w:autoSpaceDE w:val="0"/>
        <w:autoSpaceDN w:val="0"/>
        <w:adjustRightInd w:val="0"/>
        <w:spacing w:line="360" w:lineRule="auto"/>
        <w:ind w:left="5399" w:leftChars="2571"/>
        <w:jc w:val="left"/>
        <w:rPr>
          <w:rFonts w:ascii="宋体" w:hAnsi="宋体" w:cs="仿宋_GB2312"/>
          <w:kern w:val="0"/>
          <w:sz w:val="24"/>
          <w:highlight w:val="none"/>
        </w:rPr>
      </w:pPr>
      <w:r>
        <w:rPr>
          <w:rFonts w:hint="eastAsia" w:ascii="宋体" w:hAnsi="宋体" w:cs="仿宋_GB2312"/>
          <w:kern w:val="0"/>
          <w:sz w:val="24"/>
          <w:highlight w:val="none"/>
        </w:rPr>
        <w:t xml:space="preserve">供应商：          </w:t>
      </w:r>
      <w:r>
        <w:rPr>
          <w:rFonts w:ascii="宋体" w:hAnsi="宋体" w:cs="仿宋_GB2312"/>
          <w:kern w:val="0"/>
          <w:sz w:val="24"/>
          <w:highlight w:val="none"/>
        </w:rPr>
        <w:t xml:space="preserve"> </w:t>
      </w:r>
      <w:r>
        <w:rPr>
          <w:rFonts w:hint="eastAsia" w:ascii="宋体" w:hAnsi="宋体" w:cs="仿宋_GB2312"/>
          <w:kern w:val="0"/>
          <w:sz w:val="24"/>
          <w:highlight w:val="none"/>
        </w:rPr>
        <w:t>（盖单位章）</w:t>
      </w:r>
    </w:p>
    <w:p w14:paraId="1592D2EB">
      <w:pPr>
        <w:autoSpaceDE w:val="0"/>
        <w:autoSpaceDN w:val="0"/>
        <w:adjustRightInd w:val="0"/>
        <w:spacing w:line="360" w:lineRule="auto"/>
        <w:ind w:left="5399" w:leftChars="2571"/>
        <w:jc w:val="left"/>
        <w:rPr>
          <w:rFonts w:ascii="宋体" w:hAnsi="宋体" w:cs="仿宋_GB2312"/>
          <w:kern w:val="0"/>
          <w:sz w:val="24"/>
          <w:highlight w:val="none"/>
        </w:rPr>
      </w:pPr>
    </w:p>
    <w:p w14:paraId="7FB2DEF6">
      <w:pPr>
        <w:autoSpaceDE w:val="0"/>
        <w:autoSpaceDN w:val="0"/>
        <w:adjustRightInd w:val="0"/>
        <w:spacing w:line="360" w:lineRule="auto"/>
        <w:ind w:left="6659" w:leftChars="3171"/>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7916A1C">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79E74717">
      <w:pPr>
        <w:pStyle w:val="423"/>
        <w:spacing w:line="360" w:lineRule="auto"/>
        <w:ind w:firstLine="0" w:firstLineChars="0"/>
        <w:outlineLvl w:val="1"/>
        <w:rPr>
          <w:b/>
          <w:sz w:val="24"/>
          <w:highlight w:val="none"/>
        </w:rPr>
      </w:pPr>
      <w:bookmarkStart w:id="114" w:name="_Toc195922058"/>
      <w:r>
        <w:rPr>
          <w:rFonts w:hint="eastAsia"/>
          <w:b/>
          <w:sz w:val="24"/>
          <w:highlight w:val="none"/>
        </w:rPr>
        <w:t>附件3  授权委托书</w:t>
      </w:r>
    </w:p>
    <w:p w14:paraId="1D4150C0">
      <w:pPr>
        <w:autoSpaceDE w:val="0"/>
        <w:autoSpaceDN w:val="0"/>
        <w:adjustRightInd w:val="0"/>
        <w:jc w:val="center"/>
        <w:rPr>
          <w:rFonts w:ascii="宋体" w:hAnsi="宋体" w:cs="TimesNewRomanPSMT"/>
          <w:kern w:val="0"/>
          <w:sz w:val="18"/>
          <w:szCs w:val="18"/>
          <w:highlight w:val="none"/>
        </w:rPr>
      </w:pPr>
    </w:p>
    <w:p w14:paraId="52FC236E">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授权委托书</w:t>
      </w:r>
      <w:bookmarkEnd w:id="114"/>
    </w:p>
    <w:p w14:paraId="6609E11D">
      <w:pPr>
        <w:autoSpaceDE w:val="0"/>
        <w:autoSpaceDN w:val="0"/>
        <w:adjustRightInd w:val="0"/>
        <w:jc w:val="center"/>
        <w:rPr>
          <w:rFonts w:ascii="宋体" w:hAnsi="宋体" w:cs="黑体"/>
          <w:kern w:val="0"/>
          <w:sz w:val="28"/>
          <w:szCs w:val="28"/>
          <w:highlight w:val="none"/>
        </w:rPr>
      </w:pPr>
    </w:p>
    <w:p w14:paraId="4BAFFE59">
      <w:pPr>
        <w:autoSpaceDE w:val="0"/>
        <w:autoSpaceDN w:val="0"/>
        <w:adjustRightInd w:val="0"/>
        <w:jc w:val="left"/>
        <w:rPr>
          <w:rFonts w:ascii="宋体" w:hAnsi="宋体" w:cs="仿宋_GB2312"/>
          <w:kern w:val="0"/>
          <w:szCs w:val="21"/>
          <w:highlight w:val="none"/>
        </w:rPr>
      </w:pPr>
    </w:p>
    <w:p w14:paraId="59A27850">
      <w:pPr>
        <w:autoSpaceDE w:val="0"/>
        <w:autoSpaceDN w:val="0"/>
        <w:adjustRightInd w:val="0"/>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本人</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（姓名）系</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（供应商名称）的法定代表人，现委托</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（姓名）为我方代理人。代理人根据授权，以我方名义签署、澄清、说明、补正、递交、撤回、修改</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（项目名称）响应文件、签订合同和处理有关事宜，其法律后果由我方承担。</w:t>
      </w:r>
    </w:p>
    <w:p w14:paraId="2D413B27">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委托期限：</w:t>
      </w:r>
      <w:r>
        <w:rPr>
          <w:rFonts w:hint="eastAsia" w:ascii="宋体" w:hAnsi="宋体" w:cs="仿宋_GB2312"/>
          <w:kern w:val="0"/>
          <w:sz w:val="24"/>
          <w:highlight w:val="none"/>
          <w:u w:val="single"/>
        </w:rPr>
        <w:t xml:space="preserve">             </w:t>
      </w:r>
      <w:r>
        <w:rPr>
          <w:rFonts w:ascii="宋体" w:hAnsi="宋体" w:cs="仿宋_GB2312"/>
          <w:kern w:val="0"/>
          <w:sz w:val="24"/>
          <w:highlight w:val="none"/>
        </w:rPr>
        <w:t xml:space="preserve"> </w:t>
      </w:r>
      <w:r>
        <w:rPr>
          <w:rFonts w:hint="eastAsia" w:ascii="宋体" w:hAnsi="宋体" w:cs="仿宋_GB2312"/>
          <w:kern w:val="0"/>
          <w:sz w:val="24"/>
          <w:highlight w:val="none"/>
        </w:rPr>
        <w:t>。</w:t>
      </w:r>
    </w:p>
    <w:p w14:paraId="447B3AD9">
      <w:pPr>
        <w:autoSpaceDE w:val="0"/>
        <w:autoSpaceDN w:val="0"/>
        <w:adjustRightInd w:val="0"/>
        <w:spacing w:line="360" w:lineRule="auto"/>
        <w:jc w:val="left"/>
        <w:rPr>
          <w:rFonts w:ascii="宋体" w:hAnsi="宋体" w:cs="仿宋_GB2312"/>
          <w:kern w:val="0"/>
          <w:sz w:val="24"/>
          <w:highlight w:val="none"/>
        </w:rPr>
      </w:pPr>
    </w:p>
    <w:p w14:paraId="6F3F42D2">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代理人无转委托权。</w:t>
      </w:r>
    </w:p>
    <w:p w14:paraId="25EEC27C">
      <w:pPr>
        <w:autoSpaceDE w:val="0"/>
        <w:autoSpaceDN w:val="0"/>
        <w:adjustRightInd w:val="0"/>
        <w:spacing w:line="360" w:lineRule="auto"/>
        <w:jc w:val="left"/>
        <w:rPr>
          <w:rFonts w:ascii="宋体" w:hAnsi="宋体" w:cs="仿宋_GB2312"/>
          <w:kern w:val="0"/>
          <w:sz w:val="24"/>
          <w:highlight w:val="none"/>
        </w:rPr>
      </w:pPr>
    </w:p>
    <w:p w14:paraId="77EAD39B">
      <w:pPr>
        <w:autoSpaceDE w:val="0"/>
        <w:autoSpaceDN w:val="0"/>
        <w:adjustRightInd w:val="0"/>
        <w:spacing w:line="360" w:lineRule="auto"/>
        <w:jc w:val="left"/>
        <w:rPr>
          <w:rFonts w:ascii="宋体" w:hAnsi="宋体" w:cs="仿宋_GB2312"/>
          <w:kern w:val="0"/>
          <w:sz w:val="24"/>
          <w:highlight w:val="none"/>
        </w:rPr>
      </w:pPr>
    </w:p>
    <w:p w14:paraId="19D67B22">
      <w:pPr>
        <w:autoSpaceDE w:val="0"/>
        <w:autoSpaceDN w:val="0"/>
        <w:adjustRightInd w:val="0"/>
        <w:spacing w:line="360" w:lineRule="auto"/>
        <w:jc w:val="left"/>
        <w:rPr>
          <w:rFonts w:ascii="宋体" w:hAnsi="宋体" w:cs="仿宋_GB2312"/>
          <w:kern w:val="0"/>
          <w:sz w:val="24"/>
          <w:highlight w:val="none"/>
        </w:rPr>
      </w:pPr>
    </w:p>
    <w:p w14:paraId="72B9685C">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附：法定代表人身份证明及被授权人身份证明（复印件或扫描件）</w:t>
      </w:r>
    </w:p>
    <w:p w14:paraId="0C25E4BD">
      <w:pPr>
        <w:autoSpaceDE w:val="0"/>
        <w:autoSpaceDN w:val="0"/>
        <w:adjustRightInd w:val="0"/>
        <w:spacing w:line="360" w:lineRule="auto"/>
        <w:jc w:val="left"/>
        <w:rPr>
          <w:rFonts w:ascii="宋体" w:hAnsi="宋体" w:cs="仿宋_GB2312"/>
          <w:kern w:val="0"/>
          <w:sz w:val="24"/>
          <w:highlight w:val="none"/>
        </w:rPr>
      </w:pPr>
    </w:p>
    <w:p w14:paraId="76477C99">
      <w:pPr>
        <w:autoSpaceDE w:val="0"/>
        <w:autoSpaceDN w:val="0"/>
        <w:adjustRightInd w:val="0"/>
        <w:spacing w:line="360" w:lineRule="auto"/>
        <w:jc w:val="left"/>
        <w:rPr>
          <w:rFonts w:ascii="宋体" w:hAnsi="宋体" w:cs="仿宋_GB2312"/>
          <w:kern w:val="0"/>
          <w:sz w:val="24"/>
          <w:highlight w:val="none"/>
        </w:rPr>
      </w:pPr>
    </w:p>
    <w:p w14:paraId="692875B3">
      <w:pPr>
        <w:autoSpaceDE w:val="0"/>
        <w:autoSpaceDN w:val="0"/>
        <w:adjustRightInd w:val="0"/>
        <w:spacing w:line="360" w:lineRule="auto"/>
        <w:jc w:val="left"/>
        <w:rPr>
          <w:rFonts w:ascii="宋体" w:hAnsi="宋体" w:cs="仿宋_GB2312"/>
          <w:kern w:val="0"/>
          <w:sz w:val="24"/>
          <w:highlight w:val="none"/>
        </w:rPr>
      </w:pPr>
    </w:p>
    <w:p w14:paraId="5D4E147E">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供应商：</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（盖单位章）</w:t>
      </w:r>
    </w:p>
    <w:p w14:paraId="272C3A55">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法定代表人：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2E7BB183">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4F9B86CF">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委托代理人：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6F9368F7">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5784B49C">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1AEB01E9">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39959880">
      <w:pPr>
        <w:pStyle w:val="423"/>
        <w:spacing w:line="360" w:lineRule="auto"/>
        <w:ind w:firstLine="0" w:firstLineChars="0"/>
        <w:outlineLvl w:val="1"/>
        <w:rPr>
          <w:b/>
          <w:sz w:val="24"/>
          <w:highlight w:val="none"/>
        </w:rPr>
      </w:pPr>
      <w:r>
        <w:rPr>
          <w:rFonts w:hint="eastAsia"/>
          <w:b/>
          <w:sz w:val="24"/>
          <w:highlight w:val="none"/>
        </w:rPr>
        <w:t xml:space="preserve">附件4   </w:t>
      </w:r>
      <w:r>
        <w:rPr>
          <w:rFonts w:hint="eastAsia"/>
          <w:b/>
          <w:sz w:val="24"/>
          <w:highlight w:val="none"/>
          <w:lang w:eastAsia="zh-CN"/>
        </w:rPr>
        <w:t>磋商</w:t>
      </w:r>
      <w:r>
        <w:rPr>
          <w:rFonts w:hint="eastAsia"/>
          <w:b/>
          <w:sz w:val="24"/>
          <w:highlight w:val="none"/>
        </w:rPr>
        <w:t>保证金</w:t>
      </w:r>
      <w:bookmarkEnd w:id="111"/>
      <w:bookmarkEnd w:id="112"/>
    </w:p>
    <w:p w14:paraId="78735B83">
      <w:pPr>
        <w:spacing w:before="120" w:after="120" w:line="360" w:lineRule="auto"/>
        <w:ind w:firstLine="420" w:firstLineChars="200"/>
        <w:rPr>
          <w:rFonts w:ascii="宋体"/>
          <w:szCs w:val="21"/>
          <w:highlight w:val="none"/>
        </w:rPr>
      </w:pPr>
      <w:r>
        <w:rPr>
          <w:rFonts w:hint="eastAsia" w:ascii="宋体"/>
          <w:szCs w:val="21"/>
          <w:highlight w:val="none"/>
        </w:rPr>
        <w:t>（无）</w:t>
      </w:r>
    </w:p>
    <w:p w14:paraId="31EFDDDF">
      <w:pPr>
        <w:jc w:val="center"/>
        <w:rPr>
          <w:b/>
          <w:sz w:val="24"/>
          <w:highlight w:val="none"/>
        </w:rPr>
      </w:pPr>
    </w:p>
    <w:p w14:paraId="24626C7D">
      <w:pPr>
        <w:ind w:firstLine="422"/>
        <w:rPr>
          <w:rFonts w:ascii="宋体"/>
          <w:b/>
          <w:szCs w:val="21"/>
          <w:highlight w:val="none"/>
        </w:rPr>
      </w:pPr>
    </w:p>
    <w:p w14:paraId="02D0EBEE">
      <w:pPr>
        <w:ind w:firstLine="422"/>
        <w:rPr>
          <w:rFonts w:ascii="宋体"/>
          <w:b/>
          <w:szCs w:val="21"/>
          <w:highlight w:val="none"/>
        </w:rPr>
      </w:pPr>
    </w:p>
    <w:p w14:paraId="449A19D4">
      <w:pPr>
        <w:ind w:firstLine="422"/>
        <w:rPr>
          <w:rFonts w:ascii="宋体"/>
          <w:b/>
          <w:szCs w:val="21"/>
          <w:highlight w:val="none"/>
        </w:rPr>
      </w:pPr>
    </w:p>
    <w:p w14:paraId="19300A0B">
      <w:pPr>
        <w:ind w:firstLine="422"/>
        <w:rPr>
          <w:rFonts w:ascii="宋体"/>
          <w:b/>
          <w:szCs w:val="21"/>
          <w:highlight w:val="none"/>
        </w:rPr>
      </w:pPr>
    </w:p>
    <w:p w14:paraId="7A90BC01">
      <w:pPr>
        <w:ind w:firstLine="422"/>
        <w:rPr>
          <w:rFonts w:ascii="宋体"/>
          <w:b/>
          <w:szCs w:val="21"/>
          <w:highlight w:val="none"/>
        </w:rPr>
      </w:pPr>
    </w:p>
    <w:p w14:paraId="1A5BF761">
      <w:pPr>
        <w:ind w:firstLine="422"/>
        <w:rPr>
          <w:rFonts w:ascii="宋体"/>
          <w:b/>
          <w:szCs w:val="21"/>
          <w:highlight w:val="none"/>
        </w:rPr>
      </w:pPr>
    </w:p>
    <w:p w14:paraId="6D3D9B95">
      <w:pPr>
        <w:ind w:firstLine="422"/>
        <w:rPr>
          <w:rFonts w:ascii="宋体"/>
          <w:b/>
          <w:szCs w:val="21"/>
          <w:highlight w:val="none"/>
        </w:rPr>
      </w:pPr>
    </w:p>
    <w:p w14:paraId="74CB4AFB">
      <w:pPr>
        <w:ind w:firstLine="422"/>
        <w:rPr>
          <w:rFonts w:ascii="宋体"/>
          <w:b/>
          <w:szCs w:val="21"/>
          <w:highlight w:val="none"/>
        </w:rPr>
      </w:pPr>
    </w:p>
    <w:p w14:paraId="62469472">
      <w:pPr>
        <w:ind w:firstLine="422"/>
        <w:rPr>
          <w:rFonts w:ascii="宋体"/>
          <w:b/>
          <w:szCs w:val="21"/>
          <w:highlight w:val="none"/>
        </w:rPr>
      </w:pPr>
    </w:p>
    <w:p w14:paraId="4F3946F8">
      <w:pPr>
        <w:spacing w:before="156" w:beforeLines="50" w:line="440" w:lineRule="exact"/>
        <w:ind w:firstLine="422"/>
        <w:rPr>
          <w:rFonts w:ascii="宋体"/>
          <w:b/>
          <w:szCs w:val="21"/>
          <w:highlight w:val="none"/>
        </w:rPr>
      </w:pPr>
    </w:p>
    <w:p w14:paraId="3500F1F5">
      <w:pPr>
        <w:spacing w:line="480" w:lineRule="exact"/>
        <w:ind w:firstLine="482" w:firstLineChars="200"/>
        <w:rPr>
          <w:rFonts w:ascii="仿宋_GB2312" w:hAnsi="仿宋_GB2312" w:eastAsia="仿宋_GB2312" w:cs="宋体"/>
          <w:b/>
          <w:kern w:val="0"/>
          <w:sz w:val="24"/>
          <w:szCs w:val="28"/>
          <w:highlight w:val="none"/>
        </w:rPr>
      </w:pPr>
    </w:p>
    <w:p w14:paraId="7A740FFF">
      <w:pPr>
        <w:spacing w:line="480" w:lineRule="exact"/>
        <w:ind w:firstLine="482" w:firstLineChars="200"/>
        <w:rPr>
          <w:rFonts w:ascii="仿宋_GB2312" w:hAnsi="仿宋_GB2312" w:eastAsia="仿宋_GB2312" w:cs="宋体"/>
          <w:b/>
          <w:kern w:val="0"/>
          <w:sz w:val="24"/>
          <w:szCs w:val="28"/>
          <w:highlight w:val="none"/>
        </w:rPr>
        <w:sectPr>
          <w:footerReference r:id="rId13" w:type="default"/>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F817B1">
      <w:pPr>
        <w:pStyle w:val="423"/>
        <w:spacing w:line="360" w:lineRule="auto"/>
        <w:ind w:firstLine="0" w:firstLineChars="0"/>
        <w:outlineLvl w:val="1"/>
        <w:rPr>
          <w:b/>
          <w:sz w:val="24"/>
          <w:highlight w:val="none"/>
        </w:rPr>
      </w:pPr>
      <w:bookmarkStart w:id="115" w:name="_Toc143577473"/>
      <w:bookmarkStart w:id="116" w:name="_Toc468781351"/>
      <w:r>
        <w:rPr>
          <w:rFonts w:hint="eastAsia"/>
          <w:b/>
          <w:sz w:val="24"/>
          <w:highlight w:val="none"/>
        </w:rPr>
        <w:t>附件5  分项报价表</w:t>
      </w:r>
    </w:p>
    <w:p w14:paraId="0F05D573">
      <w:pPr>
        <w:pStyle w:val="421"/>
        <w:ind w:firstLine="0"/>
        <w:jc w:val="center"/>
        <w:rPr>
          <w:rFonts w:ascii="宋体" w:hAnsi="宋体" w:cs="宋体"/>
          <w:sz w:val="30"/>
          <w:szCs w:val="30"/>
          <w:highlight w:val="none"/>
        </w:rPr>
      </w:pPr>
    </w:p>
    <w:p w14:paraId="15BD7C87">
      <w:pPr>
        <w:snapToGrid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14:paraId="4E0355A6">
      <w:pPr>
        <w:pStyle w:val="31"/>
        <w:spacing w:before="78" w:line="218" w:lineRule="auto"/>
        <w:ind w:left="2696"/>
        <w:outlineLvl w:val="1"/>
        <w:rPr>
          <w:sz w:val="24"/>
          <w:szCs w:val="24"/>
        </w:rPr>
      </w:pPr>
      <w:r>
        <w:rPr>
          <w:b/>
          <w:bCs/>
          <w:spacing w:val="-3"/>
          <w:sz w:val="24"/>
          <w:szCs w:val="24"/>
        </w:rPr>
        <w:t>投标分项报价表（本项目不采用）</w:t>
      </w:r>
    </w:p>
    <w:p w14:paraId="2971959C">
      <w:pPr>
        <w:spacing w:line="153" w:lineRule="exact"/>
      </w:pPr>
    </w:p>
    <w:tbl>
      <w:tblPr>
        <w:tblStyle w:val="433"/>
        <w:tblW w:w="9049"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99"/>
        <w:gridCol w:w="1439"/>
        <w:gridCol w:w="1799"/>
        <w:gridCol w:w="1668"/>
      </w:tblGrid>
      <w:tr w14:paraId="6A96F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44" w:type="dxa"/>
            <w:vAlign w:val="top"/>
          </w:tcPr>
          <w:p w14:paraId="6B27A911">
            <w:pPr>
              <w:pStyle w:val="434"/>
              <w:spacing w:before="134" w:line="221" w:lineRule="auto"/>
              <w:ind w:left="183"/>
            </w:pPr>
            <w:r>
              <w:rPr>
                <w:b/>
                <w:bCs/>
                <w:spacing w:val="-5"/>
              </w:rPr>
              <w:t>序号</w:t>
            </w:r>
          </w:p>
        </w:tc>
        <w:tc>
          <w:tcPr>
            <w:tcW w:w="3299" w:type="dxa"/>
            <w:vAlign w:val="top"/>
          </w:tcPr>
          <w:p w14:paraId="5D19465A">
            <w:pPr>
              <w:pStyle w:val="434"/>
              <w:spacing w:before="133" w:line="220" w:lineRule="auto"/>
              <w:ind w:left="1169"/>
            </w:pPr>
            <w:r>
              <w:rPr>
                <w:b/>
                <w:bCs/>
                <w:spacing w:val="-4"/>
              </w:rPr>
              <w:t>服务内容</w:t>
            </w:r>
          </w:p>
        </w:tc>
        <w:tc>
          <w:tcPr>
            <w:tcW w:w="1439" w:type="dxa"/>
            <w:vAlign w:val="top"/>
          </w:tcPr>
          <w:p w14:paraId="40F9856D">
            <w:pPr>
              <w:pStyle w:val="434"/>
              <w:spacing w:before="134" w:line="220" w:lineRule="auto"/>
              <w:ind w:left="608"/>
            </w:pPr>
            <w:r>
              <w:rPr>
                <w:b/>
                <w:bCs/>
                <w:spacing w:val="-3"/>
              </w:rPr>
              <w:t>项</w:t>
            </w:r>
          </w:p>
        </w:tc>
        <w:tc>
          <w:tcPr>
            <w:tcW w:w="1799" w:type="dxa"/>
            <w:vAlign w:val="top"/>
          </w:tcPr>
          <w:p w14:paraId="3D66C287">
            <w:pPr>
              <w:pStyle w:val="434"/>
              <w:spacing w:before="134" w:line="218" w:lineRule="auto"/>
              <w:ind w:left="665"/>
            </w:pPr>
            <w:r>
              <w:rPr>
                <w:b/>
                <w:bCs/>
                <w:spacing w:val="-5"/>
              </w:rPr>
              <w:t>单价</w:t>
            </w:r>
          </w:p>
        </w:tc>
        <w:tc>
          <w:tcPr>
            <w:tcW w:w="1668" w:type="dxa"/>
            <w:vAlign w:val="top"/>
          </w:tcPr>
          <w:p w14:paraId="04CB0F95">
            <w:pPr>
              <w:pStyle w:val="434"/>
              <w:spacing w:before="133" w:line="220" w:lineRule="auto"/>
              <w:jc w:val="right"/>
            </w:pPr>
            <w:r>
              <w:rPr>
                <w:b/>
                <w:bCs/>
                <w:spacing w:val="-24"/>
              </w:rPr>
              <w:t>小计金额（元）</w:t>
            </w:r>
          </w:p>
        </w:tc>
      </w:tr>
      <w:tr w14:paraId="48350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44" w:type="dxa"/>
            <w:vAlign w:val="top"/>
          </w:tcPr>
          <w:p w14:paraId="78C2F596">
            <w:pPr>
              <w:pStyle w:val="434"/>
              <w:spacing w:before="163" w:line="241" w:lineRule="auto"/>
              <w:ind w:left="384"/>
            </w:pPr>
            <w:r>
              <w:t>1</w:t>
            </w:r>
          </w:p>
        </w:tc>
        <w:tc>
          <w:tcPr>
            <w:tcW w:w="3299" w:type="dxa"/>
            <w:vAlign w:val="top"/>
          </w:tcPr>
          <w:p w14:paraId="56D172BD">
            <w:pPr>
              <w:rPr>
                <w:rFonts w:ascii="Arial"/>
                <w:sz w:val="21"/>
              </w:rPr>
            </w:pPr>
          </w:p>
        </w:tc>
        <w:tc>
          <w:tcPr>
            <w:tcW w:w="1439" w:type="dxa"/>
            <w:vAlign w:val="top"/>
          </w:tcPr>
          <w:p w14:paraId="0D3A19DD">
            <w:pPr>
              <w:rPr>
                <w:rFonts w:ascii="Arial"/>
                <w:sz w:val="21"/>
              </w:rPr>
            </w:pPr>
          </w:p>
        </w:tc>
        <w:tc>
          <w:tcPr>
            <w:tcW w:w="1799" w:type="dxa"/>
            <w:vAlign w:val="top"/>
          </w:tcPr>
          <w:p w14:paraId="5F5910A1">
            <w:pPr>
              <w:rPr>
                <w:rFonts w:ascii="Arial"/>
                <w:sz w:val="21"/>
              </w:rPr>
            </w:pPr>
          </w:p>
        </w:tc>
        <w:tc>
          <w:tcPr>
            <w:tcW w:w="1668" w:type="dxa"/>
            <w:vAlign w:val="top"/>
          </w:tcPr>
          <w:p w14:paraId="698D696F">
            <w:pPr>
              <w:rPr>
                <w:rFonts w:ascii="Arial"/>
                <w:sz w:val="21"/>
              </w:rPr>
            </w:pPr>
          </w:p>
        </w:tc>
      </w:tr>
      <w:tr w14:paraId="1213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18EE5BA4">
            <w:pPr>
              <w:pStyle w:val="434"/>
              <w:spacing w:before="162" w:line="241" w:lineRule="auto"/>
              <w:ind w:left="369"/>
            </w:pPr>
            <w:r>
              <w:t>2</w:t>
            </w:r>
          </w:p>
        </w:tc>
        <w:tc>
          <w:tcPr>
            <w:tcW w:w="3299" w:type="dxa"/>
            <w:vAlign w:val="top"/>
          </w:tcPr>
          <w:p w14:paraId="46BEE978">
            <w:pPr>
              <w:rPr>
                <w:rFonts w:ascii="Arial"/>
                <w:sz w:val="21"/>
              </w:rPr>
            </w:pPr>
          </w:p>
        </w:tc>
        <w:tc>
          <w:tcPr>
            <w:tcW w:w="1439" w:type="dxa"/>
            <w:vAlign w:val="top"/>
          </w:tcPr>
          <w:p w14:paraId="79FCDCAE">
            <w:pPr>
              <w:rPr>
                <w:rFonts w:ascii="Arial"/>
                <w:sz w:val="21"/>
              </w:rPr>
            </w:pPr>
          </w:p>
        </w:tc>
        <w:tc>
          <w:tcPr>
            <w:tcW w:w="1799" w:type="dxa"/>
            <w:vAlign w:val="top"/>
          </w:tcPr>
          <w:p w14:paraId="5440FDCB">
            <w:pPr>
              <w:rPr>
                <w:rFonts w:ascii="Arial"/>
                <w:sz w:val="21"/>
              </w:rPr>
            </w:pPr>
          </w:p>
        </w:tc>
        <w:tc>
          <w:tcPr>
            <w:tcW w:w="1668" w:type="dxa"/>
            <w:vAlign w:val="top"/>
          </w:tcPr>
          <w:p w14:paraId="5B1586D1">
            <w:pPr>
              <w:rPr>
                <w:rFonts w:ascii="Arial"/>
                <w:sz w:val="21"/>
              </w:rPr>
            </w:pPr>
          </w:p>
        </w:tc>
      </w:tr>
      <w:tr w14:paraId="2A97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765D2DB5">
            <w:pPr>
              <w:pStyle w:val="434"/>
              <w:spacing w:before="163"/>
              <w:ind w:left="371"/>
            </w:pPr>
            <w:r>
              <w:t>3</w:t>
            </w:r>
          </w:p>
        </w:tc>
        <w:tc>
          <w:tcPr>
            <w:tcW w:w="3299" w:type="dxa"/>
            <w:vAlign w:val="top"/>
          </w:tcPr>
          <w:p w14:paraId="7F21FAF5">
            <w:pPr>
              <w:rPr>
                <w:rFonts w:ascii="Arial"/>
                <w:sz w:val="21"/>
              </w:rPr>
            </w:pPr>
          </w:p>
        </w:tc>
        <w:tc>
          <w:tcPr>
            <w:tcW w:w="1439" w:type="dxa"/>
            <w:vAlign w:val="top"/>
          </w:tcPr>
          <w:p w14:paraId="61205D6F">
            <w:pPr>
              <w:rPr>
                <w:rFonts w:ascii="Arial"/>
                <w:sz w:val="21"/>
              </w:rPr>
            </w:pPr>
          </w:p>
        </w:tc>
        <w:tc>
          <w:tcPr>
            <w:tcW w:w="1799" w:type="dxa"/>
            <w:vAlign w:val="top"/>
          </w:tcPr>
          <w:p w14:paraId="577122AA">
            <w:pPr>
              <w:rPr>
                <w:rFonts w:ascii="Arial"/>
                <w:sz w:val="21"/>
              </w:rPr>
            </w:pPr>
          </w:p>
        </w:tc>
        <w:tc>
          <w:tcPr>
            <w:tcW w:w="1668" w:type="dxa"/>
            <w:vAlign w:val="top"/>
          </w:tcPr>
          <w:p w14:paraId="1632EDAD">
            <w:pPr>
              <w:rPr>
                <w:rFonts w:ascii="Arial"/>
                <w:sz w:val="21"/>
              </w:rPr>
            </w:pPr>
          </w:p>
        </w:tc>
      </w:tr>
      <w:tr w14:paraId="1C25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2C76FF60">
            <w:pPr>
              <w:pStyle w:val="434"/>
              <w:spacing w:before="167" w:line="378" w:lineRule="exact"/>
              <w:ind w:left="321"/>
            </w:pPr>
            <w:r>
              <w:rPr>
                <w:position w:val="3"/>
              </w:rPr>
              <w:t>…</w:t>
            </w:r>
          </w:p>
        </w:tc>
        <w:tc>
          <w:tcPr>
            <w:tcW w:w="3299" w:type="dxa"/>
            <w:vAlign w:val="top"/>
          </w:tcPr>
          <w:p w14:paraId="66DB871C">
            <w:pPr>
              <w:rPr>
                <w:rFonts w:ascii="Arial"/>
                <w:sz w:val="21"/>
              </w:rPr>
            </w:pPr>
          </w:p>
        </w:tc>
        <w:tc>
          <w:tcPr>
            <w:tcW w:w="1439" w:type="dxa"/>
            <w:vAlign w:val="top"/>
          </w:tcPr>
          <w:p w14:paraId="39501A09">
            <w:pPr>
              <w:rPr>
                <w:rFonts w:ascii="Arial"/>
                <w:sz w:val="21"/>
              </w:rPr>
            </w:pPr>
          </w:p>
        </w:tc>
        <w:tc>
          <w:tcPr>
            <w:tcW w:w="1799" w:type="dxa"/>
            <w:vAlign w:val="top"/>
          </w:tcPr>
          <w:p w14:paraId="719A6C88">
            <w:pPr>
              <w:rPr>
                <w:rFonts w:ascii="Arial"/>
                <w:sz w:val="21"/>
              </w:rPr>
            </w:pPr>
          </w:p>
        </w:tc>
        <w:tc>
          <w:tcPr>
            <w:tcW w:w="1668" w:type="dxa"/>
            <w:vAlign w:val="top"/>
          </w:tcPr>
          <w:p w14:paraId="30366A0C">
            <w:pPr>
              <w:rPr>
                <w:rFonts w:ascii="Arial"/>
                <w:sz w:val="21"/>
              </w:rPr>
            </w:pPr>
          </w:p>
        </w:tc>
      </w:tr>
      <w:tr w14:paraId="06951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4" w:type="dxa"/>
            <w:vAlign w:val="top"/>
          </w:tcPr>
          <w:p w14:paraId="0353FBE5">
            <w:pPr>
              <w:rPr>
                <w:rFonts w:ascii="Arial"/>
                <w:sz w:val="21"/>
              </w:rPr>
            </w:pPr>
          </w:p>
        </w:tc>
        <w:tc>
          <w:tcPr>
            <w:tcW w:w="3299" w:type="dxa"/>
            <w:vAlign w:val="top"/>
          </w:tcPr>
          <w:p w14:paraId="76B51B6E">
            <w:pPr>
              <w:pStyle w:val="434"/>
              <w:spacing w:before="165" w:line="220" w:lineRule="auto"/>
              <w:ind w:left="1119"/>
            </w:pPr>
            <w:r>
              <w:rPr>
                <w:spacing w:val="-2"/>
              </w:rPr>
              <w:t>其他费用</w:t>
            </w:r>
          </w:p>
        </w:tc>
        <w:tc>
          <w:tcPr>
            <w:tcW w:w="1439" w:type="dxa"/>
            <w:vAlign w:val="top"/>
          </w:tcPr>
          <w:p w14:paraId="01F3E475">
            <w:pPr>
              <w:rPr>
                <w:rFonts w:ascii="Arial"/>
                <w:sz w:val="21"/>
              </w:rPr>
            </w:pPr>
          </w:p>
        </w:tc>
        <w:tc>
          <w:tcPr>
            <w:tcW w:w="1799" w:type="dxa"/>
            <w:vAlign w:val="top"/>
          </w:tcPr>
          <w:p w14:paraId="5930FF6C">
            <w:pPr>
              <w:rPr>
                <w:rFonts w:ascii="Arial"/>
                <w:sz w:val="21"/>
              </w:rPr>
            </w:pPr>
          </w:p>
        </w:tc>
        <w:tc>
          <w:tcPr>
            <w:tcW w:w="1668" w:type="dxa"/>
            <w:vAlign w:val="top"/>
          </w:tcPr>
          <w:p w14:paraId="03C65D1F">
            <w:pPr>
              <w:rPr>
                <w:rFonts w:ascii="Arial"/>
                <w:sz w:val="21"/>
              </w:rPr>
            </w:pPr>
          </w:p>
        </w:tc>
      </w:tr>
      <w:tr w14:paraId="4B76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3D749F26">
            <w:pPr>
              <w:rPr>
                <w:rFonts w:ascii="Arial"/>
                <w:sz w:val="21"/>
              </w:rPr>
            </w:pPr>
          </w:p>
        </w:tc>
        <w:tc>
          <w:tcPr>
            <w:tcW w:w="3299" w:type="dxa"/>
            <w:vAlign w:val="top"/>
          </w:tcPr>
          <w:p w14:paraId="5EFCEDE9">
            <w:pPr>
              <w:pStyle w:val="434"/>
              <w:spacing w:before="168" w:line="378" w:lineRule="exact"/>
              <w:ind w:left="1426"/>
            </w:pPr>
            <w:r>
              <w:rPr>
                <w:spacing w:val="-7"/>
                <w:position w:val="3"/>
              </w:rPr>
              <w:t>……</w:t>
            </w:r>
          </w:p>
        </w:tc>
        <w:tc>
          <w:tcPr>
            <w:tcW w:w="1439" w:type="dxa"/>
            <w:vAlign w:val="top"/>
          </w:tcPr>
          <w:p w14:paraId="1E29BBEB">
            <w:pPr>
              <w:rPr>
                <w:rFonts w:ascii="Arial"/>
                <w:sz w:val="21"/>
              </w:rPr>
            </w:pPr>
          </w:p>
        </w:tc>
        <w:tc>
          <w:tcPr>
            <w:tcW w:w="1799" w:type="dxa"/>
            <w:vAlign w:val="top"/>
          </w:tcPr>
          <w:p w14:paraId="1B28FAAB">
            <w:pPr>
              <w:rPr>
                <w:rFonts w:ascii="Arial"/>
                <w:sz w:val="21"/>
              </w:rPr>
            </w:pPr>
          </w:p>
        </w:tc>
        <w:tc>
          <w:tcPr>
            <w:tcW w:w="1668" w:type="dxa"/>
            <w:vAlign w:val="top"/>
          </w:tcPr>
          <w:p w14:paraId="1517DD2D">
            <w:pPr>
              <w:rPr>
                <w:rFonts w:ascii="Arial"/>
                <w:sz w:val="21"/>
              </w:rPr>
            </w:pPr>
          </w:p>
        </w:tc>
      </w:tr>
      <w:tr w14:paraId="415CF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381" w:type="dxa"/>
            <w:gridSpan w:val="4"/>
            <w:vAlign w:val="top"/>
          </w:tcPr>
          <w:p w14:paraId="7325D520">
            <w:pPr>
              <w:pStyle w:val="434"/>
              <w:spacing w:before="165" w:line="220" w:lineRule="auto"/>
              <w:ind w:left="2857"/>
            </w:pPr>
            <w:r>
              <w:rPr>
                <w:spacing w:val="-4"/>
              </w:rPr>
              <w:t>合计金额（元）</w:t>
            </w:r>
          </w:p>
        </w:tc>
        <w:tc>
          <w:tcPr>
            <w:tcW w:w="1668" w:type="dxa"/>
            <w:vAlign w:val="top"/>
          </w:tcPr>
          <w:p w14:paraId="3568B0F8">
            <w:pPr>
              <w:rPr>
                <w:rFonts w:ascii="Arial"/>
                <w:sz w:val="21"/>
              </w:rPr>
            </w:pPr>
          </w:p>
        </w:tc>
      </w:tr>
    </w:tbl>
    <w:p w14:paraId="2BCC5A95">
      <w:pPr>
        <w:spacing w:line="269" w:lineRule="auto"/>
        <w:rPr>
          <w:rFonts w:ascii="Arial"/>
          <w:sz w:val="21"/>
        </w:rPr>
      </w:pPr>
    </w:p>
    <w:p w14:paraId="0D39027C">
      <w:pPr>
        <w:spacing w:line="269" w:lineRule="auto"/>
        <w:rPr>
          <w:rFonts w:ascii="Arial"/>
          <w:sz w:val="21"/>
        </w:rPr>
      </w:pPr>
    </w:p>
    <w:p w14:paraId="73128880">
      <w:pPr>
        <w:pStyle w:val="2"/>
        <w:rPr>
          <w:rFonts w:hint="eastAsia"/>
          <w:lang w:val="en-US" w:eastAsia="zh-CN"/>
        </w:rPr>
      </w:pPr>
    </w:p>
    <w:p w14:paraId="5C9C27C4">
      <w:pPr>
        <w:snapToGrid w:val="0"/>
        <w:jc w:val="left"/>
        <w:rPr>
          <w:rFonts w:ascii="宋体" w:hAnsi="宋体" w:cs="宋体"/>
          <w:szCs w:val="21"/>
          <w:highlight w:val="none"/>
        </w:rPr>
      </w:pPr>
      <w:r>
        <w:rPr>
          <w:rFonts w:hint="eastAsia" w:ascii="宋体" w:hAnsi="宋体" w:cs="宋体"/>
          <w:szCs w:val="21"/>
          <w:highlight w:val="none"/>
        </w:rPr>
        <w:t>注：1. 供应商需严格按照</w:t>
      </w:r>
      <w:r>
        <w:rPr>
          <w:rFonts w:hint="eastAsia" w:ascii="宋体" w:hAnsi="宋体" w:cs="宋体"/>
          <w:szCs w:val="21"/>
          <w:highlight w:val="none"/>
          <w:lang w:eastAsia="zh-CN"/>
        </w:rPr>
        <w:t>磋商</w:t>
      </w:r>
      <w:r>
        <w:rPr>
          <w:rFonts w:hint="eastAsia" w:ascii="宋体" w:hAnsi="宋体" w:cs="宋体"/>
          <w:szCs w:val="21"/>
          <w:highlight w:val="none"/>
        </w:rPr>
        <w:t>文件的采购需求编写分项报价。</w:t>
      </w:r>
    </w:p>
    <w:p w14:paraId="3AD6BB60">
      <w:pPr>
        <w:snapToGrid w:val="0"/>
        <w:ind w:firstLine="420" w:firstLineChars="200"/>
        <w:jc w:val="left"/>
        <w:rPr>
          <w:rFonts w:ascii="宋体" w:hAnsi="宋体" w:cs="宋体"/>
          <w:szCs w:val="21"/>
          <w:highlight w:val="none"/>
        </w:rPr>
      </w:pPr>
      <w:r>
        <w:rPr>
          <w:rFonts w:hint="eastAsia" w:ascii="宋体" w:hAnsi="宋体" w:cs="宋体"/>
          <w:szCs w:val="21"/>
          <w:highlight w:val="none"/>
        </w:rPr>
        <w:t>2. 供应商可根据实际情况自行扩展表格细项。</w:t>
      </w:r>
    </w:p>
    <w:p w14:paraId="1A78A669">
      <w:pPr>
        <w:snapToGrid w:val="0"/>
        <w:jc w:val="left"/>
        <w:rPr>
          <w:rFonts w:ascii="宋体" w:hAnsi="宋体" w:cs="宋体"/>
          <w:szCs w:val="21"/>
          <w:highlight w:val="none"/>
        </w:rPr>
      </w:pPr>
    </w:p>
    <w:p w14:paraId="35E823A7">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公章         </w:t>
      </w:r>
    </w:p>
    <w:p w14:paraId="6398A47C">
      <w:pPr>
        <w:rPr>
          <w:rFonts w:ascii="宋体" w:hAnsi="宋体" w:cs="宋体"/>
          <w:szCs w:val="21"/>
          <w:highlight w:val="none"/>
          <w:u w:val="single"/>
        </w:rPr>
      </w:pPr>
      <w:r>
        <w:rPr>
          <w:rFonts w:ascii="宋体" w:hAnsi="宋体"/>
          <w:szCs w:val="21"/>
          <w:highlight w:val="none"/>
        </w:rPr>
        <w:t>法定代表人或其授权代表</w:t>
      </w:r>
      <w:r>
        <w:rPr>
          <w:rFonts w:hint="eastAsia" w:ascii="宋体" w:hAnsi="宋体" w:cs="宋体"/>
          <w:szCs w:val="21"/>
          <w:highlight w:val="none"/>
        </w:rPr>
        <w:t>：</w:t>
      </w:r>
      <w:r>
        <w:rPr>
          <w:rFonts w:hint="eastAsia" w:ascii="宋体" w:hAnsi="宋体" w:cs="宋体"/>
          <w:szCs w:val="21"/>
          <w:highlight w:val="none"/>
          <w:u w:val="single"/>
        </w:rPr>
        <w:t xml:space="preserve">     签字或加盖人名章             </w:t>
      </w:r>
    </w:p>
    <w:p w14:paraId="3CF4E3FD">
      <w:pPr>
        <w:pStyle w:val="4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日期 ：</w:t>
      </w:r>
      <w:r>
        <w:rPr>
          <w:rFonts w:hint="eastAsia" w:ascii="宋体" w:hAnsi="宋体" w:cs="宋体"/>
          <w:sz w:val="21"/>
          <w:szCs w:val="21"/>
          <w:highlight w:val="none"/>
          <w:u w:val="single"/>
        </w:rPr>
        <w:t xml:space="preserve">                         </w:t>
      </w:r>
    </w:p>
    <w:p w14:paraId="24AB5BF5">
      <w:pPr>
        <w:widowControl/>
        <w:jc w:val="left"/>
        <w:rPr>
          <w:sz w:val="24"/>
          <w:highlight w:val="none"/>
        </w:rPr>
      </w:pPr>
      <w:r>
        <w:rPr>
          <w:sz w:val="24"/>
          <w:highlight w:val="none"/>
        </w:rPr>
        <w:br w:type="page"/>
      </w:r>
    </w:p>
    <w:p w14:paraId="5D80AEDE">
      <w:pPr>
        <w:pStyle w:val="423"/>
        <w:spacing w:line="360" w:lineRule="auto"/>
        <w:ind w:firstLine="0" w:firstLineChars="0"/>
        <w:outlineLvl w:val="1"/>
        <w:rPr>
          <w:b/>
          <w:sz w:val="24"/>
          <w:highlight w:val="none"/>
        </w:rPr>
      </w:pPr>
      <w:r>
        <w:rPr>
          <w:rFonts w:hint="eastAsia"/>
          <w:b/>
          <w:sz w:val="24"/>
          <w:highlight w:val="none"/>
        </w:rPr>
        <w:t xml:space="preserve">附件6  </w:t>
      </w:r>
      <w:r>
        <w:rPr>
          <w:b/>
          <w:sz w:val="24"/>
          <w:highlight w:val="none"/>
        </w:rPr>
        <w:t>商务、合同条款偏差表</w:t>
      </w:r>
    </w:p>
    <w:p w14:paraId="613408B9">
      <w:pPr>
        <w:spacing w:after="240"/>
        <w:ind w:hanging="119"/>
        <w:rPr>
          <w:highlight w:val="none"/>
        </w:rPr>
      </w:pPr>
    </w:p>
    <w:p w14:paraId="2085B1E2">
      <w:pPr>
        <w:spacing w:after="240"/>
        <w:ind w:hanging="119"/>
        <w:jc w:val="center"/>
        <w:rPr>
          <w:highlight w:val="none"/>
          <w:u w:val="single"/>
        </w:rPr>
      </w:pPr>
      <w:r>
        <w:rPr>
          <w:b/>
          <w:sz w:val="24"/>
          <w:highlight w:val="none"/>
        </w:rPr>
        <w:t>商务、合同条款偏差表</w:t>
      </w:r>
    </w:p>
    <w:tbl>
      <w:tblPr>
        <w:tblStyle w:val="74"/>
        <w:tblW w:w="8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3222"/>
        <w:gridCol w:w="1477"/>
        <w:gridCol w:w="2001"/>
      </w:tblGrid>
      <w:tr w14:paraId="7EA8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1935" w:type="dxa"/>
          </w:tcPr>
          <w:p w14:paraId="5D138A78">
            <w:pPr>
              <w:spacing w:line="440" w:lineRule="atLeast"/>
              <w:jc w:val="center"/>
              <w:rPr>
                <w:highlight w:val="none"/>
              </w:rPr>
            </w:pPr>
            <w:r>
              <w:rPr>
                <w:rFonts w:hint="eastAsia"/>
                <w:highlight w:val="none"/>
                <w:lang w:eastAsia="zh-CN"/>
              </w:rPr>
              <w:t>磋商</w:t>
            </w:r>
            <w:r>
              <w:rPr>
                <w:highlight w:val="none"/>
              </w:rPr>
              <w:t>文件条目号</w:t>
            </w:r>
          </w:p>
        </w:tc>
        <w:tc>
          <w:tcPr>
            <w:tcW w:w="3222" w:type="dxa"/>
          </w:tcPr>
          <w:p w14:paraId="11344ADA">
            <w:pPr>
              <w:spacing w:line="440" w:lineRule="atLeast"/>
              <w:jc w:val="center"/>
              <w:rPr>
                <w:rFonts w:hint="default" w:eastAsia="宋体"/>
                <w:highlight w:val="none"/>
                <w:lang w:val="en-US" w:eastAsia="zh-CN"/>
              </w:rPr>
            </w:pPr>
            <w:r>
              <w:rPr>
                <w:rFonts w:hint="eastAsia"/>
                <w:highlight w:val="none"/>
                <w:lang w:val="en-US" w:eastAsia="zh-CN"/>
              </w:rPr>
              <w:t>采购文件要求</w:t>
            </w:r>
          </w:p>
        </w:tc>
        <w:tc>
          <w:tcPr>
            <w:tcW w:w="1477" w:type="dxa"/>
          </w:tcPr>
          <w:p w14:paraId="04E595B1">
            <w:pPr>
              <w:spacing w:line="440" w:lineRule="atLeast"/>
              <w:jc w:val="center"/>
              <w:rPr>
                <w:rFonts w:hint="default" w:eastAsia="宋体"/>
                <w:highlight w:val="none"/>
                <w:lang w:val="en-US" w:eastAsia="zh-CN"/>
              </w:rPr>
            </w:pPr>
            <w:r>
              <w:rPr>
                <w:rFonts w:hint="eastAsia"/>
                <w:highlight w:val="none"/>
                <w:lang w:val="en-US" w:eastAsia="zh-CN"/>
              </w:rPr>
              <w:t>响应承诺</w:t>
            </w:r>
          </w:p>
        </w:tc>
        <w:tc>
          <w:tcPr>
            <w:tcW w:w="2001" w:type="dxa"/>
          </w:tcPr>
          <w:p w14:paraId="57B35D0B">
            <w:pPr>
              <w:spacing w:line="440" w:lineRule="atLeast"/>
              <w:jc w:val="center"/>
              <w:rPr>
                <w:rFonts w:hint="eastAsia" w:eastAsia="宋体"/>
                <w:highlight w:val="none"/>
                <w:lang w:eastAsia="zh-CN"/>
              </w:rPr>
            </w:pPr>
            <w:r>
              <w:rPr>
                <w:rFonts w:hint="eastAsia"/>
                <w:highlight w:val="none"/>
                <w:lang w:val="en-US" w:eastAsia="zh-CN"/>
              </w:rPr>
              <w:t>偏离说明</w:t>
            </w:r>
          </w:p>
        </w:tc>
      </w:tr>
      <w:tr w14:paraId="216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35" w:type="dxa"/>
          </w:tcPr>
          <w:p w14:paraId="681EB566">
            <w:pPr>
              <w:spacing w:line="440" w:lineRule="atLeast"/>
              <w:jc w:val="center"/>
              <w:rPr>
                <w:highlight w:val="none"/>
              </w:rPr>
            </w:pPr>
            <w:r>
              <w:rPr>
                <w:rFonts w:hint="eastAsia"/>
                <w:highlight w:val="none"/>
              </w:rPr>
              <w:t>付款响应</w:t>
            </w:r>
          </w:p>
        </w:tc>
        <w:tc>
          <w:tcPr>
            <w:tcW w:w="3222" w:type="dxa"/>
          </w:tcPr>
          <w:p w14:paraId="52D1EF7C">
            <w:pPr>
              <w:spacing w:line="440" w:lineRule="atLeast"/>
              <w:rPr>
                <w:highlight w:val="none"/>
              </w:rPr>
            </w:pPr>
          </w:p>
        </w:tc>
        <w:tc>
          <w:tcPr>
            <w:tcW w:w="1477" w:type="dxa"/>
          </w:tcPr>
          <w:p w14:paraId="678B42B7">
            <w:pPr>
              <w:spacing w:line="440" w:lineRule="atLeast"/>
              <w:rPr>
                <w:highlight w:val="none"/>
              </w:rPr>
            </w:pPr>
          </w:p>
        </w:tc>
        <w:tc>
          <w:tcPr>
            <w:tcW w:w="2001" w:type="dxa"/>
          </w:tcPr>
          <w:p w14:paraId="63AE397D">
            <w:pPr>
              <w:spacing w:line="440" w:lineRule="atLeast"/>
              <w:rPr>
                <w:highlight w:val="none"/>
              </w:rPr>
            </w:pPr>
          </w:p>
        </w:tc>
      </w:tr>
      <w:tr w14:paraId="7630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0D409C7">
            <w:pPr>
              <w:spacing w:line="440" w:lineRule="atLeast"/>
              <w:jc w:val="center"/>
              <w:rPr>
                <w:highlight w:val="none"/>
              </w:rPr>
            </w:pPr>
            <w:r>
              <w:rPr>
                <w:rFonts w:hint="eastAsia"/>
                <w:highlight w:val="none"/>
              </w:rPr>
              <w:t>服务期响应</w:t>
            </w:r>
          </w:p>
        </w:tc>
        <w:tc>
          <w:tcPr>
            <w:tcW w:w="3222" w:type="dxa"/>
          </w:tcPr>
          <w:p w14:paraId="49BE8E0D">
            <w:pPr>
              <w:spacing w:line="440" w:lineRule="atLeast"/>
              <w:rPr>
                <w:highlight w:val="none"/>
              </w:rPr>
            </w:pPr>
          </w:p>
        </w:tc>
        <w:tc>
          <w:tcPr>
            <w:tcW w:w="1477" w:type="dxa"/>
          </w:tcPr>
          <w:p w14:paraId="0551A8AD">
            <w:pPr>
              <w:spacing w:line="440" w:lineRule="atLeast"/>
              <w:rPr>
                <w:highlight w:val="none"/>
              </w:rPr>
            </w:pPr>
          </w:p>
        </w:tc>
        <w:tc>
          <w:tcPr>
            <w:tcW w:w="2001" w:type="dxa"/>
          </w:tcPr>
          <w:p w14:paraId="2143496C">
            <w:pPr>
              <w:spacing w:line="440" w:lineRule="atLeast"/>
              <w:rPr>
                <w:highlight w:val="none"/>
              </w:rPr>
            </w:pPr>
          </w:p>
        </w:tc>
      </w:tr>
      <w:tr w14:paraId="052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174FD58">
            <w:pPr>
              <w:spacing w:line="440" w:lineRule="atLeast"/>
              <w:jc w:val="center"/>
              <w:rPr>
                <w:highlight w:val="none"/>
              </w:rPr>
            </w:pPr>
            <w:r>
              <w:rPr>
                <w:rFonts w:hint="eastAsia"/>
                <w:highlight w:val="none"/>
              </w:rPr>
              <w:t>其他</w:t>
            </w:r>
          </w:p>
        </w:tc>
        <w:tc>
          <w:tcPr>
            <w:tcW w:w="3222" w:type="dxa"/>
          </w:tcPr>
          <w:p w14:paraId="42B8D479">
            <w:pPr>
              <w:spacing w:line="440" w:lineRule="atLeast"/>
              <w:rPr>
                <w:highlight w:val="none"/>
              </w:rPr>
            </w:pPr>
          </w:p>
        </w:tc>
        <w:tc>
          <w:tcPr>
            <w:tcW w:w="1477" w:type="dxa"/>
          </w:tcPr>
          <w:p w14:paraId="1A31D7D5">
            <w:pPr>
              <w:spacing w:line="440" w:lineRule="atLeast"/>
              <w:rPr>
                <w:highlight w:val="none"/>
              </w:rPr>
            </w:pPr>
          </w:p>
        </w:tc>
        <w:tc>
          <w:tcPr>
            <w:tcW w:w="2001" w:type="dxa"/>
          </w:tcPr>
          <w:p w14:paraId="4F91712B">
            <w:pPr>
              <w:spacing w:line="440" w:lineRule="atLeast"/>
              <w:rPr>
                <w:highlight w:val="none"/>
              </w:rPr>
            </w:pPr>
          </w:p>
        </w:tc>
      </w:tr>
      <w:tr w14:paraId="5657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15A3C1A3">
            <w:pPr>
              <w:spacing w:line="440" w:lineRule="atLeast"/>
              <w:rPr>
                <w:highlight w:val="none"/>
              </w:rPr>
            </w:pPr>
          </w:p>
        </w:tc>
        <w:tc>
          <w:tcPr>
            <w:tcW w:w="3222" w:type="dxa"/>
          </w:tcPr>
          <w:p w14:paraId="1F806F95">
            <w:pPr>
              <w:spacing w:line="440" w:lineRule="atLeast"/>
              <w:rPr>
                <w:highlight w:val="none"/>
              </w:rPr>
            </w:pPr>
          </w:p>
        </w:tc>
        <w:tc>
          <w:tcPr>
            <w:tcW w:w="1477" w:type="dxa"/>
          </w:tcPr>
          <w:p w14:paraId="3D28EC36">
            <w:pPr>
              <w:spacing w:line="440" w:lineRule="atLeast"/>
              <w:rPr>
                <w:highlight w:val="none"/>
              </w:rPr>
            </w:pPr>
          </w:p>
        </w:tc>
        <w:tc>
          <w:tcPr>
            <w:tcW w:w="2001" w:type="dxa"/>
          </w:tcPr>
          <w:p w14:paraId="35F5EB0A">
            <w:pPr>
              <w:spacing w:line="440" w:lineRule="atLeast"/>
              <w:rPr>
                <w:highlight w:val="none"/>
              </w:rPr>
            </w:pPr>
          </w:p>
        </w:tc>
      </w:tr>
      <w:tr w14:paraId="0AD2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23D0E44B">
            <w:pPr>
              <w:spacing w:line="440" w:lineRule="atLeast"/>
              <w:rPr>
                <w:szCs w:val="21"/>
                <w:highlight w:val="none"/>
              </w:rPr>
            </w:pPr>
          </w:p>
        </w:tc>
        <w:tc>
          <w:tcPr>
            <w:tcW w:w="3222" w:type="dxa"/>
          </w:tcPr>
          <w:p w14:paraId="7100D307">
            <w:pPr>
              <w:spacing w:line="440" w:lineRule="atLeast"/>
              <w:rPr>
                <w:highlight w:val="none"/>
              </w:rPr>
            </w:pPr>
          </w:p>
        </w:tc>
        <w:tc>
          <w:tcPr>
            <w:tcW w:w="1477" w:type="dxa"/>
          </w:tcPr>
          <w:p w14:paraId="49335163">
            <w:pPr>
              <w:spacing w:line="440" w:lineRule="atLeast"/>
              <w:rPr>
                <w:highlight w:val="none"/>
              </w:rPr>
            </w:pPr>
          </w:p>
        </w:tc>
        <w:tc>
          <w:tcPr>
            <w:tcW w:w="2001" w:type="dxa"/>
          </w:tcPr>
          <w:p w14:paraId="364BCA01">
            <w:pPr>
              <w:spacing w:line="440" w:lineRule="atLeast"/>
              <w:rPr>
                <w:highlight w:val="none"/>
              </w:rPr>
            </w:pPr>
          </w:p>
        </w:tc>
      </w:tr>
      <w:tr w14:paraId="764A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3F7463A3">
            <w:pPr>
              <w:spacing w:line="440" w:lineRule="atLeast"/>
              <w:rPr>
                <w:szCs w:val="21"/>
                <w:highlight w:val="none"/>
              </w:rPr>
            </w:pPr>
            <w:r>
              <w:rPr>
                <w:rFonts w:hint="eastAsia"/>
                <w:szCs w:val="21"/>
                <w:highlight w:val="none"/>
              </w:rPr>
              <w:t>……</w:t>
            </w:r>
          </w:p>
        </w:tc>
        <w:tc>
          <w:tcPr>
            <w:tcW w:w="3222" w:type="dxa"/>
          </w:tcPr>
          <w:p w14:paraId="148DD3B6">
            <w:pPr>
              <w:spacing w:line="440" w:lineRule="atLeast"/>
              <w:rPr>
                <w:highlight w:val="none"/>
              </w:rPr>
            </w:pPr>
          </w:p>
        </w:tc>
        <w:tc>
          <w:tcPr>
            <w:tcW w:w="1477" w:type="dxa"/>
          </w:tcPr>
          <w:p w14:paraId="0FB934FA">
            <w:pPr>
              <w:spacing w:line="440" w:lineRule="atLeast"/>
              <w:rPr>
                <w:highlight w:val="none"/>
              </w:rPr>
            </w:pPr>
          </w:p>
        </w:tc>
        <w:tc>
          <w:tcPr>
            <w:tcW w:w="2001" w:type="dxa"/>
          </w:tcPr>
          <w:p w14:paraId="64A57442">
            <w:pPr>
              <w:spacing w:line="440" w:lineRule="atLeast"/>
              <w:rPr>
                <w:highlight w:val="none"/>
              </w:rPr>
            </w:pPr>
          </w:p>
        </w:tc>
      </w:tr>
    </w:tbl>
    <w:p w14:paraId="33FEFD32">
      <w:pPr>
        <w:spacing w:before="156" w:beforeLines="50" w:line="440" w:lineRule="exact"/>
        <w:ind w:left="-103" w:leftChars="-49" w:firstLine="15"/>
        <w:rPr>
          <w:highlight w:val="none"/>
        </w:rPr>
      </w:pPr>
      <w:r>
        <w:rPr>
          <w:rFonts w:hint="eastAsia"/>
          <w:highlight w:val="none"/>
        </w:rPr>
        <w:t>供应商：（公章）</w:t>
      </w:r>
    </w:p>
    <w:p w14:paraId="1C6532A5">
      <w:pPr>
        <w:spacing w:before="156" w:beforeLines="50" w:line="440" w:lineRule="exact"/>
        <w:ind w:left="-103" w:leftChars="-49"/>
        <w:rPr>
          <w:highlight w:val="none"/>
        </w:rPr>
      </w:pPr>
      <w:r>
        <w:rPr>
          <w:highlight w:val="none"/>
        </w:rPr>
        <w:t>法定代表人或其授权代表：（</w:t>
      </w:r>
      <w:r>
        <w:rPr>
          <w:rFonts w:hint="eastAsia"/>
          <w:highlight w:val="none"/>
        </w:rPr>
        <w:t>签字或加盖人名章</w:t>
      </w:r>
      <w:r>
        <w:rPr>
          <w:highlight w:val="none"/>
        </w:rPr>
        <w:t>）</w:t>
      </w:r>
    </w:p>
    <w:p w14:paraId="714B7F01">
      <w:pPr>
        <w:spacing w:before="156" w:beforeLines="50" w:line="440" w:lineRule="exact"/>
        <w:ind w:left="-103" w:leftChars="-49"/>
        <w:rPr>
          <w:highlight w:val="none"/>
        </w:rPr>
      </w:pPr>
      <w:r>
        <w:rPr>
          <w:highlight w:val="none"/>
        </w:rPr>
        <w:t>日期：</w:t>
      </w:r>
    </w:p>
    <w:p w14:paraId="30B0C1A2">
      <w:pPr>
        <w:rPr>
          <w:highlight w:val="none"/>
        </w:rPr>
      </w:pPr>
    </w:p>
    <w:p w14:paraId="63DE4530">
      <w:pPr>
        <w:snapToGrid w:val="0"/>
        <w:spacing w:after="156" w:afterLines="50"/>
        <w:rPr>
          <w:rFonts w:ascii="宋体" w:hAnsi="宋体"/>
          <w:highlight w:val="none"/>
        </w:rPr>
      </w:pPr>
      <w:r>
        <w:rPr>
          <w:rFonts w:ascii="宋体" w:hAnsi="宋体"/>
          <w:highlight w:val="none"/>
        </w:rPr>
        <w:t>注：</w:t>
      </w:r>
      <w:r>
        <w:rPr>
          <w:rFonts w:hint="eastAsia" w:ascii="宋体" w:hAnsi="宋体"/>
          <w:highlight w:val="none"/>
        </w:rPr>
        <w:t>1、</w:t>
      </w:r>
      <w:r>
        <w:rPr>
          <w:rFonts w:hint="eastAsia" w:ascii="宋体" w:hAnsi="宋体"/>
          <w:highlight w:val="none"/>
        </w:rPr>
        <w:tab/>
      </w:r>
      <w:r>
        <w:rPr>
          <w:rFonts w:hint="eastAsia" w:ascii="宋体" w:hAnsi="宋体"/>
          <w:highlight w:val="none"/>
        </w:rPr>
        <w:t>供应商根据本</w:t>
      </w:r>
      <w:r>
        <w:rPr>
          <w:rFonts w:hint="eastAsia" w:ascii="宋体" w:hAnsi="宋体"/>
          <w:highlight w:val="none"/>
          <w:lang w:eastAsia="zh-CN"/>
        </w:rPr>
        <w:t>磋商</w:t>
      </w:r>
      <w:r>
        <w:rPr>
          <w:rFonts w:hint="eastAsia" w:ascii="宋体" w:hAnsi="宋体"/>
          <w:highlight w:val="none"/>
        </w:rPr>
        <w:t>文件的供应商须知及合同条款填写本表；</w:t>
      </w:r>
    </w:p>
    <w:p w14:paraId="7207B125">
      <w:pPr>
        <w:snapToGrid w:val="0"/>
        <w:spacing w:after="156" w:afterLines="50"/>
        <w:ind w:left="850" w:leftChars="203" w:hanging="424" w:hangingChars="202"/>
        <w:rPr>
          <w:rFonts w:ascii="宋体" w:hAnsi="宋体"/>
          <w:highlight w:val="none"/>
        </w:rPr>
      </w:pPr>
      <w:r>
        <w:rPr>
          <w:rFonts w:hint="eastAsia" w:ascii="宋体" w:hAnsi="宋体" w:cs="Times New Roman"/>
          <w:highlight w:val="none"/>
        </w:rPr>
        <w:t>2、</w:t>
      </w:r>
      <w:r>
        <w:rPr>
          <w:rFonts w:hint="eastAsia" w:ascii="宋体" w:hAnsi="宋体" w:cs="Times New Roman"/>
          <w:highlight w:val="none"/>
        </w:rPr>
        <w:tab/>
      </w:r>
      <w:r>
        <w:rPr>
          <w:rFonts w:hint="eastAsia" w:ascii="宋体" w:hAnsi="宋体" w:cs="Times New Roman"/>
          <w:highlight w:val="none"/>
          <w:lang w:val="en-US" w:eastAsia="zh-CN"/>
        </w:rPr>
        <w:t>供应商所供服务</w:t>
      </w:r>
      <w:r>
        <w:rPr>
          <w:rFonts w:hint="eastAsia" w:ascii="宋体" w:hAnsi="宋体" w:cs="Times New Roman"/>
          <w:highlight w:val="none"/>
        </w:rPr>
        <w:t>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w:t>
      </w:r>
      <w:r>
        <w:rPr>
          <w:rFonts w:hint="eastAsia" w:ascii="宋体" w:hAnsi="宋体" w:cs="Times New Roman"/>
          <w:highlight w:val="none"/>
          <w:lang w:eastAsia="zh-CN"/>
        </w:rPr>
        <w:t>，</w:t>
      </w:r>
      <w:r>
        <w:rPr>
          <w:rFonts w:hint="eastAsia" w:ascii="宋体" w:hAnsi="宋体" w:cs="Times New Roman"/>
          <w:highlight w:val="none"/>
        </w:rPr>
        <w:t>否则</w:t>
      </w:r>
      <w:r>
        <w:rPr>
          <w:rFonts w:hint="eastAsia" w:ascii="宋体" w:hAnsi="宋体" w:cs="Times New Roman"/>
          <w:highlight w:val="none"/>
          <w:lang w:val="en-US" w:eastAsia="zh-CN"/>
        </w:rPr>
        <w:t>响应</w:t>
      </w:r>
      <w:r>
        <w:rPr>
          <w:rFonts w:hint="eastAsia" w:ascii="宋体" w:hAnsi="宋体" w:cs="Times New Roman"/>
          <w:highlight w:val="none"/>
        </w:rPr>
        <w:t>无效</w:t>
      </w:r>
      <w:r>
        <w:rPr>
          <w:rFonts w:hint="eastAsia" w:ascii="宋体" w:hAnsi="宋体" w:cs="Times New Roman"/>
          <w:highlight w:val="none"/>
          <w:lang w:eastAsia="zh-CN"/>
        </w:rPr>
        <w:t>；</w:t>
      </w:r>
      <w:r>
        <w:rPr>
          <w:rFonts w:hint="eastAsia" w:ascii="宋体" w:hAnsi="宋体" w:cs="Times New Roman"/>
          <w:highlight w:val="none"/>
          <w:lang w:val="en-US" w:eastAsia="zh-CN"/>
        </w:rPr>
        <w:t>供应商所承诺的</w:t>
      </w:r>
      <w:r>
        <w:rPr>
          <w:rFonts w:hint="eastAsia" w:ascii="宋体" w:hAnsi="宋体" w:cs="Times New Roman"/>
          <w:highlight w:val="none"/>
        </w:rPr>
        <w:t>付款</w:t>
      </w:r>
      <w:r>
        <w:rPr>
          <w:rFonts w:hint="eastAsia" w:ascii="宋体" w:hAnsi="宋体" w:cs="Times New Roman"/>
          <w:highlight w:val="none"/>
          <w:lang w:val="en-US" w:eastAsia="zh-CN"/>
        </w:rPr>
        <w:t>方式、服务期</w:t>
      </w:r>
      <w:r>
        <w:rPr>
          <w:rFonts w:hint="eastAsia" w:ascii="宋体" w:hAnsi="宋体" w:cs="Times New Roman"/>
          <w:highlight w:val="none"/>
        </w:rPr>
        <w:t>等须与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文件要求无负偏离，否则</w:t>
      </w:r>
      <w:r>
        <w:rPr>
          <w:rFonts w:hint="eastAsia" w:ascii="宋体" w:hAnsi="宋体" w:cs="Times New Roman"/>
          <w:highlight w:val="none"/>
          <w:lang w:val="en-US" w:eastAsia="zh-CN"/>
        </w:rPr>
        <w:t>响应</w:t>
      </w:r>
      <w:r>
        <w:rPr>
          <w:rFonts w:hint="eastAsia" w:ascii="宋体" w:hAnsi="宋体" w:cs="Times New Roman"/>
          <w:highlight w:val="none"/>
        </w:rPr>
        <w:t>无效。</w:t>
      </w:r>
    </w:p>
    <w:p w14:paraId="35E95E1E">
      <w:pPr>
        <w:snapToGrid w:val="0"/>
        <w:spacing w:after="156" w:afterLines="50"/>
        <w:ind w:left="850" w:leftChars="203" w:hanging="424" w:hangingChars="202"/>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正偏离是指应答的条件高于</w:t>
      </w:r>
      <w:r>
        <w:rPr>
          <w:rFonts w:hint="eastAsia" w:ascii="宋体" w:hAnsi="宋体"/>
          <w:highlight w:val="none"/>
          <w:lang w:eastAsia="zh-CN"/>
        </w:rPr>
        <w:t>磋商</w:t>
      </w:r>
      <w:r>
        <w:rPr>
          <w:rFonts w:hint="eastAsia" w:ascii="宋体" w:hAnsi="宋体"/>
          <w:highlight w:val="none"/>
        </w:rPr>
        <w:t>文件要求，负偏离是指应答的条件低于</w:t>
      </w:r>
      <w:r>
        <w:rPr>
          <w:rFonts w:hint="eastAsia" w:ascii="宋体" w:hAnsi="宋体"/>
          <w:highlight w:val="none"/>
          <w:lang w:eastAsia="zh-CN"/>
        </w:rPr>
        <w:t>磋商</w:t>
      </w:r>
      <w:r>
        <w:rPr>
          <w:rFonts w:hint="eastAsia" w:ascii="宋体" w:hAnsi="宋体"/>
          <w:highlight w:val="none"/>
        </w:rPr>
        <w:t>文件要求。</w:t>
      </w:r>
    </w:p>
    <w:p w14:paraId="1210E7D1">
      <w:pPr>
        <w:snapToGrid w:val="0"/>
        <w:spacing w:after="156" w:afterLines="50"/>
        <w:ind w:left="850" w:leftChars="203" w:hanging="424" w:hangingChars="202"/>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供应商须完整填写响应表。如果未完整填写本表的各项内容则视作供应商已经对</w:t>
      </w:r>
      <w:r>
        <w:rPr>
          <w:rFonts w:hint="eastAsia" w:ascii="宋体" w:hAnsi="宋体"/>
          <w:highlight w:val="none"/>
          <w:lang w:eastAsia="zh-CN"/>
        </w:rPr>
        <w:t>磋商</w:t>
      </w:r>
      <w:r>
        <w:rPr>
          <w:rFonts w:hint="eastAsia" w:ascii="宋体" w:hAnsi="宋体"/>
          <w:highlight w:val="none"/>
        </w:rPr>
        <w:t>文件相关要求和内容完全理解并同意，其报价为在此基础上的完全价格。</w:t>
      </w:r>
    </w:p>
    <w:p w14:paraId="0334579F">
      <w:pPr>
        <w:snapToGrid w:val="0"/>
        <w:spacing w:after="156" w:afterLines="50"/>
        <w:ind w:left="850" w:leftChars="203" w:hanging="424" w:hangingChars="202"/>
        <w:rPr>
          <w:rFonts w:ascii="宋体" w:hAnsi="宋体"/>
          <w:highlight w:val="none"/>
        </w:rPr>
      </w:pPr>
      <w:r>
        <w:rPr>
          <w:rFonts w:hint="eastAsia" w:ascii="宋体" w:hAnsi="宋体"/>
          <w:highlight w:val="none"/>
        </w:rPr>
        <w:t>5、</w:t>
      </w:r>
      <w:r>
        <w:rPr>
          <w:rFonts w:hint="eastAsia" w:ascii="宋体" w:hAnsi="宋体"/>
          <w:highlight w:val="none"/>
        </w:rPr>
        <w:tab/>
      </w:r>
      <w:r>
        <w:rPr>
          <w:rFonts w:hint="eastAsia" w:ascii="宋体" w:hAnsi="宋体"/>
          <w:highlight w:val="none"/>
        </w:rPr>
        <w:t>在采购人与成交供应商签订合同时，如成交供应商未在响应文件“响应表”中列出偏离说明，无论已发生或即将发生任何情形，均视为完全符合</w:t>
      </w:r>
      <w:r>
        <w:rPr>
          <w:rFonts w:hint="eastAsia" w:ascii="宋体" w:hAnsi="宋体"/>
          <w:highlight w:val="none"/>
          <w:lang w:eastAsia="zh-CN"/>
        </w:rPr>
        <w:t>磋商</w:t>
      </w:r>
      <w:r>
        <w:rPr>
          <w:rFonts w:hint="eastAsia" w:ascii="宋体" w:hAnsi="宋体"/>
          <w:highlight w:val="none"/>
        </w:rPr>
        <w:t>文件要求，并写入合同。若成交供应商在合同签订前，以上述事项为借口而不履行合同签订手续及执行合同，则视作拒绝与采购人签订合同。</w:t>
      </w:r>
    </w:p>
    <w:p w14:paraId="43A3B4E7">
      <w:pPr>
        <w:rPr>
          <w:rFonts w:ascii="宋体" w:hAnsi="宋体" w:cs="宋体"/>
          <w:b/>
          <w:sz w:val="24"/>
          <w:highlight w:val="none"/>
        </w:rPr>
      </w:pPr>
      <w:r>
        <w:rPr>
          <w:rFonts w:hint="eastAsia" w:ascii="宋体" w:hAnsi="宋体" w:cs="宋体"/>
          <w:b/>
          <w:sz w:val="24"/>
          <w:highlight w:val="none"/>
        </w:rPr>
        <w:br w:type="page"/>
      </w:r>
    </w:p>
    <w:p w14:paraId="273DDDA9">
      <w:pPr>
        <w:pStyle w:val="423"/>
        <w:spacing w:line="360" w:lineRule="auto"/>
        <w:ind w:firstLine="0" w:firstLineChars="0"/>
        <w:outlineLvl w:val="1"/>
        <w:rPr>
          <w:b/>
          <w:sz w:val="24"/>
          <w:highlight w:val="none"/>
        </w:rPr>
      </w:pPr>
      <w:r>
        <w:rPr>
          <w:rFonts w:hint="eastAsia"/>
          <w:b/>
          <w:sz w:val="24"/>
          <w:highlight w:val="none"/>
        </w:rPr>
        <w:t xml:space="preserve">附件7  </w:t>
      </w:r>
      <w:r>
        <w:rPr>
          <w:b/>
          <w:sz w:val="24"/>
          <w:highlight w:val="none"/>
        </w:rPr>
        <w:t>供应商基本情况表</w:t>
      </w:r>
    </w:p>
    <w:p w14:paraId="65092ACA">
      <w:pPr>
        <w:rPr>
          <w:highlight w:val="none"/>
        </w:rPr>
      </w:pPr>
    </w:p>
    <w:p w14:paraId="58C925FF">
      <w:pPr>
        <w:spacing w:line="360" w:lineRule="auto"/>
        <w:jc w:val="center"/>
        <w:rPr>
          <w:b/>
          <w:sz w:val="24"/>
          <w:highlight w:val="none"/>
        </w:rPr>
      </w:pPr>
      <w:r>
        <w:rPr>
          <w:b/>
          <w:sz w:val="24"/>
          <w:highlight w:val="none"/>
        </w:rPr>
        <w:t>供应商基本情况表</w:t>
      </w:r>
    </w:p>
    <w:p w14:paraId="311652ED">
      <w:pPr>
        <w:spacing w:line="440" w:lineRule="exact"/>
        <w:ind w:firstLine="420" w:firstLineChars="200"/>
        <w:rPr>
          <w:highlight w:val="none"/>
        </w:rPr>
      </w:pPr>
    </w:p>
    <w:tbl>
      <w:tblPr>
        <w:tblStyle w:val="7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14:paraId="47A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3" w:type="dxa"/>
            <w:vAlign w:val="center"/>
          </w:tcPr>
          <w:p w14:paraId="4E53164F">
            <w:pPr>
              <w:rPr>
                <w:rFonts w:ascii="仿宋_GB2312" w:eastAsia="仿宋_GB2312"/>
                <w:sz w:val="24"/>
                <w:highlight w:val="none"/>
              </w:rPr>
            </w:pPr>
            <w:r>
              <w:rPr>
                <w:rFonts w:hint="eastAsia" w:ascii="仿宋_GB2312" w:eastAsia="仿宋_GB2312"/>
                <w:sz w:val="24"/>
                <w:highlight w:val="none"/>
              </w:rPr>
              <w:t>企业名称</w:t>
            </w:r>
          </w:p>
        </w:tc>
        <w:tc>
          <w:tcPr>
            <w:tcW w:w="3181" w:type="dxa"/>
            <w:gridSpan w:val="3"/>
            <w:vAlign w:val="center"/>
          </w:tcPr>
          <w:p w14:paraId="73CE37AF">
            <w:pPr>
              <w:rPr>
                <w:rFonts w:ascii="仿宋_GB2312" w:eastAsia="仿宋_GB2312"/>
                <w:sz w:val="24"/>
                <w:highlight w:val="none"/>
              </w:rPr>
            </w:pPr>
          </w:p>
        </w:tc>
        <w:tc>
          <w:tcPr>
            <w:tcW w:w="1435" w:type="dxa"/>
            <w:gridSpan w:val="2"/>
            <w:vAlign w:val="center"/>
          </w:tcPr>
          <w:p w14:paraId="4542E524">
            <w:pPr>
              <w:rPr>
                <w:rFonts w:ascii="仿宋_GB2312" w:eastAsia="仿宋_GB2312"/>
                <w:sz w:val="24"/>
                <w:highlight w:val="none"/>
              </w:rPr>
            </w:pPr>
            <w:r>
              <w:rPr>
                <w:rFonts w:hint="eastAsia" w:ascii="仿宋_GB2312" w:eastAsia="仿宋_GB2312"/>
                <w:sz w:val="24"/>
                <w:highlight w:val="none"/>
              </w:rPr>
              <w:t>成立日期</w:t>
            </w:r>
          </w:p>
        </w:tc>
        <w:tc>
          <w:tcPr>
            <w:tcW w:w="2363" w:type="dxa"/>
            <w:vAlign w:val="center"/>
          </w:tcPr>
          <w:p w14:paraId="5C598C63">
            <w:pPr>
              <w:rPr>
                <w:rFonts w:ascii="仿宋_GB2312" w:eastAsia="仿宋_GB2312"/>
                <w:sz w:val="24"/>
                <w:highlight w:val="none"/>
              </w:rPr>
            </w:pPr>
          </w:p>
        </w:tc>
      </w:tr>
      <w:tr w14:paraId="7AD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vAlign w:val="center"/>
          </w:tcPr>
          <w:p w14:paraId="2302C316">
            <w:pPr>
              <w:rPr>
                <w:rFonts w:ascii="仿宋_GB2312" w:eastAsia="仿宋_GB2312"/>
                <w:sz w:val="24"/>
                <w:highlight w:val="none"/>
              </w:rPr>
            </w:pPr>
            <w:r>
              <w:rPr>
                <w:rFonts w:hint="eastAsia" w:ascii="仿宋_GB2312" w:eastAsia="仿宋_GB2312"/>
                <w:sz w:val="24"/>
                <w:highlight w:val="none"/>
              </w:rPr>
              <w:t>统一社会信用代码</w:t>
            </w:r>
          </w:p>
        </w:tc>
        <w:tc>
          <w:tcPr>
            <w:tcW w:w="3798" w:type="dxa"/>
            <w:gridSpan w:val="3"/>
            <w:vAlign w:val="center"/>
          </w:tcPr>
          <w:p w14:paraId="4B5EE74D">
            <w:pPr>
              <w:rPr>
                <w:rFonts w:ascii="仿宋_GB2312" w:eastAsia="仿宋_GB2312"/>
                <w:sz w:val="24"/>
                <w:highlight w:val="none"/>
              </w:rPr>
            </w:pPr>
          </w:p>
        </w:tc>
      </w:tr>
      <w:tr w14:paraId="182B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41DDD130">
            <w:pPr>
              <w:rPr>
                <w:rFonts w:ascii="仿宋_GB2312" w:eastAsia="仿宋_GB2312"/>
                <w:sz w:val="24"/>
                <w:highlight w:val="none"/>
              </w:rPr>
            </w:pPr>
            <w:r>
              <w:rPr>
                <w:rFonts w:hint="eastAsia" w:ascii="仿宋_GB2312" w:eastAsia="仿宋_GB2312"/>
                <w:sz w:val="24"/>
                <w:highlight w:val="none"/>
              </w:rPr>
              <w:t>注册资本</w:t>
            </w:r>
          </w:p>
        </w:tc>
        <w:tc>
          <w:tcPr>
            <w:tcW w:w="3027" w:type="dxa"/>
            <w:gridSpan w:val="2"/>
            <w:vAlign w:val="center"/>
          </w:tcPr>
          <w:p w14:paraId="00B36CA5">
            <w:pPr>
              <w:rPr>
                <w:rFonts w:ascii="仿宋_GB2312" w:eastAsia="仿宋_GB2312"/>
                <w:sz w:val="24"/>
                <w:highlight w:val="none"/>
              </w:rPr>
            </w:pPr>
          </w:p>
        </w:tc>
        <w:tc>
          <w:tcPr>
            <w:tcW w:w="1435" w:type="dxa"/>
            <w:gridSpan w:val="2"/>
            <w:vAlign w:val="center"/>
          </w:tcPr>
          <w:p w14:paraId="39A78CE6">
            <w:pPr>
              <w:rPr>
                <w:rFonts w:ascii="仿宋_GB2312" w:eastAsia="仿宋_GB2312"/>
                <w:sz w:val="24"/>
                <w:highlight w:val="none"/>
              </w:rPr>
            </w:pPr>
            <w:r>
              <w:rPr>
                <w:rFonts w:hint="eastAsia" w:ascii="仿宋_GB2312" w:eastAsia="仿宋_GB2312"/>
                <w:sz w:val="24"/>
                <w:highlight w:val="none"/>
              </w:rPr>
              <w:t>企业类型</w:t>
            </w:r>
          </w:p>
        </w:tc>
        <w:tc>
          <w:tcPr>
            <w:tcW w:w="2363" w:type="dxa"/>
            <w:vAlign w:val="center"/>
          </w:tcPr>
          <w:p w14:paraId="13DE1861">
            <w:pPr>
              <w:rPr>
                <w:rFonts w:ascii="仿宋_GB2312" w:eastAsia="仿宋_GB2312"/>
                <w:sz w:val="24"/>
                <w:highlight w:val="none"/>
              </w:rPr>
            </w:pPr>
          </w:p>
        </w:tc>
      </w:tr>
      <w:tr w14:paraId="6C1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5004C1D">
            <w:pPr>
              <w:rPr>
                <w:rFonts w:ascii="仿宋_GB2312" w:eastAsia="仿宋_GB2312"/>
                <w:sz w:val="24"/>
                <w:highlight w:val="none"/>
              </w:rPr>
            </w:pPr>
            <w:r>
              <w:rPr>
                <w:rFonts w:hint="eastAsia" w:ascii="仿宋_GB2312" w:eastAsia="仿宋_GB2312"/>
                <w:sz w:val="24"/>
                <w:highlight w:val="none"/>
              </w:rPr>
              <w:t>批准登记机关</w:t>
            </w:r>
          </w:p>
        </w:tc>
        <w:tc>
          <w:tcPr>
            <w:tcW w:w="6825" w:type="dxa"/>
            <w:gridSpan w:val="5"/>
            <w:vAlign w:val="center"/>
          </w:tcPr>
          <w:p w14:paraId="25225FCF">
            <w:pPr>
              <w:rPr>
                <w:rFonts w:ascii="仿宋_GB2312" w:eastAsia="仿宋_GB2312"/>
                <w:sz w:val="24"/>
                <w:highlight w:val="none"/>
              </w:rPr>
            </w:pPr>
          </w:p>
        </w:tc>
      </w:tr>
      <w:tr w14:paraId="446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39BECDD6">
            <w:pPr>
              <w:rPr>
                <w:rFonts w:ascii="仿宋_GB2312" w:eastAsia="仿宋_GB2312"/>
                <w:sz w:val="24"/>
                <w:highlight w:val="none"/>
              </w:rPr>
            </w:pPr>
            <w:r>
              <w:rPr>
                <w:rFonts w:hint="eastAsia" w:ascii="仿宋_GB2312" w:eastAsia="仿宋_GB2312"/>
                <w:sz w:val="24"/>
                <w:highlight w:val="none"/>
              </w:rPr>
              <w:t>法定代表人</w:t>
            </w:r>
          </w:p>
        </w:tc>
        <w:tc>
          <w:tcPr>
            <w:tcW w:w="3027" w:type="dxa"/>
            <w:gridSpan w:val="2"/>
            <w:vAlign w:val="center"/>
          </w:tcPr>
          <w:p w14:paraId="75017ABE">
            <w:pPr>
              <w:rPr>
                <w:rFonts w:ascii="仿宋_GB2312" w:eastAsia="仿宋_GB2312"/>
                <w:sz w:val="24"/>
                <w:highlight w:val="none"/>
              </w:rPr>
            </w:pPr>
          </w:p>
        </w:tc>
        <w:tc>
          <w:tcPr>
            <w:tcW w:w="1435" w:type="dxa"/>
            <w:gridSpan w:val="2"/>
            <w:vAlign w:val="center"/>
          </w:tcPr>
          <w:p w14:paraId="22AB4B9C">
            <w:pPr>
              <w:rPr>
                <w:rFonts w:ascii="仿宋_GB2312" w:eastAsia="仿宋_GB2312"/>
                <w:sz w:val="24"/>
                <w:highlight w:val="none"/>
              </w:rPr>
            </w:pPr>
            <w:r>
              <w:rPr>
                <w:rFonts w:hint="eastAsia" w:ascii="仿宋_GB2312" w:eastAsia="仿宋_GB2312"/>
                <w:sz w:val="24"/>
                <w:highlight w:val="none"/>
              </w:rPr>
              <w:t>营业期限</w:t>
            </w:r>
          </w:p>
        </w:tc>
        <w:tc>
          <w:tcPr>
            <w:tcW w:w="2363" w:type="dxa"/>
            <w:vAlign w:val="center"/>
          </w:tcPr>
          <w:p w14:paraId="65260A09">
            <w:pPr>
              <w:rPr>
                <w:rFonts w:ascii="仿宋_GB2312" w:eastAsia="仿宋_GB2312"/>
                <w:sz w:val="24"/>
                <w:highlight w:val="none"/>
              </w:rPr>
            </w:pPr>
          </w:p>
        </w:tc>
      </w:tr>
      <w:tr w14:paraId="7FD6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8EE4813">
            <w:pPr>
              <w:rPr>
                <w:rFonts w:ascii="仿宋_GB2312" w:eastAsia="仿宋_GB2312"/>
                <w:sz w:val="24"/>
                <w:highlight w:val="none"/>
              </w:rPr>
            </w:pPr>
            <w:r>
              <w:rPr>
                <w:rFonts w:hint="eastAsia" w:ascii="仿宋_GB2312" w:eastAsia="仿宋_GB2312"/>
                <w:sz w:val="24"/>
                <w:highlight w:val="none"/>
              </w:rPr>
              <w:t>资质类型</w:t>
            </w:r>
          </w:p>
        </w:tc>
        <w:tc>
          <w:tcPr>
            <w:tcW w:w="3027" w:type="dxa"/>
            <w:gridSpan w:val="2"/>
            <w:vAlign w:val="center"/>
          </w:tcPr>
          <w:p w14:paraId="3EA213C3">
            <w:pPr>
              <w:rPr>
                <w:rFonts w:ascii="仿宋_GB2312" w:eastAsia="仿宋_GB2312"/>
                <w:sz w:val="24"/>
                <w:highlight w:val="none"/>
              </w:rPr>
            </w:pPr>
          </w:p>
        </w:tc>
        <w:tc>
          <w:tcPr>
            <w:tcW w:w="1435" w:type="dxa"/>
            <w:gridSpan w:val="2"/>
            <w:vAlign w:val="center"/>
          </w:tcPr>
          <w:p w14:paraId="500536C7">
            <w:pPr>
              <w:rPr>
                <w:rFonts w:ascii="仿宋_GB2312" w:eastAsia="仿宋_GB2312"/>
                <w:sz w:val="24"/>
                <w:highlight w:val="none"/>
              </w:rPr>
            </w:pPr>
            <w:r>
              <w:rPr>
                <w:rFonts w:hint="eastAsia" w:ascii="仿宋_GB2312" w:eastAsia="仿宋_GB2312"/>
                <w:sz w:val="24"/>
                <w:highlight w:val="none"/>
              </w:rPr>
              <w:t>资质等级</w:t>
            </w:r>
          </w:p>
        </w:tc>
        <w:tc>
          <w:tcPr>
            <w:tcW w:w="2363" w:type="dxa"/>
            <w:vAlign w:val="center"/>
          </w:tcPr>
          <w:p w14:paraId="3AAE3751">
            <w:pPr>
              <w:rPr>
                <w:rFonts w:ascii="仿宋_GB2312" w:eastAsia="仿宋_GB2312"/>
                <w:sz w:val="24"/>
                <w:highlight w:val="none"/>
              </w:rPr>
            </w:pPr>
          </w:p>
        </w:tc>
      </w:tr>
      <w:tr w14:paraId="13B7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7378DA5">
            <w:pPr>
              <w:rPr>
                <w:rFonts w:ascii="仿宋_GB2312" w:eastAsia="仿宋_GB2312"/>
                <w:sz w:val="24"/>
                <w:highlight w:val="none"/>
              </w:rPr>
            </w:pPr>
            <w:r>
              <w:rPr>
                <w:rFonts w:hint="eastAsia" w:ascii="仿宋_GB2312" w:eastAsia="仿宋_GB2312"/>
                <w:sz w:val="24"/>
                <w:highlight w:val="none"/>
              </w:rPr>
              <w:t>主营业务</w:t>
            </w:r>
          </w:p>
        </w:tc>
        <w:tc>
          <w:tcPr>
            <w:tcW w:w="6825" w:type="dxa"/>
            <w:gridSpan w:val="5"/>
            <w:vAlign w:val="center"/>
          </w:tcPr>
          <w:p w14:paraId="0695291C">
            <w:pPr>
              <w:rPr>
                <w:rFonts w:ascii="仿宋_GB2312" w:eastAsia="仿宋_GB2312"/>
                <w:sz w:val="24"/>
                <w:highlight w:val="none"/>
              </w:rPr>
            </w:pPr>
          </w:p>
        </w:tc>
      </w:tr>
      <w:tr w14:paraId="46B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0C3ED39">
            <w:pPr>
              <w:rPr>
                <w:rFonts w:ascii="仿宋_GB2312" w:eastAsia="仿宋_GB2312"/>
                <w:sz w:val="24"/>
                <w:highlight w:val="none"/>
              </w:rPr>
            </w:pPr>
            <w:r>
              <w:rPr>
                <w:rFonts w:hint="eastAsia" w:ascii="仿宋_GB2312" w:eastAsia="仿宋_GB2312"/>
                <w:sz w:val="24"/>
                <w:highlight w:val="none"/>
              </w:rPr>
              <w:t>地  址</w:t>
            </w:r>
          </w:p>
        </w:tc>
        <w:tc>
          <w:tcPr>
            <w:tcW w:w="6825" w:type="dxa"/>
            <w:gridSpan w:val="5"/>
            <w:vAlign w:val="center"/>
          </w:tcPr>
          <w:p w14:paraId="71F05175">
            <w:pPr>
              <w:rPr>
                <w:rFonts w:ascii="仿宋_GB2312" w:eastAsia="仿宋_GB2312"/>
                <w:sz w:val="24"/>
                <w:highlight w:val="none"/>
              </w:rPr>
            </w:pPr>
          </w:p>
        </w:tc>
      </w:tr>
      <w:tr w14:paraId="5ED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557E65A">
            <w:pPr>
              <w:rPr>
                <w:rFonts w:ascii="仿宋_GB2312" w:eastAsia="仿宋_GB2312"/>
                <w:sz w:val="24"/>
                <w:highlight w:val="none"/>
              </w:rPr>
            </w:pPr>
            <w:r>
              <w:rPr>
                <w:rFonts w:hint="eastAsia" w:ascii="仿宋_GB2312" w:eastAsia="仿宋_GB2312"/>
                <w:sz w:val="24"/>
                <w:highlight w:val="none"/>
              </w:rPr>
              <w:t>开户银行</w:t>
            </w:r>
          </w:p>
        </w:tc>
        <w:tc>
          <w:tcPr>
            <w:tcW w:w="6825" w:type="dxa"/>
            <w:gridSpan w:val="5"/>
            <w:vAlign w:val="center"/>
          </w:tcPr>
          <w:p w14:paraId="7F8E99F7">
            <w:pPr>
              <w:rPr>
                <w:rFonts w:ascii="仿宋_GB2312" w:eastAsia="仿宋_GB2312"/>
                <w:sz w:val="24"/>
                <w:highlight w:val="none"/>
              </w:rPr>
            </w:pPr>
          </w:p>
        </w:tc>
      </w:tr>
      <w:tr w14:paraId="15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E9EF0AE">
            <w:pPr>
              <w:rPr>
                <w:rFonts w:ascii="仿宋_GB2312" w:eastAsia="仿宋_GB2312"/>
                <w:sz w:val="24"/>
                <w:highlight w:val="none"/>
              </w:rPr>
            </w:pPr>
            <w:r>
              <w:rPr>
                <w:rFonts w:hint="eastAsia" w:ascii="仿宋_GB2312" w:eastAsia="仿宋_GB2312"/>
                <w:sz w:val="24"/>
                <w:highlight w:val="none"/>
              </w:rPr>
              <w:t>开户行号</w:t>
            </w:r>
          </w:p>
          <w:p w14:paraId="74B02AED">
            <w:pPr>
              <w:rPr>
                <w:rFonts w:ascii="仿宋_GB2312" w:eastAsia="仿宋_GB2312"/>
                <w:sz w:val="24"/>
                <w:highlight w:val="none"/>
              </w:rPr>
            </w:pPr>
            <w:r>
              <w:rPr>
                <w:rFonts w:hint="eastAsia" w:ascii="仿宋_GB2312" w:eastAsia="仿宋_GB2312"/>
                <w:sz w:val="24"/>
                <w:highlight w:val="none"/>
              </w:rPr>
              <w:t>（如有）</w:t>
            </w:r>
          </w:p>
        </w:tc>
        <w:tc>
          <w:tcPr>
            <w:tcW w:w="6825" w:type="dxa"/>
            <w:gridSpan w:val="5"/>
            <w:vAlign w:val="center"/>
          </w:tcPr>
          <w:p w14:paraId="6E2C1CAB">
            <w:pPr>
              <w:rPr>
                <w:rFonts w:ascii="仿宋_GB2312" w:eastAsia="仿宋_GB2312"/>
                <w:sz w:val="24"/>
                <w:highlight w:val="none"/>
              </w:rPr>
            </w:pPr>
          </w:p>
        </w:tc>
      </w:tr>
      <w:tr w14:paraId="3CAB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465AE93">
            <w:pPr>
              <w:rPr>
                <w:rFonts w:ascii="仿宋_GB2312" w:eastAsia="仿宋_GB2312"/>
                <w:sz w:val="24"/>
                <w:highlight w:val="none"/>
              </w:rPr>
            </w:pPr>
            <w:r>
              <w:rPr>
                <w:rFonts w:hint="eastAsia" w:ascii="仿宋_GB2312" w:eastAsia="仿宋_GB2312"/>
                <w:sz w:val="24"/>
                <w:highlight w:val="none"/>
              </w:rPr>
              <w:t>银行账号</w:t>
            </w:r>
          </w:p>
        </w:tc>
        <w:tc>
          <w:tcPr>
            <w:tcW w:w="6825" w:type="dxa"/>
            <w:gridSpan w:val="5"/>
            <w:vAlign w:val="center"/>
          </w:tcPr>
          <w:p w14:paraId="4184C70C">
            <w:pPr>
              <w:rPr>
                <w:rFonts w:ascii="仿宋_GB2312" w:eastAsia="仿宋_GB2312"/>
                <w:sz w:val="24"/>
                <w:highlight w:val="none"/>
              </w:rPr>
            </w:pPr>
          </w:p>
        </w:tc>
      </w:tr>
      <w:tr w14:paraId="334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5061509F">
            <w:pPr>
              <w:rPr>
                <w:rFonts w:ascii="仿宋_GB2312" w:eastAsia="仿宋_GB2312"/>
                <w:sz w:val="24"/>
                <w:highlight w:val="none"/>
              </w:rPr>
            </w:pPr>
            <w:r>
              <w:rPr>
                <w:rFonts w:hint="eastAsia" w:ascii="仿宋_GB2312" w:eastAsia="仿宋_GB2312"/>
                <w:sz w:val="24"/>
                <w:highlight w:val="none"/>
              </w:rPr>
              <w:t>电  话</w:t>
            </w:r>
          </w:p>
        </w:tc>
        <w:tc>
          <w:tcPr>
            <w:tcW w:w="2887" w:type="dxa"/>
            <w:vAlign w:val="center"/>
          </w:tcPr>
          <w:p w14:paraId="34AC2067">
            <w:pPr>
              <w:rPr>
                <w:rFonts w:ascii="仿宋_GB2312" w:eastAsia="仿宋_GB2312"/>
                <w:sz w:val="24"/>
                <w:highlight w:val="none"/>
              </w:rPr>
            </w:pPr>
          </w:p>
        </w:tc>
        <w:tc>
          <w:tcPr>
            <w:tcW w:w="1378" w:type="dxa"/>
            <w:gridSpan w:val="2"/>
            <w:vAlign w:val="center"/>
          </w:tcPr>
          <w:p w14:paraId="5A471663">
            <w:pPr>
              <w:rPr>
                <w:rFonts w:ascii="仿宋_GB2312" w:eastAsia="仿宋_GB2312"/>
                <w:sz w:val="24"/>
                <w:highlight w:val="none"/>
              </w:rPr>
            </w:pPr>
            <w:r>
              <w:rPr>
                <w:rFonts w:hint="eastAsia" w:ascii="仿宋_GB2312" w:eastAsia="仿宋_GB2312"/>
                <w:sz w:val="24"/>
                <w:highlight w:val="none"/>
              </w:rPr>
              <w:t>传  真</w:t>
            </w:r>
          </w:p>
        </w:tc>
        <w:tc>
          <w:tcPr>
            <w:tcW w:w="2560" w:type="dxa"/>
            <w:gridSpan w:val="2"/>
            <w:vAlign w:val="center"/>
          </w:tcPr>
          <w:p w14:paraId="5CE37466">
            <w:pPr>
              <w:rPr>
                <w:rFonts w:ascii="仿宋_GB2312" w:eastAsia="仿宋_GB2312"/>
                <w:sz w:val="24"/>
                <w:highlight w:val="none"/>
              </w:rPr>
            </w:pPr>
          </w:p>
        </w:tc>
      </w:tr>
      <w:tr w14:paraId="0F9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607A2CF1">
            <w:pPr>
              <w:rPr>
                <w:rFonts w:ascii="仿宋_GB2312" w:eastAsia="仿宋_GB2312"/>
                <w:sz w:val="24"/>
                <w:highlight w:val="none"/>
              </w:rPr>
            </w:pPr>
            <w:r>
              <w:rPr>
                <w:rFonts w:hint="eastAsia" w:ascii="仿宋_GB2312" w:eastAsia="仿宋_GB2312"/>
                <w:sz w:val="24"/>
                <w:highlight w:val="none"/>
              </w:rPr>
              <w:t>邮  箱</w:t>
            </w:r>
          </w:p>
        </w:tc>
        <w:tc>
          <w:tcPr>
            <w:tcW w:w="2887" w:type="dxa"/>
            <w:vAlign w:val="center"/>
          </w:tcPr>
          <w:p w14:paraId="50AC8EDD">
            <w:pPr>
              <w:rPr>
                <w:rFonts w:ascii="仿宋_GB2312" w:eastAsia="仿宋_GB2312"/>
                <w:sz w:val="24"/>
                <w:highlight w:val="none"/>
              </w:rPr>
            </w:pPr>
          </w:p>
        </w:tc>
        <w:tc>
          <w:tcPr>
            <w:tcW w:w="1378" w:type="dxa"/>
            <w:gridSpan w:val="2"/>
            <w:vAlign w:val="center"/>
          </w:tcPr>
          <w:p w14:paraId="51F393E7">
            <w:pPr>
              <w:rPr>
                <w:rFonts w:ascii="仿宋_GB2312" w:eastAsia="仿宋_GB2312"/>
                <w:sz w:val="24"/>
                <w:highlight w:val="none"/>
              </w:rPr>
            </w:pPr>
            <w:r>
              <w:rPr>
                <w:rFonts w:hint="eastAsia" w:ascii="仿宋_GB2312" w:eastAsia="仿宋_GB2312"/>
                <w:sz w:val="24"/>
                <w:highlight w:val="none"/>
              </w:rPr>
              <w:t>邮  编</w:t>
            </w:r>
          </w:p>
        </w:tc>
        <w:tc>
          <w:tcPr>
            <w:tcW w:w="2560" w:type="dxa"/>
            <w:gridSpan w:val="2"/>
            <w:vAlign w:val="center"/>
          </w:tcPr>
          <w:p w14:paraId="5E15359F">
            <w:pPr>
              <w:rPr>
                <w:rFonts w:ascii="仿宋_GB2312" w:eastAsia="仿宋_GB2312"/>
                <w:sz w:val="24"/>
                <w:highlight w:val="none"/>
              </w:rPr>
            </w:pPr>
          </w:p>
        </w:tc>
      </w:tr>
      <w:tr w14:paraId="02E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A20AF57">
            <w:pPr>
              <w:rPr>
                <w:rFonts w:ascii="仿宋_GB2312" w:eastAsia="仿宋_GB2312"/>
                <w:sz w:val="24"/>
                <w:highlight w:val="none"/>
              </w:rPr>
            </w:pPr>
            <w:r>
              <w:rPr>
                <w:rFonts w:hint="eastAsia" w:ascii="仿宋_GB2312" w:eastAsia="仿宋_GB2312"/>
                <w:sz w:val="24"/>
                <w:highlight w:val="none"/>
              </w:rPr>
              <w:t>联系人</w:t>
            </w:r>
          </w:p>
        </w:tc>
        <w:tc>
          <w:tcPr>
            <w:tcW w:w="2887" w:type="dxa"/>
            <w:vAlign w:val="center"/>
          </w:tcPr>
          <w:p w14:paraId="04BE5654">
            <w:pPr>
              <w:rPr>
                <w:rFonts w:ascii="仿宋_GB2312" w:eastAsia="仿宋_GB2312"/>
                <w:sz w:val="24"/>
                <w:highlight w:val="none"/>
              </w:rPr>
            </w:pPr>
          </w:p>
        </w:tc>
        <w:tc>
          <w:tcPr>
            <w:tcW w:w="1378" w:type="dxa"/>
            <w:gridSpan w:val="2"/>
            <w:vAlign w:val="center"/>
          </w:tcPr>
          <w:p w14:paraId="7D830037">
            <w:pPr>
              <w:rPr>
                <w:rFonts w:ascii="仿宋_GB2312" w:eastAsia="仿宋_GB2312"/>
                <w:sz w:val="24"/>
                <w:highlight w:val="none"/>
              </w:rPr>
            </w:pPr>
            <w:r>
              <w:rPr>
                <w:rFonts w:hint="eastAsia" w:ascii="仿宋_GB2312" w:eastAsia="仿宋_GB2312"/>
                <w:sz w:val="24"/>
                <w:highlight w:val="none"/>
              </w:rPr>
              <w:t>联系方式</w:t>
            </w:r>
          </w:p>
        </w:tc>
        <w:tc>
          <w:tcPr>
            <w:tcW w:w="2560" w:type="dxa"/>
            <w:gridSpan w:val="2"/>
            <w:vAlign w:val="center"/>
          </w:tcPr>
          <w:p w14:paraId="6E5FE90A">
            <w:pPr>
              <w:rPr>
                <w:rFonts w:ascii="仿宋_GB2312" w:eastAsia="仿宋_GB2312"/>
                <w:sz w:val="24"/>
                <w:highlight w:val="none"/>
              </w:rPr>
            </w:pPr>
          </w:p>
        </w:tc>
      </w:tr>
      <w:tr w14:paraId="6B5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14:paraId="0CF7F8C2">
            <w:pPr>
              <w:wordWrap w:val="0"/>
              <w:jc w:val="right"/>
              <w:rPr>
                <w:rFonts w:ascii="仿宋_GB2312" w:eastAsia="仿宋_GB2312"/>
                <w:sz w:val="24"/>
                <w:highlight w:val="none"/>
                <w:u w:val="single"/>
              </w:rPr>
            </w:pPr>
            <w:r>
              <w:rPr>
                <w:rFonts w:hint="eastAsia" w:ascii="仿宋_GB2312" w:eastAsia="仿宋_GB2312"/>
                <w:sz w:val="24"/>
                <w:highlight w:val="none"/>
              </w:rPr>
              <w:t>供应商盖章：</w:t>
            </w:r>
            <w:r>
              <w:rPr>
                <w:rFonts w:hint="eastAsia" w:ascii="仿宋_GB2312" w:eastAsia="仿宋_GB2312"/>
                <w:sz w:val="24"/>
                <w:highlight w:val="none"/>
                <w:u w:val="single"/>
              </w:rPr>
              <w:t xml:space="preserve">                </w:t>
            </w:r>
          </w:p>
        </w:tc>
      </w:tr>
    </w:tbl>
    <w:p w14:paraId="56C84FD5">
      <w:pPr>
        <w:spacing w:line="440" w:lineRule="exact"/>
        <w:ind w:firstLine="420" w:firstLineChars="200"/>
        <w:rPr>
          <w:highlight w:val="none"/>
        </w:rPr>
      </w:pPr>
    </w:p>
    <w:p w14:paraId="1F4A2318">
      <w:pPr>
        <w:spacing w:line="440" w:lineRule="exact"/>
        <w:ind w:firstLine="420" w:firstLineChars="200"/>
        <w:rPr>
          <w:highlight w:val="none"/>
        </w:rPr>
      </w:pPr>
      <w:r>
        <w:rPr>
          <w:highlight w:val="none"/>
        </w:rPr>
        <w:t>兹</w:t>
      </w:r>
      <w:r>
        <w:rPr>
          <w:rFonts w:hint="eastAsia"/>
          <w:highlight w:val="none"/>
        </w:rPr>
        <w:t>声</w:t>
      </w:r>
      <w:r>
        <w:rPr>
          <w:highlight w:val="none"/>
        </w:rPr>
        <w:t>明上述</w:t>
      </w:r>
      <w:r>
        <w:rPr>
          <w:rFonts w:hint="eastAsia"/>
          <w:highlight w:val="none"/>
        </w:rPr>
        <w:t>信息</w:t>
      </w:r>
      <w:r>
        <w:rPr>
          <w:highlight w:val="none"/>
        </w:rPr>
        <w:t>是真实、正确的，并提供了全部能提供的资料和数据</w:t>
      </w:r>
      <w:r>
        <w:rPr>
          <w:rFonts w:hint="eastAsia"/>
          <w:highlight w:val="none"/>
        </w:rPr>
        <w:t>；如我方提供的证明材料有虚假情况，愿承担相应后果</w:t>
      </w:r>
      <w:r>
        <w:rPr>
          <w:highlight w:val="none"/>
        </w:rPr>
        <w:t>。</w:t>
      </w:r>
    </w:p>
    <w:p w14:paraId="67B8CD64">
      <w:pPr>
        <w:rPr>
          <w:highlight w:val="none"/>
        </w:rPr>
      </w:pPr>
    </w:p>
    <w:p w14:paraId="4C90549B">
      <w:pPr>
        <w:rPr>
          <w:highlight w:val="none"/>
        </w:rPr>
      </w:pPr>
    </w:p>
    <w:p w14:paraId="1FE2D2F9">
      <w:pPr>
        <w:rPr>
          <w:highlight w:val="none"/>
        </w:rPr>
      </w:pPr>
    </w:p>
    <w:p w14:paraId="25E43765">
      <w:pPr>
        <w:spacing w:before="156" w:beforeLines="50" w:line="440" w:lineRule="exact"/>
        <w:ind w:left="-103" w:leftChars="-49" w:firstLine="539" w:firstLineChars="257"/>
        <w:rPr>
          <w:highlight w:val="none"/>
        </w:rPr>
      </w:pPr>
      <w:r>
        <w:rPr>
          <w:rFonts w:hint="eastAsia"/>
          <w:highlight w:val="none"/>
        </w:rPr>
        <w:t>供应商：（公章）</w:t>
      </w:r>
    </w:p>
    <w:p w14:paraId="393A77AC">
      <w:pPr>
        <w:spacing w:before="156" w:beforeLines="50" w:line="440" w:lineRule="exact"/>
        <w:ind w:left="460" w:leftChars="219"/>
        <w:rPr>
          <w:highlight w:val="none"/>
        </w:rPr>
      </w:pPr>
      <w:r>
        <w:rPr>
          <w:highlight w:val="none"/>
        </w:rPr>
        <w:t>法定代表人或其授权代表：（</w:t>
      </w:r>
      <w:r>
        <w:rPr>
          <w:rFonts w:hint="eastAsia"/>
          <w:highlight w:val="none"/>
        </w:rPr>
        <w:t>签字或加盖人名章</w:t>
      </w:r>
      <w:r>
        <w:rPr>
          <w:highlight w:val="none"/>
        </w:rPr>
        <w:t>）</w:t>
      </w:r>
    </w:p>
    <w:p w14:paraId="6A7E529A">
      <w:pPr>
        <w:spacing w:before="156" w:beforeLines="50" w:line="440" w:lineRule="exact"/>
        <w:ind w:left="460" w:leftChars="219"/>
        <w:rPr>
          <w:b/>
          <w:sz w:val="24"/>
          <w:highlight w:val="none"/>
        </w:rPr>
      </w:pPr>
      <w:r>
        <w:rPr>
          <w:highlight w:val="none"/>
        </w:rPr>
        <w:t>日期：</w:t>
      </w:r>
      <w:bookmarkStart w:id="117" w:name="_Toc416103819"/>
      <w:bookmarkStart w:id="118" w:name="_Toc410631178"/>
      <w:bookmarkStart w:id="119" w:name="_Toc414445769"/>
      <w:r>
        <w:rPr>
          <w:b/>
          <w:sz w:val="24"/>
          <w:highlight w:val="none"/>
        </w:rPr>
        <w:br w:type="page"/>
      </w:r>
    </w:p>
    <w:bookmarkEnd w:id="117"/>
    <w:bookmarkEnd w:id="118"/>
    <w:bookmarkEnd w:id="119"/>
    <w:p w14:paraId="29297F00">
      <w:pPr>
        <w:pStyle w:val="423"/>
        <w:spacing w:line="360" w:lineRule="auto"/>
        <w:ind w:firstLine="0" w:firstLineChars="0"/>
        <w:outlineLvl w:val="1"/>
        <w:rPr>
          <w:b/>
          <w:sz w:val="24"/>
          <w:highlight w:val="none"/>
        </w:rPr>
      </w:pPr>
      <w:r>
        <w:rPr>
          <w:rFonts w:hint="eastAsia"/>
          <w:b/>
          <w:sz w:val="24"/>
          <w:highlight w:val="none"/>
        </w:rPr>
        <w:t>附件8  资格证明文件</w:t>
      </w:r>
    </w:p>
    <w:p w14:paraId="11F276CE">
      <w:pPr>
        <w:numPr>
          <w:ilvl w:val="1"/>
          <w:numId w:val="17"/>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供应商的企业法人</w:t>
      </w:r>
      <w:r>
        <w:rPr>
          <w:rFonts w:ascii="宋体" w:hAnsi="宋体"/>
          <w:sz w:val="24"/>
          <w:highlight w:val="none"/>
        </w:rPr>
        <w:t>营业执照</w:t>
      </w:r>
      <w:r>
        <w:rPr>
          <w:rFonts w:hint="eastAsia" w:ascii="宋体" w:hAnsi="宋体"/>
          <w:sz w:val="24"/>
          <w:highlight w:val="none"/>
        </w:rPr>
        <w:t>副本复印件；</w:t>
      </w:r>
    </w:p>
    <w:p w14:paraId="42B66008">
      <w:pPr>
        <w:numPr>
          <w:ilvl w:val="1"/>
          <w:numId w:val="17"/>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供应商参加政府采购活动前3年内在经营活动中没有重大违法记录的书面声明原件</w:t>
      </w:r>
      <w:r>
        <w:rPr>
          <w:rFonts w:ascii="宋体" w:hAnsi="宋体"/>
          <w:sz w:val="24"/>
          <w:highlight w:val="none"/>
        </w:rPr>
        <w:t>（格式见</w:t>
      </w:r>
      <w:r>
        <w:rPr>
          <w:rFonts w:hint="eastAsia" w:ascii="宋体" w:hAnsi="宋体"/>
          <w:sz w:val="24"/>
          <w:highlight w:val="none"/>
        </w:rPr>
        <w:t>附件8-</w:t>
      </w:r>
      <w:r>
        <w:rPr>
          <w:rFonts w:hint="eastAsia" w:ascii="宋体" w:hAnsi="宋体"/>
          <w:sz w:val="24"/>
          <w:highlight w:val="none"/>
          <w:lang w:val="en-US" w:eastAsia="zh-CN"/>
        </w:rPr>
        <w:t>2</w:t>
      </w:r>
      <w:r>
        <w:rPr>
          <w:rFonts w:hint="eastAsia" w:ascii="宋体" w:hAnsi="宋体"/>
          <w:sz w:val="24"/>
          <w:highlight w:val="none"/>
        </w:rPr>
        <w:t>）</w:t>
      </w:r>
    </w:p>
    <w:p w14:paraId="3119506B">
      <w:pPr>
        <w:numPr>
          <w:ilvl w:val="1"/>
          <w:numId w:val="17"/>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供应商控股股东名称、控股公司的名称和存在管理、被管理关系的单位名称说明（格式见附件8-</w:t>
      </w:r>
      <w:r>
        <w:rPr>
          <w:rFonts w:hint="eastAsia" w:ascii="宋体" w:hAnsi="宋体"/>
          <w:sz w:val="24"/>
          <w:highlight w:val="none"/>
          <w:lang w:val="en-US" w:eastAsia="zh-CN"/>
        </w:rPr>
        <w:t>3</w:t>
      </w:r>
      <w:r>
        <w:rPr>
          <w:rFonts w:hint="eastAsia" w:ascii="宋体" w:hAnsi="宋体"/>
          <w:sz w:val="24"/>
          <w:highlight w:val="none"/>
        </w:rPr>
        <w:t>)</w:t>
      </w:r>
    </w:p>
    <w:p w14:paraId="6A58F806">
      <w:pPr>
        <w:numPr>
          <w:ilvl w:val="1"/>
          <w:numId w:val="17"/>
        </w:numPr>
        <w:tabs>
          <w:tab w:val="left" w:pos="993"/>
          <w:tab w:val="left" w:pos="1030"/>
          <w:tab w:val="left" w:pos="8364"/>
          <w:tab w:val="clear" w:pos="780"/>
        </w:tabs>
        <w:snapToGrid w:val="0"/>
        <w:spacing w:after="156" w:afterLines="50"/>
        <w:ind w:left="993" w:right="-57" w:rightChars="-27" w:hanging="573"/>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采购文件要求的其他材料（格式见附件8-4）</w:t>
      </w:r>
    </w:p>
    <w:p w14:paraId="25527FAD">
      <w:pPr>
        <w:adjustRightInd w:val="0"/>
        <w:spacing w:line="360" w:lineRule="auto"/>
        <w:jc w:val="left"/>
        <w:textAlignment w:val="baseline"/>
        <w:rPr>
          <w:rFonts w:ascii="宋体" w:hAnsi="宋体"/>
          <w:sz w:val="24"/>
          <w:highlight w:val="none"/>
        </w:rPr>
      </w:pPr>
      <w:r>
        <w:rPr>
          <w:rFonts w:hint="eastAsia" w:ascii="宋体" w:hAnsi="宋体"/>
          <w:sz w:val="24"/>
          <w:highlight w:val="none"/>
        </w:rPr>
        <w:t>以上提供的扫描件、复印件必须加盖供应商公章。</w:t>
      </w:r>
    </w:p>
    <w:p w14:paraId="724DB366">
      <w:pPr>
        <w:jc w:val="center"/>
        <w:rPr>
          <w:highlight w:val="none"/>
        </w:rPr>
      </w:pPr>
      <w:r>
        <w:rPr>
          <w:highlight w:val="none"/>
        </w:rPr>
        <w:br w:type="page"/>
      </w:r>
      <w:bookmarkStart w:id="120" w:name="_Hlt520274121"/>
      <w:bookmarkEnd w:id="120"/>
    </w:p>
    <w:p w14:paraId="6B4DC608">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8—1  供应商的企业法人营业执照副本复印件（加盖公章）</w:t>
      </w:r>
    </w:p>
    <w:p w14:paraId="41361091">
      <w:pPr>
        <w:jc w:val="left"/>
        <w:rPr>
          <w:rFonts w:ascii="仿宋_GB2312" w:hAnsi="宋体" w:eastAsia="仿宋_GB2312"/>
          <w:sz w:val="24"/>
          <w:highlight w:val="none"/>
        </w:rPr>
      </w:pPr>
    </w:p>
    <w:p w14:paraId="1D5365BF">
      <w:pPr>
        <w:jc w:val="left"/>
        <w:rPr>
          <w:rFonts w:ascii="仿宋_GB2312" w:hAnsi="宋体" w:eastAsia="仿宋_GB2312"/>
          <w:sz w:val="24"/>
          <w:highlight w:val="none"/>
        </w:rPr>
      </w:pPr>
      <w:r>
        <w:rPr>
          <w:rFonts w:hint="eastAsia" w:ascii="仿宋_GB2312" w:hAnsi="宋体" w:eastAsia="仿宋_GB2312"/>
          <w:sz w:val="24"/>
          <w:highlight w:val="none"/>
        </w:rPr>
        <w:t>（注：根据项目实际情况，本项内容可能要求提供“事业单位法人证书”、执业许可证、自然人身份证明等证明材料）</w:t>
      </w:r>
    </w:p>
    <w:bookmarkEnd w:id="115"/>
    <w:p w14:paraId="267B96E0">
      <w:pPr>
        <w:adjustRightInd w:val="0"/>
        <w:spacing w:line="360" w:lineRule="atLeast"/>
        <w:jc w:val="left"/>
        <w:textAlignment w:val="baseline"/>
        <w:rPr>
          <w:rFonts w:ascii="仿宋_GB2312" w:hAnsi="宋体" w:eastAsia="仿宋_GB2312"/>
          <w:b/>
          <w:sz w:val="24"/>
          <w:highlight w:val="none"/>
        </w:rPr>
      </w:pPr>
      <w:r>
        <w:rPr>
          <w:rFonts w:ascii="仿宋_GB2312" w:hAnsi="宋体" w:eastAsia="仿宋_GB2312"/>
          <w:b/>
          <w:sz w:val="24"/>
          <w:highlight w:val="none"/>
        </w:rPr>
        <w:br w:type="page"/>
      </w:r>
    </w:p>
    <w:p w14:paraId="503CF7C9">
      <w:pPr>
        <w:pStyle w:val="423"/>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2"/>
        <w:rPr>
          <w:rFonts w:ascii="仿宋_GB2312" w:hAnsi="宋体" w:eastAsia="仿宋_GB2312"/>
          <w:b/>
          <w:color w:val="auto"/>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2</w:t>
      </w:r>
      <w:r>
        <w:rPr>
          <w:rFonts w:hint="eastAsia" w:ascii="仿宋_GB2312" w:hAnsi="宋体" w:eastAsia="仿宋_GB2312"/>
          <w:b/>
          <w:sz w:val="24"/>
          <w:highlight w:val="none"/>
        </w:rPr>
        <w:t xml:space="preserve"> 供应商参加政府采购活动前3年内在经营活动中没有重大违法记录的书面声明</w:t>
      </w:r>
      <w:r>
        <w:rPr>
          <w:rFonts w:hint="eastAsia" w:ascii="仿宋_GB2312" w:hAnsi="宋体" w:eastAsia="仿宋_GB2312"/>
          <w:b/>
          <w:sz w:val="24"/>
          <w:highlight w:val="none"/>
          <w:lang w:eastAsia="zh-CN"/>
        </w:rPr>
        <w:t>、无不良信用记录承诺</w:t>
      </w:r>
      <w:r>
        <w:rPr>
          <w:rFonts w:hint="eastAsia" w:ascii="仿宋_GB2312" w:hAnsi="宋体" w:eastAsia="仿宋_GB2312"/>
          <w:b/>
          <w:sz w:val="24"/>
          <w:highlight w:val="none"/>
        </w:rPr>
        <w:t>（格式）</w:t>
      </w:r>
    </w:p>
    <w:p w14:paraId="3021CAE6">
      <w:pPr>
        <w:pStyle w:val="73"/>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hAnsi="宋体" w:cs="宋体"/>
          <w:b/>
          <w:color w:val="auto"/>
          <w:szCs w:val="24"/>
          <w:highlight w:val="none"/>
          <w:lang w:val="zh-CN"/>
        </w:rPr>
      </w:pPr>
      <w:bookmarkStart w:id="121" w:name="_Hlk77793942"/>
      <w:r>
        <w:rPr>
          <w:rFonts w:hint="eastAsia" w:ascii="宋体" w:hAnsi="宋体" w:cs="宋体"/>
          <w:b/>
          <w:color w:val="auto"/>
          <w:szCs w:val="24"/>
          <w:highlight w:val="none"/>
          <w:lang w:val="zh-CN"/>
        </w:rPr>
        <w:t>无重大违法记录声明函</w:t>
      </w:r>
    </w:p>
    <w:p w14:paraId="333CC69C">
      <w:pPr>
        <w:pStyle w:val="7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4"/>
          <w:highlight w:val="none"/>
        </w:rPr>
      </w:pPr>
      <w:bookmarkStart w:id="122"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DE92407">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4302833D">
      <w:pPr>
        <w:spacing w:line="360" w:lineRule="auto"/>
        <w:ind w:firstLine="435"/>
        <w:rPr>
          <w:rFonts w:ascii="宋体" w:hAnsi="宋体"/>
          <w:sz w:val="24"/>
          <w:szCs w:val="24"/>
          <w:highlight w:val="none"/>
        </w:rPr>
      </w:pPr>
    </w:p>
    <w:p w14:paraId="7912400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23696DA7">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22"/>
    <w:p w14:paraId="7D14B5A6">
      <w:pPr>
        <w:pStyle w:val="73"/>
        <w:ind w:firstLine="210"/>
        <w:rPr>
          <w:highlight w:val="none"/>
        </w:rPr>
      </w:pPr>
    </w:p>
    <w:p w14:paraId="2C14515A">
      <w:pPr>
        <w:pStyle w:val="73"/>
        <w:ind w:firstLine="210"/>
        <w:rPr>
          <w:highlight w:val="none"/>
        </w:rPr>
      </w:pPr>
    </w:p>
    <w:p w14:paraId="5A99E918">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0144FFC9">
      <w:pPr>
        <w:spacing w:line="360" w:lineRule="auto"/>
        <w:ind w:firstLine="435"/>
        <w:rPr>
          <w:rFonts w:ascii="宋体" w:hAnsi="宋体"/>
          <w:sz w:val="24"/>
          <w:szCs w:val="24"/>
          <w:highlight w:val="none"/>
        </w:rPr>
      </w:pPr>
      <w:bookmarkStart w:id="123" w:name="_Hlk77794010"/>
      <w:r>
        <w:rPr>
          <w:rFonts w:hint="eastAsia" w:ascii="宋体" w:hAnsi="宋体"/>
          <w:sz w:val="24"/>
          <w:szCs w:val="24"/>
          <w:highlight w:val="none"/>
        </w:rPr>
        <w:t>本公司郑重承诺，我公司无以下不良信用记录情形：</w:t>
      </w:r>
    </w:p>
    <w:p w14:paraId="4C6813FB">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25FAAD60">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65123902">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6A27BF6B">
      <w:pPr>
        <w:spacing w:line="360" w:lineRule="auto"/>
        <w:ind w:firstLine="435"/>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101ABB21">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77F59076">
      <w:pPr>
        <w:tabs>
          <w:tab w:val="left" w:pos="630"/>
        </w:tabs>
        <w:spacing w:line="360" w:lineRule="auto"/>
        <w:ind w:firstLine="630"/>
        <w:rPr>
          <w:rFonts w:ascii="宋体" w:hAnsi="宋体"/>
          <w:sz w:val="24"/>
          <w:szCs w:val="24"/>
          <w:highlight w:val="none"/>
        </w:rPr>
      </w:pPr>
    </w:p>
    <w:p w14:paraId="64F6C38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08843FB8">
      <w:pPr>
        <w:pStyle w:val="40"/>
        <w:spacing w:line="360" w:lineRule="auto"/>
        <w:jc w:val="center"/>
        <w:rPr>
          <w:rFonts w:asciiTheme="minorEastAsia" w:hAnsiTheme="minorEastAsia" w:eastAsiaTheme="minorEastAsia"/>
          <w:sz w:val="24"/>
          <w:highlight w:val="none"/>
          <w:u w:val="singl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bookmarkEnd w:id="121"/>
      <w:bookmarkEnd w:id="123"/>
      <w:r>
        <w:rPr>
          <w:rFonts w:asciiTheme="minorEastAsia" w:hAnsiTheme="minorEastAsia" w:eastAsiaTheme="minorEastAsia"/>
          <w:sz w:val="24"/>
          <w:highlight w:val="none"/>
          <w:u w:val="single"/>
        </w:rPr>
        <w:br w:type="page"/>
      </w:r>
    </w:p>
    <w:p w14:paraId="40CBE56D">
      <w:pPr>
        <w:pStyle w:val="423"/>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3</w:t>
      </w:r>
      <w:r>
        <w:rPr>
          <w:rFonts w:hint="eastAsia" w:ascii="仿宋_GB2312" w:hAnsi="宋体" w:eastAsia="仿宋_GB2312"/>
          <w:b/>
          <w:sz w:val="24"/>
          <w:highlight w:val="none"/>
        </w:rPr>
        <w:t xml:space="preserve"> 供应商控股股东名称、控股公司的名称和存在管理、被管理关系的单位名称说明</w:t>
      </w:r>
    </w:p>
    <w:p w14:paraId="14F17716">
      <w:pPr>
        <w:ind w:firstLine="420"/>
        <w:rPr>
          <w:rFonts w:ascii="宋体" w:hAnsi="宋体"/>
          <w:szCs w:val="21"/>
          <w:highlight w:val="none"/>
        </w:rPr>
      </w:pPr>
    </w:p>
    <w:p w14:paraId="79F84CEE">
      <w:pPr>
        <w:spacing w:line="360" w:lineRule="auto"/>
        <w:rPr>
          <w:rFonts w:ascii="宋体" w:hAnsi="宋体"/>
          <w:szCs w:val="21"/>
          <w:highlight w:val="none"/>
        </w:rPr>
      </w:pPr>
      <w:r>
        <w:rPr>
          <w:rFonts w:ascii="宋体" w:hAnsi="宋体"/>
          <w:szCs w:val="21"/>
          <w:highlight w:val="none"/>
        </w:rPr>
        <w:t>致：</w:t>
      </w:r>
    </w:p>
    <w:p w14:paraId="0049BCF3">
      <w:pPr>
        <w:ind w:firstLine="426"/>
        <w:rPr>
          <w:rFonts w:ascii="宋体" w:hAnsi="Courier New" w:cs="Courier New"/>
          <w:sz w:val="24"/>
          <w:highlight w:val="none"/>
        </w:rPr>
      </w:pPr>
      <w:r>
        <w:rPr>
          <w:rFonts w:hint="eastAsia" w:ascii="宋体" w:hAnsi="Courier New" w:cs="Courier New"/>
          <w:sz w:val="24"/>
          <w:highlight w:val="none"/>
        </w:rPr>
        <w:t>与我方的法定代表人（单位负责人）为同一人的企业如下：</w:t>
      </w:r>
    </w:p>
    <w:p w14:paraId="56D92DCC">
      <w:pPr>
        <w:ind w:firstLine="426"/>
        <w:rPr>
          <w:rFonts w:ascii="宋体" w:hAnsi="Courier New" w:cs="Courier New"/>
          <w:sz w:val="24"/>
          <w:highlight w:val="none"/>
        </w:rPr>
      </w:pPr>
    </w:p>
    <w:p w14:paraId="3A39E518">
      <w:pPr>
        <w:ind w:firstLine="426"/>
        <w:rPr>
          <w:rFonts w:ascii="宋体" w:hAnsi="Courier New" w:cs="Courier New"/>
          <w:sz w:val="24"/>
          <w:highlight w:val="none"/>
        </w:rPr>
      </w:pPr>
      <w:r>
        <w:rPr>
          <w:rFonts w:hint="eastAsia" w:ascii="宋体" w:hAnsi="Courier New" w:cs="Courier New"/>
          <w:sz w:val="24"/>
          <w:highlight w:val="none"/>
        </w:rPr>
        <w:t>我方的控股股东如下：</w:t>
      </w:r>
    </w:p>
    <w:p w14:paraId="195E319D">
      <w:pPr>
        <w:ind w:firstLine="426"/>
        <w:rPr>
          <w:rFonts w:ascii="宋体" w:hAnsi="Courier New" w:cs="Courier New"/>
          <w:sz w:val="24"/>
          <w:highlight w:val="none"/>
        </w:rPr>
      </w:pPr>
    </w:p>
    <w:p w14:paraId="5F2F6FAB">
      <w:pPr>
        <w:ind w:firstLine="426"/>
        <w:rPr>
          <w:rFonts w:ascii="宋体" w:hAnsi="Courier New" w:cs="Courier New"/>
          <w:sz w:val="24"/>
          <w:highlight w:val="none"/>
        </w:rPr>
      </w:pPr>
      <w:r>
        <w:rPr>
          <w:rFonts w:hint="eastAsia" w:ascii="宋体" w:hAnsi="Courier New" w:cs="Courier New"/>
          <w:sz w:val="24"/>
          <w:highlight w:val="none"/>
        </w:rPr>
        <w:t>我方直接控股的企业如下：</w:t>
      </w:r>
    </w:p>
    <w:p w14:paraId="3AD08A7A">
      <w:pPr>
        <w:ind w:firstLine="426"/>
        <w:rPr>
          <w:rFonts w:ascii="宋体" w:hAnsi="Courier New" w:cs="Courier New"/>
          <w:sz w:val="24"/>
          <w:highlight w:val="none"/>
        </w:rPr>
      </w:pPr>
    </w:p>
    <w:p w14:paraId="65E6FB10">
      <w:pPr>
        <w:ind w:firstLine="426"/>
        <w:rPr>
          <w:rFonts w:ascii="宋体" w:hAnsi="Courier New" w:cs="Courier New"/>
          <w:sz w:val="24"/>
          <w:highlight w:val="none"/>
        </w:rPr>
      </w:pPr>
      <w:r>
        <w:rPr>
          <w:rFonts w:hint="eastAsia" w:ascii="宋体" w:hAnsi="Courier New" w:cs="Courier New"/>
          <w:sz w:val="24"/>
          <w:highlight w:val="none"/>
        </w:rPr>
        <w:t>与我方存在管理、被管理关系的单位名称如下：</w:t>
      </w:r>
    </w:p>
    <w:p w14:paraId="69697668">
      <w:pPr>
        <w:ind w:firstLine="426"/>
        <w:rPr>
          <w:rFonts w:ascii="宋体" w:hAnsi="Courier New" w:cs="Courier New"/>
          <w:sz w:val="24"/>
          <w:highlight w:val="none"/>
        </w:rPr>
      </w:pPr>
    </w:p>
    <w:p w14:paraId="70DECBCC">
      <w:pPr>
        <w:ind w:firstLine="426"/>
        <w:rPr>
          <w:rFonts w:ascii="宋体" w:hAnsi="宋体"/>
          <w:szCs w:val="21"/>
          <w:highlight w:val="none"/>
        </w:rPr>
      </w:pPr>
    </w:p>
    <w:p w14:paraId="016DC8C9">
      <w:pPr>
        <w:ind w:firstLine="426"/>
        <w:rPr>
          <w:rFonts w:ascii="宋体" w:hAnsi="宋体"/>
          <w:szCs w:val="21"/>
          <w:highlight w:val="none"/>
        </w:rPr>
      </w:pPr>
      <w:r>
        <w:rPr>
          <w:rFonts w:ascii="宋体" w:hAnsi="宋体"/>
          <w:szCs w:val="21"/>
          <w:highlight w:val="none"/>
        </w:rPr>
        <w:t xml:space="preserve">供应商名称（公章）： </w:t>
      </w:r>
    </w:p>
    <w:p w14:paraId="003FE359">
      <w:pPr>
        <w:ind w:firstLine="420"/>
        <w:rPr>
          <w:rFonts w:ascii="宋体" w:hAnsi="宋体"/>
          <w:szCs w:val="21"/>
          <w:highlight w:val="none"/>
        </w:rPr>
      </w:pPr>
      <w:r>
        <w:rPr>
          <w:rFonts w:ascii="宋体" w:hAnsi="宋体"/>
          <w:szCs w:val="21"/>
          <w:highlight w:val="none"/>
        </w:rPr>
        <w:t>法定代表人或其授权代表（</w:t>
      </w:r>
      <w:r>
        <w:rPr>
          <w:rFonts w:hint="eastAsia" w:ascii="宋体" w:hAnsi="宋体"/>
          <w:szCs w:val="21"/>
          <w:highlight w:val="none"/>
        </w:rPr>
        <w:t>签字或加盖人名章</w:t>
      </w:r>
      <w:r>
        <w:rPr>
          <w:rFonts w:ascii="宋体" w:hAnsi="宋体"/>
          <w:szCs w:val="21"/>
          <w:highlight w:val="none"/>
        </w:rPr>
        <w:t>）：</w:t>
      </w:r>
    </w:p>
    <w:p w14:paraId="60FE83F7">
      <w:pPr>
        <w:ind w:firstLine="420" w:firstLineChars="200"/>
        <w:rPr>
          <w:rFonts w:ascii="宋体" w:hAnsi="宋体"/>
          <w:szCs w:val="21"/>
          <w:highlight w:val="none"/>
        </w:rPr>
      </w:pPr>
      <w:r>
        <w:rPr>
          <w:rFonts w:ascii="宋体" w:hAnsi="宋体"/>
          <w:szCs w:val="21"/>
          <w:highlight w:val="none"/>
        </w:rPr>
        <w:t>日    期：     年   月    日</w:t>
      </w:r>
    </w:p>
    <w:p w14:paraId="3DCA6749">
      <w:pPr>
        <w:rPr>
          <w:rFonts w:cs="Courier New" w:asciiTheme="minorEastAsia" w:hAnsiTheme="minorEastAsia" w:eastAsiaTheme="minorEastAsia"/>
          <w:sz w:val="24"/>
          <w:szCs w:val="21"/>
          <w:highlight w:val="none"/>
          <w:u w:val="single"/>
        </w:rPr>
      </w:pPr>
      <w:r>
        <w:rPr>
          <w:rFonts w:asciiTheme="minorEastAsia" w:hAnsiTheme="minorEastAsia" w:eastAsiaTheme="minorEastAsia"/>
          <w:sz w:val="24"/>
          <w:highlight w:val="none"/>
          <w:u w:val="single"/>
        </w:rPr>
        <w:br w:type="page"/>
      </w:r>
    </w:p>
    <w:p w14:paraId="6DA1D082">
      <w:pPr>
        <w:pStyle w:val="423"/>
        <w:ind w:firstLine="0" w:firstLineChars="0"/>
        <w:jc w:val="left"/>
        <w:outlineLvl w:val="2"/>
        <w:rPr>
          <w:rFonts w:hint="default" w:ascii="仿宋_GB2312" w:hAnsi="宋体" w:eastAsia="仿宋_GB2312" w:cs="Times New Roman"/>
          <w:b/>
          <w:sz w:val="24"/>
          <w:highlight w:val="none"/>
          <w:lang w:val="en-US" w:eastAsia="zh-CN"/>
        </w:rPr>
      </w:pPr>
      <w:r>
        <w:rPr>
          <w:rFonts w:hint="eastAsia" w:ascii="仿宋_GB2312" w:hAnsi="宋体" w:eastAsia="仿宋_GB2312" w:cs="Times New Roman"/>
          <w:b/>
          <w:sz w:val="24"/>
          <w:highlight w:val="none"/>
        </w:rPr>
        <w:t>8—</w:t>
      </w:r>
      <w:r>
        <w:rPr>
          <w:rFonts w:hint="eastAsia" w:ascii="仿宋_GB2312" w:hAnsi="宋体" w:eastAsia="仿宋_GB2312" w:cs="Times New Roman"/>
          <w:b/>
          <w:sz w:val="24"/>
          <w:highlight w:val="none"/>
          <w:lang w:val="en-US" w:eastAsia="zh-CN"/>
        </w:rPr>
        <w:t>4</w:t>
      </w:r>
      <w:r>
        <w:rPr>
          <w:rFonts w:hint="eastAsia" w:ascii="仿宋_GB2312" w:hAnsi="宋体" w:eastAsia="仿宋_GB2312" w:cs="Times New Roman"/>
          <w:b/>
          <w:sz w:val="24"/>
          <w:highlight w:val="none"/>
        </w:rPr>
        <w:t xml:space="preserve"> </w:t>
      </w:r>
      <w:r>
        <w:rPr>
          <w:rFonts w:hint="eastAsia" w:ascii="仿宋_GB2312" w:hAnsi="宋体" w:eastAsia="仿宋_GB2312" w:cs="Times New Roman"/>
          <w:b/>
          <w:sz w:val="24"/>
          <w:highlight w:val="none"/>
          <w:lang w:val="en-US" w:eastAsia="zh-CN"/>
        </w:rPr>
        <w:t>采购文件要求的其他材料</w:t>
      </w:r>
    </w:p>
    <w:p w14:paraId="095FD792">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cs="仿宋_GB2312"/>
          <w:kern w:val="0"/>
          <w:sz w:val="24"/>
          <w:highlight w:val="none"/>
        </w:rPr>
        <w:br w:type="page"/>
      </w:r>
    </w:p>
    <w:p w14:paraId="04E4C4B1">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9</w:t>
      </w:r>
      <w:r>
        <w:rPr>
          <w:rFonts w:hint="eastAsia"/>
          <w:b/>
          <w:sz w:val="24"/>
          <w:highlight w:val="none"/>
        </w:rPr>
        <w:t xml:space="preserve"> 小微企业、监狱企业、残疾人福利单位的声明函或证明材料</w:t>
      </w:r>
    </w:p>
    <w:p w14:paraId="314D3738">
      <w:pPr>
        <w:pStyle w:val="40"/>
        <w:snapToGrid w:val="0"/>
        <w:spacing w:before="156" w:beforeLines="50"/>
        <w:rPr>
          <w:rFonts w:hAnsi="宋体" w:cs="宋体"/>
          <w:sz w:val="24"/>
          <w:highlight w:val="none"/>
        </w:rPr>
      </w:pPr>
    </w:p>
    <w:p w14:paraId="340002D0">
      <w:pPr>
        <w:jc w:val="center"/>
        <w:outlineLvl w:val="2"/>
        <w:rPr>
          <w:rFonts w:hAnsi="宋体"/>
          <w:sz w:val="32"/>
          <w:szCs w:val="32"/>
          <w:highlight w:val="none"/>
        </w:rPr>
      </w:pPr>
      <w:r>
        <w:rPr>
          <w:rFonts w:hint="eastAsia" w:hAnsi="宋体"/>
          <w:sz w:val="32"/>
          <w:szCs w:val="32"/>
          <w:highlight w:val="none"/>
        </w:rPr>
        <w:t>（一）中小企业声明函</w:t>
      </w:r>
    </w:p>
    <w:p w14:paraId="5BA79C6A">
      <w:pPr>
        <w:pStyle w:val="40"/>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5132034B">
      <w:pPr>
        <w:jc w:val="center"/>
        <w:rPr>
          <w:rFonts w:hAnsi="宋体"/>
          <w:sz w:val="24"/>
          <w:highlight w:val="none"/>
        </w:rPr>
      </w:pPr>
    </w:p>
    <w:p w14:paraId="3D99C00B">
      <w:pPr>
        <w:pStyle w:val="40"/>
        <w:snapToGrid w:val="0"/>
        <w:spacing w:before="156" w:beforeLines="50"/>
        <w:rPr>
          <w:rFonts w:hAnsi="宋体" w:cs="宋体"/>
          <w:sz w:val="24"/>
          <w:szCs w:val="24"/>
          <w:highlight w:val="none"/>
        </w:rPr>
      </w:pPr>
      <w:r>
        <w:rPr>
          <w:rFonts w:hint="eastAsia" w:hAnsi="宋体" w:cs="宋体"/>
          <w:sz w:val="24"/>
          <w:szCs w:val="24"/>
          <w:highlight w:val="none"/>
        </w:rPr>
        <w:t>本公司郑重声明，根据《政府采购促进中小企业发展暂行办法》（财库[2011]181号）的规定，本公司为______（请填写：中型、小型、微型）企业。即，本公司同时满足以下条件：</w:t>
      </w:r>
    </w:p>
    <w:p w14:paraId="2C89E8BE">
      <w:pPr>
        <w:pStyle w:val="40"/>
        <w:snapToGrid w:val="0"/>
        <w:spacing w:before="156" w:beforeLines="50"/>
        <w:rPr>
          <w:rFonts w:hAnsi="宋体" w:cs="宋体"/>
          <w:sz w:val="24"/>
          <w:szCs w:val="24"/>
          <w:highlight w:val="none"/>
        </w:rPr>
      </w:pPr>
      <w:r>
        <w:rPr>
          <w:rFonts w:hint="eastAsia" w:hAnsi="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E5EB5DF">
      <w:pPr>
        <w:pStyle w:val="40"/>
        <w:snapToGrid w:val="0"/>
        <w:spacing w:before="156" w:beforeLines="50"/>
        <w:rPr>
          <w:rFonts w:hAnsi="宋体" w:cs="宋体"/>
          <w:sz w:val="24"/>
          <w:szCs w:val="24"/>
          <w:highlight w:val="none"/>
        </w:rPr>
      </w:pPr>
      <w:r>
        <w:rPr>
          <w:rFonts w:hint="eastAsia" w:hAnsi="宋体" w:cs="宋体"/>
          <w:sz w:val="24"/>
          <w:szCs w:val="24"/>
          <w:highlight w:val="none"/>
        </w:rPr>
        <w:t>2.本公司参加______单位的______项目采购活动提供本企业制造的货物，并由本企业承担相关服务（包括但不限于安装、调试等）。</w:t>
      </w:r>
    </w:p>
    <w:p w14:paraId="4DDFFE9E">
      <w:pPr>
        <w:pStyle w:val="40"/>
        <w:snapToGrid w:val="0"/>
        <w:spacing w:before="156" w:beforeLines="50"/>
        <w:rPr>
          <w:rFonts w:hAnsi="宋体" w:cs="宋体"/>
          <w:sz w:val="24"/>
          <w:szCs w:val="24"/>
          <w:highlight w:val="none"/>
        </w:rPr>
      </w:pPr>
      <w:r>
        <w:rPr>
          <w:rFonts w:hint="eastAsia" w:hAnsi="宋体" w:cs="宋体"/>
          <w:sz w:val="24"/>
          <w:szCs w:val="24"/>
          <w:highlight w:val="none"/>
        </w:rPr>
        <w:t>本公司对上述声明的真实性负责。如有虚假，将依法承担相应责任。</w:t>
      </w:r>
    </w:p>
    <w:p w14:paraId="32E56DD6">
      <w:pPr>
        <w:pStyle w:val="40"/>
        <w:snapToGrid w:val="0"/>
        <w:spacing w:before="156" w:beforeLines="50"/>
        <w:rPr>
          <w:rFonts w:hAnsi="宋体" w:cs="宋体"/>
          <w:sz w:val="24"/>
          <w:szCs w:val="24"/>
          <w:highlight w:val="none"/>
        </w:rPr>
      </w:pPr>
    </w:p>
    <w:p w14:paraId="17EC5808">
      <w:pPr>
        <w:pStyle w:val="40"/>
        <w:snapToGrid w:val="0"/>
        <w:spacing w:before="156" w:beforeLines="50"/>
        <w:rPr>
          <w:rFonts w:hAnsi="宋体" w:cs="宋体"/>
          <w:sz w:val="24"/>
          <w:szCs w:val="24"/>
          <w:highlight w:val="none"/>
        </w:rPr>
      </w:pPr>
    </w:p>
    <w:p w14:paraId="5374D3CF">
      <w:pPr>
        <w:pStyle w:val="40"/>
        <w:snapToGrid w:val="0"/>
        <w:spacing w:before="156" w:beforeLines="50"/>
        <w:rPr>
          <w:rFonts w:hAnsi="宋体" w:cs="宋体"/>
          <w:sz w:val="24"/>
          <w:szCs w:val="24"/>
          <w:highlight w:val="none"/>
        </w:rPr>
      </w:pPr>
      <w:r>
        <w:rPr>
          <w:rFonts w:hint="eastAsia" w:hAnsi="宋体" w:cs="宋体"/>
          <w:sz w:val="24"/>
          <w:szCs w:val="24"/>
          <w:highlight w:val="none"/>
        </w:rPr>
        <w:t>企业名称（盖章）：　</w:t>
      </w:r>
    </w:p>
    <w:p w14:paraId="02462D50">
      <w:pPr>
        <w:widowControl/>
        <w:jc w:val="left"/>
        <w:rPr>
          <w:rFonts w:hAnsi="宋体" w:cs="宋体"/>
          <w:sz w:val="24"/>
          <w:highlight w:val="none"/>
        </w:rPr>
      </w:pPr>
      <w:r>
        <w:rPr>
          <w:rFonts w:hint="eastAsia" w:hAnsi="宋体" w:cs="宋体"/>
          <w:sz w:val="24"/>
          <w:highlight w:val="none"/>
        </w:rPr>
        <w:t>日期：</w:t>
      </w:r>
    </w:p>
    <w:p w14:paraId="7E4D63E6">
      <w:pPr>
        <w:widowControl/>
        <w:jc w:val="left"/>
        <w:rPr>
          <w:rFonts w:ascii="宋体" w:hAnsi="宋体" w:cs="宋体"/>
          <w:sz w:val="24"/>
          <w:highlight w:val="none"/>
        </w:rPr>
      </w:pPr>
      <w:r>
        <w:rPr>
          <w:rFonts w:hAnsi="宋体" w:cs="宋体"/>
          <w:sz w:val="24"/>
          <w:highlight w:val="none"/>
        </w:rPr>
        <w:br w:type="page"/>
      </w:r>
    </w:p>
    <w:p w14:paraId="7EC83034">
      <w:pPr>
        <w:pStyle w:val="40"/>
        <w:snapToGrid w:val="0"/>
        <w:spacing w:before="156" w:beforeLines="50"/>
        <w:rPr>
          <w:rFonts w:hAnsi="宋体" w:cs="宋体"/>
          <w:sz w:val="24"/>
          <w:szCs w:val="24"/>
          <w:highlight w:val="none"/>
        </w:rPr>
      </w:pPr>
    </w:p>
    <w:p w14:paraId="33C2C4C8">
      <w:pPr>
        <w:jc w:val="center"/>
        <w:outlineLvl w:val="2"/>
        <w:rPr>
          <w:rFonts w:hAnsi="宋体"/>
          <w:sz w:val="32"/>
          <w:szCs w:val="32"/>
          <w:highlight w:val="none"/>
        </w:rPr>
      </w:pPr>
      <w:r>
        <w:rPr>
          <w:rFonts w:hint="eastAsia" w:hAnsi="宋体"/>
          <w:sz w:val="32"/>
          <w:szCs w:val="32"/>
          <w:highlight w:val="none"/>
        </w:rPr>
        <w:t>（二）监狱企业证明</w:t>
      </w:r>
    </w:p>
    <w:p w14:paraId="1C94E259">
      <w:pPr>
        <w:pStyle w:val="40"/>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331BBCBF">
      <w:pPr>
        <w:jc w:val="center"/>
        <w:rPr>
          <w:sz w:val="24"/>
          <w:highlight w:val="none"/>
        </w:rPr>
      </w:pPr>
    </w:p>
    <w:p w14:paraId="05CDB908">
      <w:pPr>
        <w:pStyle w:val="40"/>
        <w:snapToGrid w:val="0"/>
        <w:spacing w:before="156" w:beforeLines="50"/>
        <w:rPr>
          <w:rFonts w:hAnsi="宋体" w:cs="宋体"/>
          <w:sz w:val="24"/>
          <w:szCs w:val="24"/>
          <w:highlight w:val="none"/>
        </w:rPr>
      </w:pPr>
    </w:p>
    <w:p w14:paraId="64D4284C">
      <w:pPr>
        <w:pStyle w:val="40"/>
        <w:snapToGrid w:val="0"/>
        <w:spacing w:before="156" w:beforeLines="50"/>
        <w:rPr>
          <w:rFonts w:hAnsi="宋体" w:cs="宋体"/>
          <w:sz w:val="24"/>
          <w:szCs w:val="24"/>
          <w:highlight w:val="none"/>
        </w:rPr>
      </w:pPr>
      <w:r>
        <w:rPr>
          <w:rFonts w:hint="eastAsia" w:hAnsi="宋体" w:cs="宋体"/>
          <w:sz w:val="24"/>
          <w:szCs w:val="24"/>
          <w:highlight w:val="none"/>
        </w:rPr>
        <w:t>省级以上监狱管理局、戒毒管理局（含新疆生产建设兵团）出具的属于监狱企业的证明文件。</w:t>
      </w:r>
    </w:p>
    <w:p w14:paraId="3EEC83A7">
      <w:pPr>
        <w:pStyle w:val="40"/>
        <w:snapToGrid w:val="0"/>
        <w:spacing w:before="156" w:beforeLines="50"/>
        <w:rPr>
          <w:rFonts w:hAnsi="宋体" w:cs="宋体"/>
          <w:sz w:val="24"/>
          <w:szCs w:val="24"/>
          <w:highlight w:val="none"/>
        </w:rPr>
      </w:pPr>
    </w:p>
    <w:p w14:paraId="488FC485">
      <w:pPr>
        <w:jc w:val="center"/>
        <w:outlineLvl w:val="2"/>
        <w:rPr>
          <w:rFonts w:hAnsi="宋体"/>
          <w:sz w:val="32"/>
          <w:szCs w:val="32"/>
          <w:highlight w:val="none"/>
        </w:rPr>
      </w:pPr>
      <w:r>
        <w:rPr>
          <w:rFonts w:hAnsi="宋体" w:cs="宋体"/>
          <w:sz w:val="24"/>
          <w:highlight w:val="none"/>
        </w:rPr>
        <w:br w:type="page"/>
      </w:r>
      <w:r>
        <w:rPr>
          <w:rFonts w:hint="eastAsia" w:hAnsi="宋体"/>
          <w:sz w:val="32"/>
          <w:szCs w:val="32"/>
          <w:highlight w:val="none"/>
        </w:rPr>
        <w:t>（三）残疾人福利性单位声明函</w:t>
      </w:r>
    </w:p>
    <w:p w14:paraId="32D33A2E">
      <w:pPr>
        <w:pStyle w:val="40"/>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0E69310">
      <w:pPr>
        <w:jc w:val="center"/>
        <w:rPr>
          <w:sz w:val="24"/>
          <w:highlight w:val="none"/>
        </w:rPr>
      </w:pPr>
    </w:p>
    <w:p w14:paraId="645E60E6">
      <w:pPr>
        <w:rPr>
          <w:sz w:val="24"/>
          <w:highlight w:val="none"/>
        </w:rPr>
      </w:pPr>
    </w:p>
    <w:p w14:paraId="01C41846">
      <w:pPr>
        <w:rPr>
          <w:sz w:val="24"/>
          <w:highlight w:val="none"/>
        </w:rPr>
      </w:pPr>
    </w:p>
    <w:p w14:paraId="52A3C1CB">
      <w:pPr>
        <w:rPr>
          <w:sz w:val="24"/>
          <w:highlight w:val="none"/>
        </w:rPr>
      </w:pPr>
      <w:r>
        <w:rPr>
          <w:rFonts w:hint="eastAsia"/>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456887">
      <w:pPr>
        <w:rPr>
          <w:sz w:val="24"/>
          <w:highlight w:val="none"/>
        </w:rPr>
      </w:pPr>
    </w:p>
    <w:p w14:paraId="21C0C33A">
      <w:pPr>
        <w:rPr>
          <w:sz w:val="24"/>
          <w:highlight w:val="none"/>
        </w:rPr>
      </w:pPr>
      <w:r>
        <w:rPr>
          <w:rFonts w:hint="eastAsia"/>
          <w:sz w:val="24"/>
          <w:highlight w:val="none"/>
        </w:rPr>
        <w:t>本单位对上述声明的真实性负责。如有虚假，将依法承担相应责任。</w:t>
      </w:r>
    </w:p>
    <w:p w14:paraId="013CFAE1">
      <w:pPr>
        <w:rPr>
          <w:sz w:val="24"/>
          <w:highlight w:val="none"/>
        </w:rPr>
      </w:pPr>
    </w:p>
    <w:p w14:paraId="39B5515D">
      <w:pPr>
        <w:rPr>
          <w:sz w:val="24"/>
          <w:highlight w:val="none"/>
        </w:rPr>
      </w:pPr>
      <w:r>
        <w:rPr>
          <w:sz w:val="24"/>
          <w:highlight w:val="none"/>
        </w:rPr>
        <w:t xml:space="preserve"> </w:t>
      </w:r>
    </w:p>
    <w:p w14:paraId="2DFF99F4">
      <w:pPr>
        <w:rPr>
          <w:sz w:val="24"/>
          <w:highlight w:val="none"/>
        </w:rPr>
      </w:pPr>
    </w:p>
    <w:p w14:paraId="54421F3D">
      <w:pPr>
        <w:rPr>
          <w:sz w:val="24"/>
          <w:highlight w:val="none"/>
        </w:rPr>
      </w:pPr>
      <w:r>
        <w:rPr>
          <w:sz w:val="24"/>
          <w:highlight w:val="none"/>
        </w:rPr>
        <w:t xml:space="preserve"> </w:t>
      </w:r>
    </w:p>
    <w:p w14:paraId="6F5E0631">
      <w:pPr>
        <w:rPr>
          <w:sz w:val="24"/>
          <w:highlight w:val="none"/>
        </w:rPr>
      </w:pPr>
    </w:p>
    <w:p w14:paraId="3119E89D">
      <w:pPr>
        <w:rPr>
          <w:sz w:val="24"/>
          <w:highlight w:val="none"/>
        </w:rPr>
      </w:pPr>
      <w:r>
        <w:rPr>
          <w:rFonts w:hint="eastAsia"/>
          <w:sz w:val="24"/>
          <w:highlight w:val="none"/>
        </w:rPr>
        <w:t>单位名称（盖章）：</w:t>
      </w:r>
    </w:p>
    <w:p w14:paraId="30152452">
      <w:pPr>
        <w:rPr>
          <w:sz w:val="24"/>
          <w:highlight w:val="none"/>
        </w:rPr>
      </w:pPr>
    </w:p>
    <w:p w14:paraId="6B7495AA">
      <w:pPr>
        <w:rPr>
          <w:sz w:val="24"/>
          <w:highlight w:val="none"/>
        </w:rPr>
      </w:pPr>
      <w:r>
        <w:rPr>
          <w:rFonts w:hint="eastAsia"/>
          <w:sz w:val="24"/>
          <w:highlight w:val="none"/>
        </w:rPr>
        <w:t>日  期：</w:t>
      </w:r>
    </w:p>
    <w:p w14:paraId="37E21767">
      <w:pPr>
        <w:rPr>
          <w:sz w:val="24"/>
          <w:highlight w:val="none"/>
        </w:rPr>
      </w:pPr>
    </w:p>
    <w:p w14:paraId="67B403EA">
      <w:pPr>
        <w:pStyle w:val="40"/>
        <w:snapToGrid w:val="0"/>
        <w:spacing w:before="156" w:beforeLines="50"/>
        <w:jc w:val="center"/>
        <w:rPr>
          <w:rFonts w:ascii="仿宋_GB2312" w:hAnsi="宋体" w:eastAsia="仿宋_GB2312"/>
          <w:b/>
          <w:sz w:val="24"/>
          <w:highlight w:val="none"/>
        </w:rPr>
      </w:pPr>
    </w:p>
    <w:p w14:paraId="4458195F">
      <w:pPr>
        <w:widowControl/>
        <w:jc w:val="left"/>
        <w:rPr>
          <w:rFonts w:ascii="宋体" w:hAnsi="宋体" w:cs="宋体"/>
          <w:sz w:val="24"/>
          <w:highlight w:val="none"/>
        </w:rPr>
      </w:pPr>
      <w:r>
        <w:rPr>
          <w:rFonts w:ascii="宋体" w:hAnsi="宋体" w:cs="宋体"/>
          <w:sz w:val="24"/>
          <w:highlight w:val="none"/>
        </w:rPr>
        <w:br w:type="page"/>
      </w:r>
    </w:p>
    <w:p w14:paraId="268048C7">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10</w:t>
      </w:r>
      <w:r>
        <w:rPr>
          <w:rFonts w:hint="eastAsia"/>
          <w:b/>
          <w:sz w:val="24"/>
          <w:highlight w:val="none"/>
        </w:rPr>
        <w:t xml:space="preserve"> </w:t>
      </w:r>
      <w:r>
        <w:rPr>
          <w:b/>
          <w:sz w:val="24"/>
          <w:highlight w:val="none"/>
        </w:rPr>
        <w:t>响应承诺书</w:t>
      </w:r>
    </w:p>
    <w:p w14:paraId="07A85B5F">
      <w:pPr>
        <w:rPr>
          <w:rFonts w:ascii="宋体" w:hAnsi="宋体"/>
          <w:szCs w:val="21"/>
          <w:highlight w:val="none"/>
        </w:rPr>
      </w:pPr>
    </w:p>
    <w:p w14:paraId="7FEDF44F">
      <w:pPr>
        <w:jc w:val="center"/>
        <w:rPr>
          <w:rFonts w:ascii="宋体" w:hAnsi="宋体"/>
          <w:sz w:val="32"/>
          <w:szCs w:val="32"/>
          <w:highlight w:val="none"/>
        </w:rPr>
      </w:pPr>
      <w:r>
        <w:rPr>
          <w:rFonts w:hint="eastAsia" w:ascii="宋体" w:hAnsi="宋体"/>
          <w:sz w:val="32"/>
          <w:szCs w:val="32"/>
          <w:highlight w:val="none"/>
        </w:rPr>
        <w:t>响应承诺书</w:t>
      </w:r>
    </w:p>
    <w:p w14:paraId="61A2D89E">
      <w:pPr>
        <w:spacing w:line="360" w:lineRule="auto"/>
        <w:rPr>
          <w:rFonts w:ascii="宋体" w:hAnsi="宋体"/>
          <w:sz w:val="24"/>
          <w:highlight w:val="none"/>
        </w:rPr>
      </w:pPr>
      <w:r>
        <w:rPr>
          <w:rFonts w:ascii="宋体" w:hAnsi="宋体"/>
          <w:sz w:val="24"/>
          <w:highlight w:val="none"/>
        </w:rPr>
        <w:t>致：</w:t>
      </w:r>
    </w:p>
    <w:p w14:paraId="3BD8AE64">
      <w:pPr>
        <w:spacing w:line="360" w:lineRule="auto"/>
        <w:ind w:firstLine="480" w:firstLineChars="200"/>
        <w:rPr>
          <w:rFonts w:ascii="宋体" w:hAnsi="宋体"/>
          <w:sz w:val="24"/>
          <w:highlight w:val="none"/>
        </w:rPr>
      </w:pPr>
      <w:r>
        <w:rPr>
          <w:rFonts w:hint="eastAsia" w:ascii="宋体" w:hAnsi="宋体"/>
          <w:sz w:val="24"/>
          <w:highlight w:val="none"/>
        </w:rPr>
        <w:t>我方在此声明，我方以下事项进行承诺：</w:t>
      </w:r>
    </w:p>
    <w:p w14:paraId="3DC8233B">
      <w:pPr>
        <w:spacing w:line="360" w:lineRule="auto"/>
        <w:ind w:firstLine="480" w:firstLineChars="200"/>
        <w:rPr>
          <w:rFonts w:ascii="宋体" w:hAnsi="宋体"/>
          <w:sz w:val="24"/>
          <w:highlight w:val="none"/>
        </w:rPr>
      </w:pPr>
      <w:r>
        <w:rPr>
          <w:rFonts w:hint="eastAsia" w:ascii="宋体" w:hAnsi="宋体"/>
          <w:sz w:val="24"/>
          <w:highlight w:val="none"/>
        </w:rPr>
        <w:t>（1） 在本次</w:t>
      </w:r>
      <w:r>
        <w:rPr>
          <w:rFonts w:hint="eastAsia" w:ascii="宋体" w:hAnsi="宋体"/>
          <w:sz w:val="24"/>
          <w:highlight w:val="none"/>
          <w:lang w:eastAsia="zh-CN"/>
        </w:rPr>
        <w:t>磋商</w:t>
      </w:r>
      <w:r>
        <w:rPr>
          <w:rFonts w:hint="eastAsia" w:ascii="宋体" w:hAnsi="宋体"/>
          <w:sz w:val="24"/>
          <w:highlight w:val="none"/>
        </w:rPr>
        <w:t>中我公司无与其他供应商相互串通，或与采购人串通的行为；</w:t>
      </w:r>
    </w:p>
    <w:p w14:paraId="42B8670F">
      <w:pPr>
        <w:spacing w:line="360" w:lineRule="auto"/>
        <w:ind w:firstLine="480" w:firstLineChars="200"/>
        <w:rPr>
          <w:rFonts w:ascii="宋体" w:hAnsi="宋体"/>
          <w:sz w:val="24"/>
          <w:highlight w:val="none"/>
        </w:rPr>
      </w:pPr>
      <w:r>
        <w:rPr>
          <w:rFonts w:hint="eastAsia" w:ascii="宋体" w:hAnsi="宋体"/>
          <w:sz w:val="24"/>
          <w:highlight w:val="none"/>
        </w:rPr>
        <w:t>（2） 在本次</w:t>
      </w:r>
      <w:r>
        <w:rPr>
          <w:rFonts w:hint="eastAsia" w:ascii="宋体" w:hAnsi="宋体"/>
          <w:sz w:val="24"/>
          <w:highlight w:val="none"/>
          <w:lang w:eastAsia="zh-CN"/>
        </w:rPr>
        <w:t>磋商</w:t>
      </w:r>
      <w:r>
        <w:rPr>
          <w:rFonts w:hint="eastAsia" w:ascii="宋体" w:hAnsi="宋体"/>
          <w:sz w:val="24"/>
          <w:highlight w:val="none"/>
        </w:rPr>
        <w:t>中我公司无向采购人或评审小组成员行贿的手段谋取成交的行为；</w:t>
      </w:r>
    </w:p>
    <w:p w14:paraId="13FC206D">
      <w:pPr>
        <w:spacing w:line="360" w:lineRule="auto"/>
        <w:ind w:firstLine="480" w:firstLineChars="200"/>
        <w:rPr>
          <w:rFonts w:ascii="宋体" w:hAnsi="宋体"/>
          <w:sz w:val="24"/>
          <w:highlight w:val="none"/>
        </w:rPr>
      </w:pPr>
      <w:r>
        <w:rPr>
          <w:rFonts w:hint="eastAsia" w:ascii="宋体" w:hAnsi="宋体"/>
          <w:sz w:val="24"/>
          <w:highlight w:val="none"/>
        </w:rPr>
        <w:t>（3） 在本次</w:t>
      </w:r>
      <w:r>
        <w:rPr>
          <w:rFonts w:hint="eastAsia" w:ascii="宋体" w:hAnsi="宋体"/>
          <w:sz w:val="24"/>
          <w:highlight w:val="none"/>
          <w:lang w:eastAsia="zh-CN"/>
        </w:rPr>
        <w:t>磋商</w:t>
      </w:r>
      <w:r>
        <w:rPr>
          <w:rFonts w:hint="eastAsia" w:ascii="宋体" w:hAnsi="宋体"/>
          <w:sz w:val="24"/>
          <w:highlight w:val="none"/>
        </w:rPr>
        <w:t>中我公司无出借或借用资质行为、在响应文件中所附资料（业绩资料等）无弄虚作假；</w:t>
      </w:r>
    </w:p>
    <w:p w14:paraId="49F015FD">
      <w:pPr>
        <w:spacing w:line="360" w:lineRule="auto"/>
        <w:ind w:firstLine="480" w:firstLineChars="200"/>
        <w:rPr>
          <w:rFonts w:ascii="宋体" w:hAnsi="宋体"/>
          <w:sz w:val="24"/>
          <w:highlight w:val="none"/>
        </w:rPr>
      </w:pPr>
      <w:r>
        <w:rPr>
          <w:rFonts w:hint="eastAsia" w:ascii="宋体" w:hAnsi="宋体"/>
          <w:sz w:val="24"/>
          <w:highlight w:val="none"/>
        </w:rPr>
        <w:t>（4） 我公司没有处于被责令停产、停业、投标资格被取消状态；</w:t>
      </w:r>
    </w:p>
    <w:p w14:paraId="2A36663E">
      <w:pPr>
        <w:spacing w:line="360" w:lineRule="auto"/>
        <w:ind w:firstLine="480" w:firstLineChars="200"/>
        <w:rPr>
          <w:rFonts w:ascii="宋体" w:hAnsi="宋体"/>
          <w:sz w:val="24"/>
          <w:highlight w:val="none"/>
        </w:rPr>
      </w:pPr>
      <w:r>
        <w:rPr>
          <w:rFonts w:hint="eastAsia" w:ascii="宋体" w:hAnsi="宋体"/>
          <w:sz w:val="24"/>
          <w:highlight w:val="none"/>
        </w:rPr>
        <w:t>（5）我公司不采用非法手段获取证据进行质疑、投诉，在质疑、投诉过程中不提供虚假情况或进行恶意质疑、投诉。</w:t>
      </w:r>
    </w:p>
    <w:p w14:paraId="59EEB52E">
      <w:pPr>
        <w:spacing w:line="360" w:lineRule="auto"/>
        <w:ind w:firstLine="480" w:firstLineChars="200"/>
        <w:rPr>
          <w:rFonts w:ascii="宋体" w:hAnsi="宋体"/>
          <w:sz w:val="24"/>
          <w:highlight w:val="none"/>
        </w:rPr>
      </w:pPr>
      <w:r>
        <w:rPr>
          <w:rFonts w:hint="eastAsia" w:ascii="宋体" w:hAnsi="宋体"/>
          <w:sz w:val="24"/>
          <w:highlight w:val="none"/>
        </w:rPr>
        <w:t>上述承诺内容如有不实，我公司愿意承担由此造成的一切法律责任，并承诺赔偿给采购人造成的损失。</w:t>
      </w:r>
    </w:p>
    <w:p w14:paraId="01BCD2C8">
      <w:pPr>
        <w:spacing w:line="360" w:lineRule="auto"/>
        <w:ind w:firstLine="480" w:firstLineChars="200"/>
        <w:rPr>
          <w:rFonts w:ascii="宋体" w:hAnsi="宋体"/>
          <w:sz w:val="24"/>
          <w:highlight w:val="none"/>
        </w:rPr>
      </w:pPr>
      <w:r>
        <w:rPr>
          <w:rFonts w:hint="eastAsia" w:ascii="宋体" w:hAnsi="宋体"/>
          <w:sz w:val="24"/>
          <w:highlight w:val="none"/>
        </w:rPr>
        <w:t>特此承诺</w:t>
      </w:r>
    </w:p>
    <w:p w14:paraId="79A4C715">
      <w:pPr>
        <w:spacing w:line="360" w:lineRule="auto"/>
        <w:ind w:firstLine="480" w:firstLineChars="200"/>
        <w:rPr>
          <w:rFonts w:ascii="宋体" w:hAnsi="宋体"/>
          <w:sz w:val="24"/>
          <w:highlight w:val="none"/>
        </w:rPr>
      </w:pPr>
    </w:p>
    <w:p w14:paraId="55C9AB7D">
      <w:pPr>
        <w:spacing w:line="360" w:lineRule="auto"/>
        <w:ind w:firstLine="480" w:firstLineChars="200"/>
        <w:rPr>
          <w:rFonts w:ascii="宋体" w:hAnsi="宋体"/>
          <w:sz w:val="24"/>
          <w:highlight w:val="none"/>
        </w:rPr>
      </w:pPr>
      <w:r>
        <w:rPr>
          <w:rFonts w:ascii="宋体" w:hAnsi="宋体"/>
          <w:sz w:val="24"/>
          <w:highlight w:val="none"/>
        </w:rPr>
        <w:t xml:space="preserve">供应商名称（公章）： </w:t>
      </w:r>
    </w:p>
    <w:p w14:paraId="7860F4D9">
      <w:pPr>
        <w:spacing w:line="360" w:lineRule="auto"/>
        <w:ind w:firstLine="480" w:firstLineChars="200"/>
        <w:rPr>
          <w:rFonts w:ascii="宋体" w:hAnsi="宋体"/>
          <w:sz w:val="24"/>
          <w:highlight w:val="none"/>
        </w:rPr>
      </w:pPr>
      <w:r>
        <w:rPr>
          <w:rFonts w:ascii="宋体" w:hAnsi="宋体"/>
          <w:sz w:val="24"/>
          <w:highlight w:val="none"/>
        </w:rPr>
        <w:t>法定代表人或其授权代表（</w:t>
      </w:r>
      <w:r>
        <w:rPr>
          <w:rFonts w:hint="eastAsia" w:ascii="宋体" w:hAnsi="宋体"/>
          <w:sz w:val="24"/>
          <w:highlight w:val="none"/>
        </w:rPr>
        <w:t>签字或加盖人名章</w:t>
      </w:r>
      <w:r>
        <w:rPr>
          <w:rFonts w:ascii="宋体" w:hAnsi="宋体"/>
          <w:sz w:val="24"/>
          <w:highlight w:val="none"/>
        </w:rPr>
        <w:t>）：</w:t>
      </w:r>
    </w:p>
    <w:p w14:paraId="444235BC">
      <w:pPr>
        <w:spacing w:line="360" w:lineRule="auto"/>
        <w:ind w:firstLine="480" w:firstLineChars="200"/>
        <w:rPr>
          <w:rFonts w:ascii="宋体" w:hAnsi="宋体"/>
          <w:sz w:val="24"/>
          <w:highlight w:val="none"/>
        </w:rPr>
      </w:pPr>
      <w:r>
        <w:rPr>
          <w:rFonts w:ascii="宋体" w:hAnsi="宋体"/>
          <w:sz w:val="24"/>
          <w:highlight w:val="none"/>
        </w:rPr>
        <w:t>日    期：     年   月    日</w:t>
      </w:r>
    </w:p>
    <w:p w14:paraId="0782E1EF">
      <w:pPr>
        <w:widowControl/>
        <w:jc w:val="left"/>
        <w:rPr>
          <w:rFonts w:ascii="宋体" w:hAnsi="宋体" w:cs="宋体"/>
          <w:sz w:val="24"/>
          <w:highlight w:val="none"/>
        </w:rPr>
      </w:pPr>
    </w:p>
    <w:p w14:paraId="360A50F9">
      <w:pPr>
        <w:pStyle w:val="40"/>
        <w:snapToGrid w:val="0"/>
        <w:spacing w:before="156" w:beforeLines="50"/>
        <w:rPr>
          <w:rFonts w:hAnsi="宋体" w:cs="宋体"/>
          <w:sz w:val="24"/>
          <w:szCs w:val="24"/>
          <w:highlight w:val="none"/>
        </w:rPr>
      </w:pPr>
    </w:p>
    <w:p w14:paraId="3478D2BF">
      <w:pPr>
        <w:widowControl/>
        <w:jc w:val="left"/>
        <w:rPr>
          <w:rFonts w:ascii="宋体" w:hAnsi="宋体"/>
          <w:sz w:val="24"/>
          <w:highlight w:val="none"/>
        </w:rPr>
      </w:pPr>
    </w:p>
    <w:p w14:paraId="6A04492C">
      <w:pPr>
        <w:adjustRightInd w:val="0"/>
        <w:spacing w:line="360" w:lineRule="atLeast"/>
        <w:jc w:val="left"/>
        <w:textAlignment w:val="baseline"/>
        <w:rPr>
          <w:b/>
          <w:sz w:val="30"/>
          <w:szCs w:val="30"/>
          <w:highlight w:val="none"/>
        </w:rPr>
      </w:pPr>
      <w:r>
        <w:rPr>
          <w:b/>
          <w:spacing w:val="20"/>
          <w:sz w:val="24"/>
          <w:highlight w:val="none"/>
        </w:rPr>
        <w:br w:type="page"/>
      </w:r>
    </w:p>
    <w:p w14:paraId="503D397E">
      <w:pPr>
        <w:pStyle w:val="423"/>
        <w:spacing w:line="360" w:lineRule="auto"/>
        <w:ind w:firstLine="0" w:firstLineChars="0"/>
        <w:outlineLvl w:val="1"/>
        <w:rPr>
          <w:b/>
          <w:sz w:val="24"/>
          <w:highlight w:val="none"/>
        </w:rPr>
      </w:pPr>
      <w:bookmarkStart w:id="124" w:name="_Toc157759075"/>
      <w:r>
        <w:rPr>
          <w:rFonts w:hint="eastAsia"/>
          <w:b/>
          <w:sz w:val="24"/>
          <w:highlight w:val="none"/>
        </w:rPr>
        <w:t>附件</w:t>
      </w:r>
      <w:r>
        <w:rPr>
          <w:rFonts w:hint="eastAsia"/>
          <w:b/>
          <w:sz w:val="24"/>
          <w:highlight w:val="none"/>
          <w:lang w:val="en-US" w:eastAsia="zh-CN"/>
        </w:rPr>
        <w:t>11</w:t>
      </w:r>
      <w:r>
        <w:rPr>
          <w:rFonts w:hint="eastAsia"/>
          <w:b/>
          <w:sz w:val="24"/>
          <w:highlight w:val="none"/>
        </w:rPr>
        <w:t xml:space="preserve">  服务标准、验收等要求的响应</w:t>
      </w:r>
    </w:p>
    <w:p w14:paraId="0D75AE55">
      <w:pPr>
        <w:spacing w:line="360" w:lineRule="auto"/>
        <w:rPr>
          <w:rFonts w:asciiTheme="minorEastAsia" w:hAnsiTheme="minorEastAsia" w:eastAsiaTheme="minorEastAsia"/>
          <w:sz w:val="24"/>
          <w:highlight w:val="none"/>
        </w:rPr>
      </w:pPr>
    </w:p>
    <w:p w14:paraId="7EB9B47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包括：</w:t>
      </w:r>
      <w:bookmarkEnd w:id="124"/>
      <w:r>
        <w:rPr>
          <w:rFonts w:hint="eastAsia" w:ascii="宋体" w:hAnsi="宋体" w:cs="黑体"/>
          <w:kern w:val="0"/>
          <w:sz w:val="24"/>
          <w:highlight w:val="none"/>
        </w:rPr>
        <w:t>服务方案、服务措施及标准等</w:t>
      </w:r>
    </w:p>
    <w:p w14:paraId="105F81BC">
      <w:pPr>
        <w:spacing w:before="156" w:beforeLines="50" w:line="440" w:lineRule="exact"/>
        <w:ind w:left="-103" w:leftChars="-49" w:firstLine="1169" w:firstLineChars="557"/>
        <w:rPr>
          <w:highlight w:val="none"/>
        </w:rPr>
      </w:pPr>
    </w:p>
    <w:p w14:paraId="7D29F554">
      <w:pPr>
        <w:spacing w:before="156" w:beforeLines="50" w:line="440" w:lineRule="exact"/>
        <w:ind w:left="-103" w:leftChars="-49" w:firstLine="1169" w:firstLineChars="557"/>
        <w:rPr>
          <w:highlight w:val="none"/>
        </w:rPr>
      </w:pPr>
    </w:p>
    <w:p w14:paraId="0E0109E2">
      <w:pPr>
        <w:spacing w:before="156" w:beforeLines="50" w:line="440" w:lineRule="exact"/>
        <w:ind w:left="-103" w:leftChars="-49" w:firstLine="1169" w:firstLineChars="557"/>
        <w:rPr>
          <w:highlight w:val="none"/>
        </w:rPr>
      </w:pPr>
    </w:p>
    <w:p w14:paraId="6B45665A">
      <w:pPr>
        <w:spacing w:before="156" w:beforeLines="50" w:line="440" w:lineRule="exact"/>
        <w:ind w:left="-103" w:leftChars="-49" w:firstLine="1169" w:firstLineChars="557"/>
        <w:rPr>
          <w:highlight w:val="none"/>
        </w:rPr>
      </w:pPr>
    </w:p>
    <w:p w14:paraId="7CB3EEDE">
      <w:pPr>
        <w:spacing w:before="156" w:beforeLines="50" w:line="440" w:lineRule="exact"/>
        <w:ind w:left="-103" w:leftChars="-49" w:firstLine="1169" w:firstLineChars="557"/>
        <w:rPr>
          <w:highlight w:val="none"/>
        </w:rPr>
      </w:pPr>
    </w:p>
    <w:p w14:paraId="4EC4CA8B">
      <w:pPr>
        <w:spacing w:before="156" w:beforeLines="50" w:line="440" w:lineRule="exact"/>
        <w:ind w:left="-103" w:leftChars="-49" w:firstLine="1169" w:firstLineChars="557"/>
        <w:rPr>
          <w:highlight w:val="none"/>
        </w:rPr>
      </w:pPr>
      <w:r>
        <w:rPr>
          <w:rFonts w:hint="eastAsia"/>
          <w:highlight w:val="none"/>
        </w:rPr>
        <w:t>供应商：（公章）</w:t>
      </w:r>
    </w:p>
    <w:p w14:paraId="3AD15567">
      <w:pPr>
        <w:spacing w:before="156" w:beforeLines="50" w:line="440" w:lineRule="exact"/>
        <w:ind w:left="1105" w:leftChars="526" w:firstLine="15"/>
        <w:rPr>
          <w:highlight w:val="none"/>
        </w:rPr>
      </w:pPr>
      <w:r>
        <w:rPr>
          <w:highlight w:val="none"/>
        </w:rPr>
        <w:t>法定代表人或其授权代表：（</w:t>
      </w:r>
      <w:r>
        <w:rPr>
          <w:rFonts w:hint="eastAsia"/>
          <w:highlight w:val="none"/>
        </w:rPr>
        <w:t>签字或加盖人名章</w:t>
      </w:r>
      <w:r>
        <w:rPr>
          <w:highlight w:val="none"/>
        </w:rPr>
        <w:t>）</w:t>
      </w:r>
    </w:p>
    <w:p w14:paraId="738D9422">
      <w:pPr>
        <w:spacing w:before="156" w:beforeLines="50" w:line="440" w:lineRule="exact"/>
        <w:ind w:left="1105" w:leftChars="526" w:firstLine="15"/>
        <w:rPr>
          <w:highlight w:val="none"/>
        </w:rPr>
      </w:pPr>
      <w:r>
        <w:rPr>
          <w:highlight w:val="none"/>
        </w:rPr>
        <w:t>日期：</w:t>
      </w:r>
    </w:p>
    <w:p w14:paraId="183E54BE">
      <w:pPr>
        <w:spacing w:before="156" w:beforeLines="50" w:line="440" w:lineRule="exact"/>
        <w:ind w:left="1105" w:leftChars="526" w:firstLine="15"/>
        <w:rPr>
          <w:highlight w:val="none"/>
        </w:rPr>
      </w:pPr>
      <w:r>
        <w:rPr>
          <w:highlight w:val="none"/>
        </w:rPr>
        <w:br w:type="page"/>
      </w:r>
    </w:p>
    <w:bookmarkEnd w:id="116"/>
    <w:p w14:paraId="4F48113F">
      <w:pPr>
        <w:pStyle w:val="423"/>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12</w:t>
      </w:r>
      <w:r>
        <w:rPr>
          <w:rFonts w:hint="eastAsia"/>
          <w:b/>
          <w:sz w:val="24"/>
          <w:highlight w:val="none"/>
        </w:rPr>
        <w:t>供应商其他承诺（如有）</w:t>
      </w:r>
      <w:r>
        <w:rPr>
          <w:rFonts w:hint="eastAsia"/>
          <w:b/>
          <w:sz w:val="24"/>
          <w:highlight w:val="none"/>
        </w:rPr>
        <w:br w:type="page"/>
      </w:r>
    </w:p>
    <w:p w14:paraId="46F22DBF">
      <w:pPr>
        <w:pStyle w:val="423"/>
        <w:spacing w:line="360" w:lineRule="auto"/>
        <w:ind w:firstLine="0" w:firstLineChars="0"/>
        <w:outlineLvl w:val="1"/>
        <w:rPr>
          <w:rFonts w:hint="eastAsia" w:eastAsia="宋体"/>
          <w:b/>
          <w:sz w:val="24"/>
          <w:highlight w:val="none"/>
          <w:lang w:eastAsia="zh-CN"/>
        </w:rPr>
      </w:pPr>
      <w:r>
        <w:rPr>
          <w:rFonts w:hint="eastAsia"/>
          <w:b/>
          <w:sz w:val="24"/>
          <w:highlight w:val="none"/>
        </w:rPr>
        <w:t>附件</w:t>
      </w:r>
      <w:r>
        <w:rPr>
          <w:rFonts w:hint="eastAsia"/>
          <w:b/>
          <w:sz w:val="24"/>
          <w:highlight w:val="none"/>
          <w:lang w:val="en-US" w:eastAsia="zh-CN"/>
        </w:rPr>
        <w:t>13</w:t>
      </w:r>
      <w:r>
        <w:rPr>
          <w:rFonts w:hint="eastAsia"/>
          <w:b/>
          <w:sz w:val="24"/>
          <w:highlight w:val="none"/>
        </w:rPr>
        <w:t xml:space="preserve"> 最后报价函</w:t>
      </w:r>
    </w:p>
    <w:p w14:paraId="489BCC5F">
      <w:pPr>
        <w:spacing w:line="360" w:lineRule="auto"/>
        <w:jc w:val="center"/>
        <w:rPr>
          <w:rFonts w:ascii="宋体" w:hAnsi="宋体"/>
          <w:sz w:val="24"/>
          <w:highlight w:val="none"/>
        </w:rPr>
      </w:pPr>
    </w:p>
    <w:p w14:paraId="6213D894">
      <w:pPr>
        <w:spacing w:line="360" w:lineRule="auto"/>
        <w:jc w:val="center"/>
        <w:rPr>
          <w:rFonts w:ascii="宋体" w:hAnsi="宋体"/>
          <w:sz w:val="24"/>
          <w:highlight w:val="none"/>
        </w:rPr>
      </w:pPr>
      <w:r>
        <w:rPr>
          <w:rFonts w:hint="eastAsia" w:ascii="宋体" w:hAnsi="宋体"/>
          <w:sz w:val="24"/>
          <w:highlight w:val="none"/>
        </w:rPr>
        <w:t>最后报价函</w:t>
      </w:r>
    </w:p>
    <w:tbl>
      <w:tblPr>
        <w:tblStyle w:val="7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90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05B8032F">
            <w:pPr>
              <w:ind w:left="141" w:leftChars="67" w:right="103" w:rightChars="49"/>
              <w:jc w:val="center"/>
              <w:rPr>
                <w:rFonts w:ascii="仿宋_GB2312" w:hAnsi="宋体" w:eastAsia="仿宋_GB2312"/>
                <w:b/>
                <w:sz w:val="24"/>
                <w:highlight w:val="none"/>
              </w:rPr>
            </w:pPr>
            <w:r>
              <w:rPr>
                <w:rFonts w:hint="eastAsia" w:ascii="仿宋_GB2312" w:hAnsi="宋体" w:eastAsia="仿宋_GB2312"/>
                <w:b/>
                <w:sz w:val="24"/>
                <w:highlight w:val="none"/>
              </w:rPr>
              <w:t>项目编号及</w:t>
            </w:r>
            <w:r>
              <w:rPr>
                <w:rFonts w:hint="eastAsia" w:ascii="仿宋_GB2312" w:hAnsi="宋体" w:eastAsia="仿宋_GB2312"/>
                <w:b/>
                <w:sz w:val="24"/>
                <w:highlight w:val="none"/>
                <w:lang w:eastAsia="zh-CN"/>
              </w:rPr>
              <w:t>磋商</w:t>
            </w:r>
            <w:r>
              <w:rPr>
                <w:rFonts w:hint="eastAsia" w:ascii="仿宋_GB2312" w:hAnsi="宋体" w:eastAsia="仿宋_GB2312"/>
                <w:b/>
                <w:sz w:val="24"/>
                <w:highlight w:val="none"/>
              </w:rPr>
              <w:t>文件名称</w:t>
            </w:r>
          </w:p>
        </w:tc>
        <w:tc>
          <w:tcPr>
            <w:tcW w:w="6329" w:type="dxa"/>
            <w:vAlign w:val="center"/>
          </w:tcPr>
          <w:p w14:paraId="7F07EAAA">
            <w:pPr>
              <w:ind w:left="189" w:leftChars="90" w:firstLine="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p>
          <w:p w14:paraId="0ED24F9B">
            <w:pPr>
              <w:ind w:left="189" w:leftChars="90" w:firstLine="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项目名称：</w:t>
            </w:r>
          </w:p>
        </w:tc>
      </w:tr>
      <w:tr w14:paraId="200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A606116">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响应文件总价</w:t>
            </w:r>
          </w:p>
        </w:tc>
        <w:tc>
          <w:tcPr>
            <w:tcW w:w="6329" w:type="dxa"/>
            <w:vAlign w:val="center"/>
          </w:tcPr>
          <w:p w14:paraId="763D3A9E">
            <w:pPr>
              <w:pStyle w:val="434"/>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/年；三年合计：       </w:t>
            </w:r>
          </w:p>
          <w:p w14:paraId="4ACD1BEC">
            <w:pPr>
              <w:pStyle w:val="434"/>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/年；三年合计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17644343">
            <w:pPr>
              <w:ind w:left="189" w:leftChars="90" w:firstLine="1"/>
              <w:jc w:val="both"/>
              <w:rPr>
                <w:rFonts w:hint="eastAsia" w:ascii="仿宋" w:hAnsi="仿宋" w:eastAsia="仿宋" w:cs="仿宋"/>
                <w:spacing w:val="-2"/>
                <w:sz w:val="24"/>
                <w:szCs w:val="24"/>
              </w:rPr>
            </w:pPr>
            <w:r>
              <w:rPr>
                <w:rFonts w:hint="eastAsia" w:ascii="仿宋" w:hAnsi="仿宋" w:eastAsia="仿宋" w:cs="仿宋"/>
                <w:spacing w:val="-2"/>
                <w:sz w:val="24"/>
                <w:szCs w:val="24"/>
              </w:rPr>
              <w:t>折合单价</w:t>
            </w:r>
            <w:r>
              <w:rPr>
                <w:rFonts w:hint="eastAsia" w:ascii="仿宋" w:hAnsi="仿宋" w:eastAsia="仿宋" w:cs="仿宋"/>
                <w:spacing w:val="-2"/>
                <w:sz w:val="24"/>
                <w:szCs w:val="24"/>
                <w:u w:val="single" w:color="auto"/>
              </w:rPr>
              <w:t xml:space="preserve">       元/</w:t>
            </w:r>
            <w:r>
              <w:rPr>
                <w:rFonts w:hint="eastAsia" w:ascii="仿宋" w:hAnsi="仿宋" w:eastAsia="仿宋" w:cs="仿宋"/>
                <w:spacing w:val="-2"/>
                <w:sz w:val="24"/>
                <w:szCs w:val="24"/>
              </w:rPr>
              <w:t>床位日（精确到小数点后两位。</w:t>
            </w:r>
          </w:p>
          <w:p w14:paraId="58CF3A95">
            <w:pPr>
              <w:ind w:left="189" w:leftChars="90" w:firstLine="1"/>
              <w:jc w:val="both"/>
              <w:rPr>
                <w:rFonts w:hint="eastAsia" w:ascii="仿宋" w:hAnsi="仿宋" w:eastAsia="仿宋" w:cs="仿宋"/>
                <w:sz w:val="24"/>
                <w:szCs w:val="24"/>
                <w:highlight w:val="none"/>
                <w:lang w:val="en-US" w:eastAsia="zh-CN"/>
              </w:rPr>
            </w:pPr>
            <w:r>
              <w:rPr>
                <w:rFonts w:hint="eastAsia" w:ascii="仿宋" w:hAnsi="仿宋" w:eastAsia="仿宋" w:cs="仿宋"/>
                <w:spacing w:val="-2"/>
                <w:sz w:val="24"/>
                <w:szCs w:val="24"/>
              </w:rPr>
              <w:t>换算公式：单价=一年报价/365</w:t>
            </w:r>
            <w:r>
              <w:rPr>
                <w:rFonts w:hint="eastAsia" w:ascii="仿宋" w:hAnsi="仿宋" w:eastAsia="仿宋" w:cs="仿宋"/>
                <w:spacing w:val="-43"/>
                <w:sz w:val="24"/>
                <w:szCs w:val="24"/>
              </w:rPr>
              <w:t xml:space="preserve"> </w:t>
            </w:r>
            <w:r>
              <w:rPr>
                <w:rFonts w:hint="eastAsia" w:ascii="仿宋" w:hAnsi="仿宋" w:eastAsia="仿宋" w:cs="仿宋"/>
                <w:spacing w:val="-2"/>
                <w:sz w:val="24"/>
                <w:szCs w:val="24"/>
              </w:rPr>
              <w:t>天/</w:t>
            </w:r>
            <w:r>
              <w:rPr>
                <w:rFonts w:hint="eastAsia" w:ascii="仿宋" w:hAnsi="仿宋" w:eastAsia="仿宋" w:cs="仿宋"/>
                <w:spacing w:val="-2"/>
                <w:sz w:val="24"/>
                <w:szCs w:val="24"/>
                <w:lang w:val="en-US" w:eastAsia="zh-CN"/>
              </w:rPr>
              <w:t>365</w:t>
            </w:r>
            <w:r>
              <w:rPr>
                <w:rFonts w:hint="eastAsia" w:ascii="仿宋" w:hAnsi="仿宋" w:eastAsia="仿宋" w:cs="仿宋"/>
                <w:spacing w:val="-45"/>
                <w:sz w:val="24"/>
                <w:szCs w:val="24"/>
              </w:rPr>
              <w:t xml:space="preserve"> </w:t>
            </w:r>
            <w:r>
              <w:rPr>
                <w:rFonts w:hint="eastAsia" w:ascii="仿宋" w:hAnsi="仿宋" w:eastAsia="仿宋" w:cs="仿宋"/>
                <w:spacing w:val="-2"/>
                <w:sz w:val="24"/>
                <w:szCs w:val="24"/>
              </w:rPr>
              <w:t>张床位）</w:t>
            </w:r>
          </w:p>
          <w:p w14:paraId="26338FA7">
            <w:pPr>
              <w:ind w:left="189" w:leftChars="90" w:firstLine="1"/>
              <w:jc w:val="both"/>
              <w:rPr>
                <w:rFonts w:hint="eastAsia" w:ascii="仿宋" w:hAnsi="仿宋" w:eastAsia="仿宋" w:cs="仿宋"/>
                <w:sz w:val="24"/>
                <w:szCs w:val="24"/>
                <w:highlight w:val="none"/>
                <w:lang w:val="en-US" w:eastAsia="zh-CN"/>
              </w:rPr>
            </w:pPr>
          </w:p>
          <w:p w14:paraId="0A51C04C">
            <w:pPr>
              <w:ind w:left="189" w:leftChars="90" w:firstLine="1"/>
              <w:jc w:val="both"/>
              <w:rPr>
                <w:rFonts w:hint="eastAsia" w:ascii="仿宋" w:hAnsi="仿宋" w:eastAsia="仿宋" w:cs="仿宋"/>
                <w:sz w:val="24"/>
                <w:szCs w:val="24"/>
                <w:highlight w:val="none"/>
              </w:rPr>
            </w:pPr>
          </w:p>
        </w:tc>
      </w:tr>
      <w:tr w14:paraId="1D3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30DC0A49">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服务期</w:t>
            </w:r>
          </w:p>
        </w:tc>
        <w:tc>
          <w:tcPr>
            <w:tcW w:w="6329" w:type="dxa"/>
            <w:vAlign w:val="center"/>
          </w:tcPr>
          <w:p w14:paraId="575D6116">
            <w:pPr>
              <w:ind w:left="189" w:leftChars="90" w:firstLine="1"/>
              <w:jc w:val="center"/>
              <w:rPr>
                <w:rFonts w:hint="eastAsia" w:ascii="仿宋" w:hAnsi="仿宋" w:eastAsia="仿宋" w:cs="仿宋"/>
                <w:sz w:val="24"/>
                <w:szCs w:val="24"/>
                <w:highlight w:val="none"/>
                <w:lang w:val="en-US" w:eastAsia="zh-CN"/>
              </w:rPr>
            </w:pPr>
          </w:p>
        </w:tc>
      </w:tr>
      <w:tr w14:paraId="179D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68F6927">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服务地点</w:t>
            </w:r>
          </w:p>
        </w:tc>
        <w:tc>
          <w:tcPr>
            <w:tcW w:w="6329" w:type="dxa"/>
            <w:vAlign w:val="center"/>
          </w:tcPr>
          <w:p w14:paraId="2DCC7E88">
            <w:pPr>
              <w:ind w:left="899" w:leftChars="428" w:firstLine="1"/>
              <w:rPr>
                <w:rFonts w:hint="eastAsia" w:ascii="仿宋" w:hAnsi="仿宋" w:eastAsia="仿宋" w:cs="仿宋"/>
                <w:sz w:val="24"/>
                <w:szCs w:val="24"/>
                <w:highlight w:val="none"/>
              </w:rPr>
            </w:pPr>
          </w:p>
        </w:tc>
      </w:tr>
      <w:tr w14:paraId="6DEB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0DA3780E">
            <w:pPr>
              <w:jc w:val="center"/>
              <w:rPr>
                <w:rFonts w:ascii="仿宋_GB2312" w:hAnsi="宋体" w:eastAsia="仿宋_GB2312"/>
                <w:b/>
                <w:sz w:val="24"/>
                <w:highlight w:val="none"/>
              </w:rPr>
            </w:pPr>
            <w:r>
              <w:rPr>
                <w:rFonts w:hint="eastAsia" w:ascii="仿宋_GB2312" w:hAnsi="宋体" w:eastAsia="仿宋_GB2312"/>
                <w:b/>
                <w:sz w:val="24"/>
                <w:highlight w:val="none"/>
              </w:rPr>
              <w:t>其他变化（如有）</w:t>
            </w:r>
          </w:p>
        </w:tc>
        <w:tc>
          <w:tcPr>
            <w:tcW w:w="6329" w:type="dxa"/>
            <w:vAlign w:val="center"/>
          </w:tcPr>
          <w:p w14:paraId="395443AE">
            <w:pPr>
              <w:ind w:left="899" w:leftChars="428" w:firstLine="1"/>
              <w:rPr>
                <w:rFonts w:hint="eastAsia" w:ascii="仿宋" w:hAnsi="仿宋" w:eastAsia="仿宋" w:cs="仿宋"/>
                <w:sz w:val="24"/>
                <w:szCs w:val="24"/>
                <w:highlight w:val="none"/>
              </w:rPr>
            </w:pPr>
          </w:p>
          <w:p w14:paraId="3840C548">
            <w:pPr>
              <w:ind w:left="899" w:leftChars="428" w:firstLine="1"/>
              <w:rPr>
                <w:rFonts w:hint="eastAsia" w:ascii="仿宋" w:hAnsi="仿宋" w:eastAsia="仿宋" w:cs="仿宋"/>
                <w:sz w:val="24"/>
                <w:szCs w:val="24"/>
                <w:highlight w:val="none"/>
              </w:rPr>
            </w:pPr>
          </w:p>
          <w:p w14:paraId="6CF4E246">
            <w:pPr>
              <w:ind w:left="899" w:leftChars="428" w:firstLine="1"/>
              <w:rPr>
                <w:rFonts w:hint="eastAsia" w:ascii="仿宋" w:hAnsi="仿宋" w:eastAsia="仿宋" w:cs="仿宋"/>
                <w:sz w:val="24"/>
                <w:szCs w:val="24"/>
                <w:highlight w:val="none"/>
              </w:rPr>
            </w:pPr>
          </w:p>
          <w:p w14:paraId="151A85DB">
            <w:pPr>
              <w:ind w:left="899" w:leftChars="428" w:firstLine="1"/>
              <w:rPr>
                <w:rFonts w:hint="eastAsia" w:ascii="仿宋" w:hAnsi="仿宋" w:eastAsia="仿宋" w:cs="仿宋"/>
                <w:sz w:val="24"/>
                <w:szCs w:val="24"/>
                <w:highlight w:val="none"/>
              </w:rPr>
            </w:pPr>
          </w:p>
          <w:p w14:paraId="0769E057">
            <w:pPr>
              <w:ind w:left="899" w:leftChars="428" w:firstLine="1"/>
              <w:rPr>
                <w:rFonts w:hint="eastAsia" w:ascii="仿宋" w:hAnsi="仿宋" w:eastAsia="仿宋" w:cs="仿宋"/>
                <w:sz w:val="24"/>
                <w:szCs w:val="24"/>
                <w:highlight w:val="none"/>
              </w:rPr>
            </w:pPr>
          </w:p>
        </w:tc>
      </w:tr>
      <w:tr w14:paraId="5128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3138D96E">
            <w:pPr>
              <w:jc w:val="center"/>
              <w:rPr>
                <w:rFonts w:ascii="仿宋_GB2312" w:hAnsi="宋体" w:eastAsia="仿宋_GB2312"/>
                <w:b/>
                <w:sz w:val="24"/>
                <w:highlight w:val="none"/>
              </w:rPr>
            </w:pPr>
            <w:r>
              <w:rPr>
                <w:rFonts w:hint="eastAsia" w:ascii="仿宋_GB2312" w:hAnsi="宋体" w:eastAsia="仿宋_GB2312"/>
                <w:b/>
                <w:sz w:val="24"/>
                <w:highlight w:val="none"/>
              </w:rPr>
              <w:t>声明</w:t>
            </w:r>
          </w:p>
        </w:tc>
        <w:tc>
          <w:tcPr>
            <w:tcW w:w="6329" w:type="dxa"/>
            <w:vAlign w:val="center"/>
          </w:tcPr>
          <w:p w14:paraId="3D89E89D">
            <w:pPr>
              <w:pStyle w:val="40"/>
              <w:tabs>
                <w:tab w:val="left" w:pos="38"/>
              </w:tabs>
              <w:spacing w:before="120"/>
              <w:rPr>
                <w:rFonts w:hint="eastAsia" w:ascii="仿宋" w:hAnsi="仿宋" w:eastAsia="仿宋" w:cs="仿宋"/>
                <w:sz w:val="24"/>
                <w:szCs w:val="24"/>
                <w:highlight w:val="none"/>
              </w:rPr>
            </w:pPr>
            <w:r>
              <w:rPr>
                <w:rFonts w:hint="eastAsia" w:ascii="仿宋" w:hAnsi="仿宋" w:eastAsia="仿宋" w:cs="仿宋"/>
                <w:sz w:val="24"/>
                <w:szCs w:val="24"/>
                <w:highlight w:val="none"/>
              </w:rPr>
              <w:t>若本最后报价函与我方首次递交的报价函及报价函附录的内容有差异，以本最后报价函内容为准。</w:t>
            </w:r>
          </w:p>
        </w:tc>
      </w:tr>
    </w:tbl>
    <w:p w14:paraId="4CE8C4EB">
      <w:pPr>
        <w:spacing w:line="360" w:lineRule="auto"/>
        <w:ind w:firstLine="472" w:firstLineChars="196"/>
        <w:jc w:val="left"/>
        <w:rPr>
          <w:rFonts w:hint="eastAsia" w:ascii="宋体"/>
          <w:b/>
          <w:color w:val="auto"/>
          <w:sz w:val="24"/>
          <w:szCs w:val="24"/>
          <w:highlight w:val="none"/>
        </w:rPr>
      </w:pPr>
      <w:r>
        <w:rPr>
          <w:rFonts w:hint="eastAsia" w:ascii="宋体" w:hAnsi="宋体"/>
          <w:b/>
          <w:color w:val="auto"/>
          <w:sz w:val="24"/>
          <w:szCs w:val="24"/>
          <w:highlight w:val="none"/>
          <w:u w:val="double"/>
          <w:lang w:val="en-US" w:eastAsia="zh-CN"/>
        </w:rPr>
        <w:t>注：</w:t>
      </w:r>
      <w:r>
        <w:rPr>
          <w:rFonts w:hint="eastAsia" w:ascii="宋体" w:hAnsi="宋体"/>
          <w:b/>
          <w:color w:val="auto"/>
          <w:sz w:val="24"/>
          <w:szCs w:val="24"/>
          <w:highlight w:val="none"/>
          <w:u w:val="double"/>
        </w:rPr>
        <w:t>各供应商单独备足此表，用于现场报价时填写，请供应商自行准备多份。</w:t>
      </w:r>
    </w:p>
    <w:p w14:paraId="24E2E65C">
      <w:pPr>
        <w:pStyle w:val="40"/>
        <w:tabs>
          <w:tab w:val="left" w:pos="5580"/>
        </w:tabs>
        <w:spacing w:before="120"/>
        <w:ind w:firstLine="720" w:firstLineChars="300"/>
        <w:rPr>
          <w:rFonts w:ascii="仿宋_GB2312" w:hAnsi="宋体" w:eastAsia="仿宋_GB2312"/>
          <w:sz w:val="24"/>
          <w:highlight w:val="none"/>
        </w:rPr>
      </w:pPr>
    </w:p>
    <w:p w14:paraId="3FF0AACE">
      <w:pPr>
        <w:pStyle w:val="40"/>
        <w:tabs>
          <w:tab w:val="left" w:pos="5340"/>
        </w:tabs>
        <w:spacing w:before="120"/>
        <w:ind w:firstLine="720" w:firstLineChars="300"/>
        <w:rPr>
          <w:rFonts w:hint="default" w:ascii="仿宋_GB2312" w:hAnsi="宋体" w:eastAsia="仿宋_GB2312"/>
          <w:sz w:val="24"/>
          <w:highlight w:val="none"/>
          <w:u w:val="single"/>
          <w:lang w:val="en-US" w:eastAsia="zh-CN"/>
        </w:rPr>
      </w:pPr>
      <w:r>
        <w:rPr>
          <w:rFonts w:hint="eastAsia" w:ascii="仿宋_GB2312" w:hAnsi="宋体" w:eastAsia="仿宋_GB2312"/>
          <w:sz w:val="24"/>
          <w:highlight w:val="none"/>
        </w:rPr>
        <w:t>供应商法人代表或授权代表(签字</w:t>
      </w:r>
      <w:r>
        <w:rPr>
          <w:rFonts w:hint="eastAsia" w:ascii="仿宋_GB2312" w:hAnsi="宋体" w:eastAsia="仿宋_GB2312"/>
          <w:sz w:val="24"/>
          <w:highlight w:val="none"/>
          <w:lang w:val="en-US" w:eastAsia="zh-CN"/>
        </w:rPr>
        <w:t>盖章</w:t>
      </w:r>
      <w:r>
        <w:rPr>
          <w:rFonts w:hint="eastAsia" w:ascii="仿宋_GB2312" w:hAnsi="宋体" w:eastAsia="仿宋_GB2312"/>
          <w:sz w:val="24"/>
          <w:highlight w:val="none"/>
        </w:rPr>
        <w:t>)：</w:t>
      </w:r>
      <w:r>
        <w:rPr>
          <w:rFonts w:ascii="仿宋_GB2312" w:hAnsi="宋体" w:eastAsia="仿宋_GB2312"/>
          <w:sz w:val="24"/>
          <w:highlight w:val="none"/>
          <w:u w:val="single"/>
        </w:rPr>
        <w:tab/>
      </w:r>
      <w:r>
        <w:rPr>
          <w:rFonts w:hint="eastAsia" w:ascii="仿宋_GB2312" w:hAnsi="宋体" w:eastAsia="仿宋_GB2312"/>
          <w:sz w:val="24"/>
          <w:highlight w:val="none"/>
          <w:u w:val="single"/>
          <w:lang w:val="en-US" w:eastAsia="zh-CN"/>
        </w:rPr>
        <w:t xml:space="preserve">                  </w:t>
      </w:r>
    </w:p>
    <w:p w14:paraId="6DA4AAB6">
      <w:pPr>
        <w:pStyle w:val="40"/>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5A2B529B">
      <w:pPr>
        <w:pStyle w:val="40"/>
        <w:tabs>
          <w:tab w:val="left" w:pos="5580"/>
        </w:tabs>
        <w:ind w:firstLine="0" w:firstLineChars="0"/>
        <w:rPr>
          <w:rFonts w:hint="eastAsia"/>
          <w:highlight w:val="none"/>
          <w:lang w:val="en-US" w:eastAsia="zh-CN"/>
        </w:rPr>
      </w:pPr>
    </w:p>
    <w:bookmarkEnd w:id="113"/>
    <w:p w14:paraId="3266C92E">
      <w:pPr>
        <w:widowControl/>
        <w:jc w:val="left"/>
        <w:rPr>
          <w:b/>
          <w:sz w:val="24"/>
          <w:highlight w:val="none"/>
        </w:rPr>
      </w:pPr>
    </w:p>
    <w:sectPr>
      <w:headerReference r:id="rId14" w:type="default"/>
      <w:footerReference r:id="rId15" w:type="default"/>
      <w:pgSz w:w="11906" w:h="16838"/>
      <w:pgMar w:top="1440" w:right="1247" w:bottom="136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06C7AD4-7851-4E37-BB49-90E116AA7351}"/>
  </w:font>
  <w:font w:name="黑体">
    <w:panose1 w:val="02010609060101010101"/>
    <w:charset w:val="86"/>
    <w:family w:val="auto"/>
    <w:pitch w:val="default"/>
    <w:sig w:usb0="800002BF" w:usb1="38CF7CFA" w:usb2="00000016" w:usb3="00000000" w:csb0="00040001" w:csb1="00000000"/>
    <w:embedRegular r:id="rId2" w:fontKey="{360BC28B-DAE6-4EDA-BE01-A1E9ABAF6F78}"/>
  </w:font>
  <w:font w:name="Courier New">
    <w:panose1 w:val="02070309020205020404"/>
    <w:charset w:val="01"/>
    <w:family w:val="modern"/>
    <w:pitch w:val="default"/>
    <w:sig w:usb0="E0002AFF" w:usb1="C0007843" w:usb2="00000009" w:usb3="00000000" w:csb0="400001FF" w:csb1="FFFF0000"/>
    <w:embedRegular r:id="rId3" w:fontKey="{F9C31824-B041-4DD8-876E-59B433330AB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4" w:fontKey="{324BC296-81C8-487D-8132-4ACCAAFD6654}"/>
  </w:font>
  <w:font w:name="仿宋_GB2312">
    <w:panose1 w:val="02010609030101010101"/>
    <w:charset w:val="86"/>
    <w:family w:val="modern"/>
    <w:pitch w:val="default"/>
    <w:sig w:usb0="00000001" w:usb1="080E0000" w:usb2="00000000" w:usb3="00000000" w:csb0="00040000" w:csb1="00000000"/>
    <w:embedRegular r:id="rId5" w:fontKey="{CA53BE8D-FA6A-49CD-9196-E230AD7569F3}"/>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6" w:fontKey="{E7FB5690-C4D7-4C94-8E61-10B4CC308DAA}"/>
  </w:font>
  <w:font w:name="TimesNewRomanPSMT">
    <w:altName w:val="宋体"/>
    <w:panose1 w:val="00000000000000000000"/>
    <w:charset w:val="00"/>
    <w:family w:val="roman"/>
    <w:pitch w:val="default"/>
    <w:sig w:usb0="00000000" w:usb1="00000000" w:usb2="00000010" w:usb3="00000000" w:csb0="00040001" w:csb1="00000000"/>
    <w:embedRegular r:id="rId7" w:fontKey="{C8F802C5-E50F-47CA-A9E5-B6EE5336BDBF}"/>
  </w:font>
  <w:font w:name="Wingdings 2">
    <w:panose1 w:val="05020102010507070707"/>
    <w:charset w:val="02"/>
    <w:family w:val="roman"/>
    <w:pitch w:val="default"/>
    <w:sig w:usb0="00000000" w:usb1="00000000" w:usb2="00000000" w:usb3="00000000" w:csb0="80000000" w:csb1="00000000"/>
    <w:embedRegular r:id="rId8" w:fontKey="{EC6C7770-C015-4E96-BA2F-17A68006AD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23D0">
    <w:pPr>
      <w:pStyle w:val="4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EAA4">
                          <w:pPr>
                            <w:pStyle w:val="4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8EAA4">
                    <w:pPr>
                      <w:pStyle w:val="4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3F1E">
    <w:pPr>
      <w:spacing w:line="223"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D2BBE">
                          <w:pPr>
                            <w:pStyle w:val="4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0D2BBE">
                    <w:pPr>
                      <w:pStyle w:val="4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01F">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4C1F">
                          <w:pPr>
                            <w:pStyle w:val="4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6B4C1F">
                    <w:pPr>
                      <w:pStyle w:val="4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A057">
    <w:pPr>
      <w:spacing w:line="223" w:lineRule="auto"/>
      <w:ind w:left="38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579AF">
                          <w:pPr>
                            <w:pStyle w:val="4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7579AF">
                    <w:pPr>
                      <w:pStyle w:val="4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ACAB">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64B81">
                          <w:pPr>
                            <w:pStyle w:val="4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B64B81">
                    <w:pPr>
                      <w:pStyle w:val="4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CED1">
    <w:pPr>
      <w:spacing w:line="220" w:lineRule="auto"/>
      <w:ind w:left="3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1959">
                          <w:pPr>
                            <w:pStyle w:val="4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1C1959">
                    <w:pPr>
                      <w:pStyle w:val="4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7E0">
    <w:pPr>
      <w:spacing w:line="220"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ACF9">
                          <w:pPr>
                            <w:pStyle w:val="4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CAACF9">
                    <w:pPr>
                      <w:pStyle w:val="4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C8DA">
    <w:pPr>
      <w:pStyle w:val="4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CB583">
                          <w:pPr>
                            <w:pStyle w:val="4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ECB583">
                    <w:pPr>
                      <w:pStyle w:val="49"/>
                    </w:pPr>
                    <w:r>
                      <w:fldChar w:fldCharType="begin"/>
                    </w:r>
                    <w:r>
                      <w:instrText xml:space="preserve"> PAGE  \* MERGEFORMAT </w:instrText>
                    </w:r>
                    <w:r>
                      <w:fldChar w:fldCharType="separate"/>
                    </w:r>
                    <w:r>
                      <w:t>32</w:t>
                    </w:r>
                    <w:r>
                      <w:fldChar w:fldCharType="end"/>
                    </w:r>
                  </w:p>
                </w:txbxContent>
              </v:textbox>
            </v:shape>
          </w:pict>
        </mc:Fallback>
      </mc:AlternateContent>
    </w:r>
  </w:p>
  <w:p w14:paraId="458F4764">
    <w:pPr>
      <w:pStyle w:val="4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7290">
    <w:pPr>
      <w:pStyle w:val="49"/>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F71D">
                          <w:pPr>
                            <w:pStyle w:val="4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DBF71D">
                    <w:pPr>
                      <w:pStyle w:val="4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296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07C">
    <w:pPr>
      <w:pStyle w:val="31"/>
      <w:spacing w:before="63" w:line="220" w:lineRule="auto"/>
      <w:ind w:left="41"/>
      <w:rPr>
        <w:sz w:val="24"/>
        <w:szCs w:val="24"/>
      </w:rPr>
    </w:pPr>
    <w:r>
      <w:rPr>
        <w:spacing w:val="-9"/>
        <w:sz w:val="24"/>
        <w:szCs w:val="24"/>
      </w:rPr>
      <w:t>自承担相应的责任。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3406">
    <w:pPr>
      <w:pStyle w:val="51"/>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0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4C9DF"/>
    <w:multiLevelType w:val="singleLevel"/>
    <w:tmpl w:val="A704C9DF"/>
    <w:lvl w:ilvl="0" w:tentative="0">
      <w:start w:val="3"/>
      <w:numFmt w:val="chineseCounting"/>
      <w:suff w:val="nothing"/>
      <w:lvlText w:val="（%1）"/>
      <w:lvlJc w:val="left"/>
      <w:rPr>
        <w:rFonts w:hint="eastAsia"/>
      </w:rPr>
    </w:lvl>
  </w:abstractNum>
  <w:abstractNum w:abstractNumId="1">
    <w:nsid w:val="B5D47A17"/>
    <w:multiLevelType w:val="singleLevel"/>
    <w:tmpl w:val="B5D47A17"/>
    <w:lvl w:ilvl="0" w:tentative="0">
      <w:start w:val="2"/>
      <w:numFmt w:val="decimal"/>
      <w:suff w:val="nothing"/>
      <w:lvlText w:val="%1、"/>
      <w:lvlJc w:val="left"/>
    </w:lvl>
  </w:abstractNum>
  <w:abstractNum w:abstractNumId="2">
    <w:nsid w:val="B9F7D8D4"/>
    <w:multiLevelType w:val="singleLevel"/>
    <w:tmpl w:val="B9F7D8D4"/>
    <w:lvl w:ilvl="0" w:tentative="0">
      <w:start w:val="1"/>
      <w:numFmt w:val="decimal"/>
      <w:suff w:val="nothing"/>
      <w:lvlText w:val="%1、"/>
      <w:lvlJc w:val="left"/>
    </w:lvl>
  </w:abstractNum>
  <w:abstractNum w:abstractNumId="3">
    <w:nsid w:val="DADB7355"/>
    <w:multiLevelType w:val="singleLevel"/>
    <w:tmpl w:val="DADB7355"/>
    <w:lvl w:ilvl="0" w:tentative="0">
      <w:start w:val="1"/>
      <w:numFmt w:val="decimal"/>
      <w:suff w:val="nothing"/>
      <w:lvlText w:val="%1、"/>
      <w:lvlJc w:val="left"/>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6">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7">
    <w:nsid w:val="1D6F64EE"/>
    <w:multiLevelType w:val="multilevel"/>
    <w:tmpl w:val="1D6F64E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B4357F3"/>
    <w:multiLevelType w:val="multilevel"/>
    <w:tmpl w:val="2B4357F3"/>
    <w:lvl w:ilvl="0" w:tentative="0">
      <w:start w:val="1"/>
      <w:numFmt w:val="decimal"/>
      <w:lvlText w:val="（%1）"/>
      <w:lvlJc w:val="left"/>
      <w:pPr>
        <w:ind w:left="1552" w:hanging="420"/>
      </w:pPr>
      <w:rPr>
        <w:rFonts w:hint="eastAsia"/>
      </w:rPr>
    </w:lvl>
    <w:lvl w:ilvl="1" w:tentative="0">
      <w:start w:val="1"/>
      <w:numFmt w:val="decimal"/>
      <w:lvlText w:val="%2"/>
      <w:lvlJc w:val="left"/>
      <w:pPr>
        <w:ind w:left="1912" w:hanging="360"/>
      </w:pPr>
      <w:rPr>
        <w:rFonts w:hint="default"/>
      </w:rPr>
    </w:lvl>
    <w:lvl w:ilvl="2" w:tentative="0">
      <w:start w:val="1"/>
      <w:numFmt w:val="decimal"/>
      <w:lvlText w:val="(%3)"/>
      <w:lvlJc w:val="left"/>
      <w:pPr>
        <w:ind w:left="2557" w:hanging="585"/>
      </w:pPr>
      <w:rPr>
        <w:rFonts w:hint="default"/>
      </w:r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9">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10">
    <w:nsid w:val="4D0592D4"/>
    <w:multiLevelType w:val="singleLevel"/>
    <w:tmpl w:val="4D0592D4"/>
    <w:lvl w:ilvl="0" w:tentative="0">
      <w:start w:val="2"/>
      <w:numFmt w:val="decimal"/>
      <w:suff w:val="nothing"/>
      <w:lvlText w:val="%1、"/>
      <w:lvlJc w:val="left"/>
    </w:lvl>
  </w:abstractNum>
  <w:abstractNum w:abstractNumId="11">
    <w:nsid w:val="5AAB3475"/>
    <w:multiLevelType w:val="singleLevel"/>
    <w:tmpl w:val="5AAB3475"/>
    <w:lvl w:ilvl="0" w:tentative="0">
      <w:start w:val="1"/>
      <w:numFmt w:val="decimal"/>
      <w:lvlText w:val="%1."/>
      <w:lvlJc w:val="left"/>
      <w:pPr>
        <w:ind w:left="425" w:hanging="425"/>
      </w:pPr>
      <w:rPr>
        <w:rFonts w:hint="default"/>
      </w:rPr>
    </w:lvl>
  </w:abstractNum>
  <w:abstractNum w:abstractNumId="12">
    <w:nsid w:val="5AAB3487"/>
    <w:multiLevelType w:val="singleLevel"/>
    <w:tmpl w:val="5AAB3487"/>
    <w:lvl w:ilvl="0" w:tentative="0">
      <w:start w:val="1"/>
      <w:numFmt w:val="decimal"/>
      <w:lvlText w:val="%1)"/>
      <w:lvlJc w:val="left"/>
      <w:pPr>
        <w:ind w:left="425" w:hanging="425"/>
      </w:pPr>
      <w:rPr>
        <w:rFonts w:hint="default"/>
      </w:rPr>
    </w:lvl>
  </w:abstractNum>
  <w:abstractNum w:abstractNumId="13">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4">
    <w:nsid w:val="5B615E8C"/>
    <w:multiLevelType w:val="multilevel"/>
    <w:tmpl w:val="5B615E8C"/>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5">
    <w:nsid w:val="6E8B1197"/>
    <w:multiLevelType w:val="multilevel"/>
    <w:tmpl w:val="6E8B1197"/>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6">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7"/>
  </w:num>
  <w:num w:numId="2">
    <w:abstractNumId w:val="2"/>
  </w:num>
  <w:num w:numId="3">
    <w:abstractNumId w:val="9"/>
  </w:num>
  <w:num w:numId="4">
    <w:abstractNumId w:val="13"/>
  </w:num>
  <w:num w:numId="5">
    <w:abstractNumId w:val="6"/>
  </w:num>
  <w:num w:numId="6">
    <w:abstractNumId w:val="5"/>
  </w:num>
  <w:num w:numId="7">
    <w:abstractNumId w:val="15"/>
  </w:num>
  <w:num w:numId="8">
    <w:abstractNumId w:val="14"/>
  </w:num>
  <w:num w:numId="9">
    <w:abstractNumId w:val="8"/>
  </w:num>
  <w:num w:numId="10">
    <w:abstractNumId w:val="16"/>
  </w:num>
  <w:num w:numId="11">
    <w:abstractNumId w:val="11"/>
  </w:num>
  <w:num w:numId="12">
    <w:abstractNumId w:val="12"/>
  </w:num>
  <w:num w:numId="13">
    <w:abstractNumId w:val="3"/>
  </w:num>
  <w:num w:numId="14">
    <w:abstractNumId w:val="10"/>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E0MTJiNWNmOGFjZDZjMGQxMDEzYTk1OWE0MjEifQ=="/>
  </w:docVars>
  <w:rsids>
    <w:rsidRoot w:val="00172A27"/>
    <w:rsid w:val="00000884"/>
    <w:rsid w:val="00002E9C"/>
    <w:rsid w:val="000064FD"/>
    <w:rsid w:val="00014886"/>
    <w:rsid w:val="00021791"/>
    <w:rsid w:val="0002420B"/>
    <w:rsid w:val="00024B32"/>
    <w:rsid w:val="0002749B"/>
    <w:rsid w:val="00032E55"/>
    <w:rsid w:val="00034934"/>
    <w:rsid w:val="000360C5"/>
    <w:rsid w:val="000418FC"/>
    <w:rsid w:val="00045687"/>
    <w:rsid w:val="000466B9"/>
    <w:rsid w:val="000545A6"/>
    <w:rsid w:val="00056161"/>
    <w:rsid w:val="00061794"/>
    <w:rsid w:val="000877D3"/>
    <w:rsid w:val="00090700"/>
    <w:rsid w:val="000910B5"/>
    <w:rsid w:val="000A1B43"/>
    <w:rsid w:val="000A77EC"/>
    <w:rsid w:val="000B2ECE"/>
    <w:rsid w:val="000D24F2"/>
    <w:rsid w:val="000D44DC"/>
    <w:rsid w:val="000D7CC3"/>
    <w:rsid w:val="000E0668"/>
    <w:rsid w:val="000E5225"/>
    <w:rsid w:val="000F0F18"/>
    <w:rsid w:val="000F14CF"/>
    <w:rsid w:val="000F19F9"/>
    <w:rsid w:val="000F6008"/>
    <w:rsid w:val="00116E9F"/>
    <w:rsid w:val="00117E1C"/>
    <w:rsid w:val="00122931"/>
    <w:rsid w:val="00130107"/>
    <w:rsid w:val="0013271C"/>
    <w:rsid w:val="00132B46"/>
    <w:rsid w:val="001356FC"/>
    <w:rsid w:val="00136CA7"/>
    <w:rsid w:val="001373B0"/>
    <w:rsid w:val="001449F1"/>
    <w:rsid w:val="00146605"/>
    <w:rsid w:val="00150148"/>
    <w:rsid w:val="00155AC7"/>
    <w:rsid w:val="00161B23"/>
    <w:rsid w:val="001647DE"/>
    <w:rsid w:val="001657F0"/>
    <w:rsid w:val="00170AE9"/>
    <w:rsid w:val="0017154F"/>
    <w:rsid w:val="00172691"/>
    <w:rsid w:val="00172A27"/>
    <w:rsid w:val="001736E5"/>
    <w:rsid w:val="00173BDC"/>
    <w:rsid w:val="001807A4"/>
    <w:rsid w:val="00183A91"/>
    <w:rsid w:val="00184A9E"/>
    <w:rsid w:val="00186EFC"/>
    <w:rsid w:val="0018791C"/>
    <w:rsid w:val="00190A97"/>
    <w:rsid w:val="001A478E"/>
    <w:rsid w:val="001A720A"/>
    <w:rsid w:val="001B28C3"/>
    <w:rsid w:val="001B352F"/>
    <w:rsid w:val="001B37EE"/>
    <w:rsid w:val="001B42FF"/>
    <w:rsid w:val="001C3BE4"/>
    <w:rsid w:val="001D345D"/>
    <w:rsid w:val="001E2C0B"/>
    <w:rsid w:val="001F59AF"/>
    <w:rsid w:val="001F64A2"/>
    <w:rsid w:val="001F6B92"/>
    <w:rsid w:val="00210701"/>
    <w:rsid w:val="002145D4"/>
    <w:rsid w:val="002164B3"/>
    <w:rsid w:val="00230EA9"/>
    <w:rsid w:val="002314E3"/>
    <w:rsid w:val="00240844"/>
    <w:rsid w:val="002475A0"/>
    <w:rsid w:val="00254724"/>
    <w:rsid w:val="00254AC3"/>
    <w:rsid w:val="00256710"/>
    <w:rsid w:val="00256B42"/>
    <w:rsid w:val="00261ED6"/>
    <w:rsid w:val="00262494"/>
    <w:rsid w:val="00263BCC"/>
    <w:rsid w:val="002647A9"/>
    <w:rsid w:val="00267FF2"/>
    <w:rsid w:val="0028131F"/>
    <w:rsid w:val="00285B68"/>
    <w:rsid w:val="00286A86"/>
    <w:rsid w:val="002921C8"/>
    <w:rsid w:val="00292C54"/>
    <w:rsid w:val="002953B8"/>
    <w:rsid w:val="002A0103"/>
    <w:rsid w:val="002B1649"/>
    <w:rsid w:val="002C644D"/>
    <w:rsid w:val="002D255D"/>
    <w:rsid w:val="002D3747"/>
    <w:rsid w:val="002D5449"/>
    <w:rsid w:val="002D778A"/>
    <w:rsid w:val="002E1DE9"/>
    <w:rsid w:val="002E2BFC"/>
    <w:rsid w:val="002E33D9"/>
    <w:rsid w:val="002E367E"/>
    <w:rsid w:val="002E3F73"/>
    <w:rsid w:val="002E41DD"/>
    <w:rsid w:val="002E762F"/>
    <w:rsid w:val="002F0728"/>
    <w:rsid w:val="002F5507"/>
    <w:rsid w:val="003026FB"/>
    <w:rsid w:val="0030500F"/>
    <w:rsid w:val="0030546E"/>
    <w:rsid w:val="003146EF"/>
    <w:rsid w:val="00315889"/>
    <w:rsid w:val="00321174"/>
    <w:rsid w:val="00324E94"/>
    <w:rsid w:val="0033158D"/>
    <w:rsid w:val="00335F69"/>
    <w:rsid w:val="00341DBA"/>
    <w:rsid w:val="0034523B"/>
    <w:rsid w:val="003477BC"/>
    <w:rsid w:val="0035229C"/>
    <w:rsid w:val="003530E1"/>
    <w:rsid w:val="00362543"/>
    <w:rsid w:val="00370506"/>
    <w:rsid w:val="0037384E"/>
    <w:rsid w:val="00376E5D"/>
    <w:rsid w:val="00376F15"/>
    <w:rsid w:val="00385A09"/>
    <w:rsid w:val="00387CEA"/>
    <w:rsid w:val="003A1957"/>
    <w:rsid w:val="003A7586"/>
    <w:rsid w:val="003B011B"/>
    <w:rsid w:val="003B28B4"/>
    <w:rsid w:val="003B2E5F"/>
    <w:rsid w:val="003B3C2D"/>
    <w:rsid w:val="003B5B75"/>
    <w:rsid w:val="003C6299"/>
    <w:rsid w:val="003D2717"/>
    <w:rsid w:val="003D42CA"/>
    <w:rsid w:val="003D7379"/>
    <w:rsid w:val="003D7E26"/>
    <w:rsid w:val="003E3951"/>
    <w:rsid w:val="003E4381"/>
    <w:rsid w:val="003E58A3"/>
    <w:rsid w:val="003E7706"/>
    <w:rsid w:val="003F4D90"/>
    <w:rsid w:val="00402CD3"/>
    <w:rsid w:val="00402EC9"/>
    <w:rsid w:val="00405E36"/>
    <w:rsid w:val="0040775F"/>
    <w:rsid w:val="00412FBA"/>
    <w:rsid w:val="004138F8"/>
    <w:rsid w:val="0041455B"/>
    <w:rsid w:val="0041555B"/>
    <w:rsid w:val="0043042B"/>
    <w:rsid w:val="004359C5"/>
    <w:rsid w:val="00445AE8"/>
    <w:rsid w:val="0044650A"/>
    <w:rsid w:val="004467FF"/>
    <w:rsid w:val="004525D2"/>
    <w:rsid w:val="004547CA"/>
    <w:rsid w:val="004553F2"/>
    <w:rsid w:val="00465147"/>
    <w:rsid w:val="00470B99"/>
    <w:rsid w:val="00473845"/>
    <w:rsid w:val="00475291"/>
    <w:rsid w:val="00481A8C"/>
    <w:rsid w:val="0048376F"/>
    <w:rsid w:val="00485494"/>
    <w:rsid w:val="004914C5"/>
    <w:rsid w:val="004A012A"/>
    <w:rsid w:val="004A0EB4"/>
    <w:rsid w:val="004A7870"/>
    <w:rsid w:val="004B1642"/>
    <w:rsid w:val="004B3C41"/>
    <w:rsid w:val="004B59D8"/>
    <w:rsid w:val="004C1AE3"/>
    <w:rsid w:val="004C40C9"/>
    <w:rsid w:val="004C41AC"/>
    <w:rsid w:val="004C5EAD"/>
    <w:rsid w:val="004D1631"/>
    <w:rsid w:val="004D53C3"/>
    <w:rsid w:val="004D6328"/>
    <w:rsid w:val="004D79AC"/>
    <w:rsid w:val="004E0CCF"/>
    <w:rsid w:val="004F0462"/>
    <w:rsid w:val="004F6577"/>
    <w:rsid w:val="00501DEC"/>
    <w:rsid w:val="005023D0"/>
    <w:rsid w:val="005032E0"/>
    <w:rsid w:val="00503B66"/>
    <w:rsid w:val="00503F84"/>
    <w:rsid w:val="00512853"/>
    <w:rsid w:val="0051758A"/>
    <w:rsid w:val="00527F7E"/>
    <w:rsid w:val="00530448"/>
    <w:rsid w:val="00532483"/>
    <w:rsid w:val="0053370E"/>
    <w:rsid w:val="005356D7"/>
    <w:rsid w:val="00540A78"/>
    <w:rsid w:val="005567FA"/>
    <w:rsid w:val="00557B4D"/>
    <w:rsid w:val="00557F7C"/>
    <w:rsid w:val="0056055B"/>
    <w:rsid w:val="00560F2C"/>
    <w:rsid w:val="00567F8D"/>
    <w:rsid w:val="00571DA4"/>
    <w:rsid w:val="0057225A"/>
    <w:rsid w:val="00572980"/>
    <w:rsid w:val="00574CFF"/>
    <w:rsid w:val="0058142C"/>
    <w:rsid w:val="005845A6"/>
    <w:rsid w:val="00584A9B"/>
    <w:rsid w:val="00585202"/>
    <w:rsid w:val="00587A18"/>
    <w:rsid w:val="00594262"/>
    <w:rsid w:val="00595777"/>
    <w:rsid w:val="00596307"/>
    <w:rsid w:val="00597881"/>
    <w:rsid w:val="005A073A"/>
    <w:rsid w:val="005A2EA4"/>
    <w:rsid w:val="005B011A"/>
    <w:rsid w:val="005D32F6"/>
    <w:rsid w:val="005D36A5"/>
    <w:rsid w:val="005D60C8"/>
    <w:rsid w:val="005D671C"/>
    <w:rsid w:val="005D6FC5"/>
    <w:rsid w:val="005E2EFD"/>
    <w:rsid w:val="005E44EB"/>
    <w:rsid w:val="005E74A5"/>
    <w:rsid w:val="005F0A6A"/>
    <w:rsid w:val="005F466F"/>
    <w:rsid w:val="005F651A"/>
    <w:rsid w:val="005F766E"/>
    <w:rsid w:val="005F7C90"/>
    <w:rsid w:val="0060764E"/>
    <w:rsid w:val="0061430F"/>
    <w:rsid w:val="006154D3"/>
    <w:rsid w:val="00624FF4"/>
    <w:rsid w:val="00626874"/>
    <w:rsid w:val="006301AB"/>
    <w:rsid w:val="00633CED"/>
    <w:rsid w:val="00635D6B"/>
    <w:rsid w:val="00645F95"/>
    <w:rsid w:val="00646C38"/>
    <w:rsid w:val="0065208E"/>
    <w:rsid w:val="006528C5"/>
    <w:rsid w:val="00657773"/>
    <w:rsid w:val="00657A80"/>
    <w:rsid w:val="00661BFE"/>
    <w:rsid w:val="00663896"/>
    <w:rsid w:val="00663A13"/>
    <w:rsid w:val="00670196"/>
    <w:rsid w:val="0067205F"/>
    <w:rsid w:val="0068272A"/>
    <w:rsid w:val="006847C3"/>
    <w:rsid w:val="00693047"/>
    <w:rsid w:val="006A0E65"/>
    <w:rsid w:val="006B577B"/>
    <w:rsid w:val="006B6AF5"/>
    <w:rsid w:val="006C27AD"/>
    <w:rsid w:val="006D0422"/>
    <w:rsid w:val="006D1382"/>
    <w:rsid w:val="006D1C14"/>
    <w:rsid w:val="006D232D"/>
    <w:rsid w:val="006D64D7"/>
    <w:rsid w:val="006E2FD9"/>
    <w:rsid w:val="006E577A"/>
    <w:rsid w:val="006E630A"/>
    <w:rsid w:val="006F07C3"/>
    <w:rsid w:val="006F3CBF"/>
    <w:rsid w:val="006F3E30"/>
    <w:rsid w:val="006F5A25"/>
    <w:rsid w:val="00706A0A"/>
    <w:rsid w:val="00706FF6"/>
    <w:rsid w:val="007137B9"/>
    <w:rsid w:val="00713928"/>
    <w:rsid w:val="00725E09"/>
    <w:rsid w:val="00727E8C"/>
    <w:rsid w:val="00730C20"/>
    <w:rsid w:val="00734699"/>
    <w:rsid w:val="00740F39"/>
    <w:rsid w:val="00741243"/>
    <w:rsid w:val="00744393"/>
    <w:rsid w:val="007444D9"/>
    <w:rsid w:val="00747FC1"/>
    <w:rsid w:val="00755DC7"/>
    <w:rsid w:val="0076061D"/>
    <w:rsid w:val="00761467"/>
    <w:rsid w:val="00762BF0"/>
    <w:rsid w:val="0076345B"/>
    <w:rsid w:val="0076507C"/>
    <w:rsid w:val="00774D25"/>
    <w:rsid w:val="00787114"/>
    <w:rsid w:val="00787A20"/>
    <w:rsid w:val="00792AB3"/>
    <w:rsid w:val="0079468E"/>
    <w:rsid w:val="00795054"/>
    <w:rsid w:val="007A405D"/>
    <w:rsid w:val="007A6F33"/>
    <w:rsid w:val="007B60FE"/>
    <w:rsid w:val="007B7AF8"/>
    <w:rsid w:val="007C434F"/>
    <w:rsid w:val="007F042E"/>
    <w:rsid w:val="007F08AB"/>
    <w:rsid w:val="007F1231"/>
    <w:rsid w:val="007F1258"/>
    <w:rsid w:val="007F26F7"/>
    <w:rsid w:val="007F5B21"/>
    <w:rsid w:val="0080140B"/>
    <w:rsid w:val="00801A79"/>
    <w:rsid w:val="00806057"/>
    <w:rsid w:val="00806CF8"/>
    <w:rsid w:val="008116C7"/>
    <w:rsid w:val="00815537"/>
    <w:rsid w:val="008175F7"/>
    <w:rsid w:val="008218D0"/>
    <w:rsid w:val="008222C2"/>
    <w:rsid w:val="00824A82"/>
    <w:rsid w:val="00826C5B"/>
    <w:rsid w:val="008445DA"/>
    <w:rsid w:val="00844B16"/>
    <w:rsid w:val="00845EAD"/>
    <w:rsid w:val="00847D2D"/>
    <w:rsid w:val="008514F0"/>
    <w:rsid w:val="00851861"/>
    <w:rsid w:val="00853476"/>
    <w:rsid w:val="00853970"/>
    <w:rsid w:val="00855864"/>
    <w:rsid w:val="00861FC7"/>
    <w:rsid w:val="00864D82"/>
    <w:rsid w:val="00865D98"/>
    <w:rsid w:val="00870DD3"/>
    <w:rsid w:val="0087299B"/>
    <w:rsid w:val="0088489A"/>
    <w:rsid w:val="008906D3"/>
    <w:rsid w:val="008A4F57"/>
    <w:rsid w:val="008A61E2"/>
    <w:rsid w:val="008A66B7"/>
    <w:rsid w:val="008B2CDA"/>
    <w:rsid w:val="008B5FC1"/>
    <w:rsid w:val="008B7B9D"/>
    <w:rsid w:val="008D1218"/>
    <w:rsid w:val="008D3815"/>
    <w:rsid w:val="008E57B6"/>
    <w:rsid w:val="008F3617"/>
    <w:rsid w:val="00901867"/>
    <w:rsid w:val="00902040"/>
    <w:rsid w:val="00912594"/>
    <w:rsid w:val="00916661"/>
    <w:rsid w:val="009172F0"/>
    <w:rsid w:val="009202DF"/>
    <w:rsid w:val="00926C0F"/>
    <w:rsid w:val="009306D6"/>
    <w:rsid w:val="00953299"/>
    <w:rsid w:val="00956770"/>
    <w:rsid w:val="009609A9"/>
    <w:rsid w:val="00965F51"/>
    <w:rsid w:val="0097094A"/>
    <w:rsid w:val="0098620D"/>
    <w:rsid w:val="00994335"/>
    <w:rsid w:val="009A124F"/>
    <w:rsid w:val="009B4589"/>
    <w:rsid w:val="009B7283"/>
    <w:rsid w:val="009C156F"/>
    <w:rsid w:val="009C23F4"/>
    <w:rsid w:val="009C390D"/>
    <w:rsid w:val="009C602B"/>
    <w:rsid w:val="009D01BE"/>
    <w:rsid w:val="009D04B9"/>
    <w:rsid w:val="009D349B"/>
    <w:rsid w:val="009D58FD"/>
    <w:rsid w:val="009E2B37"/>
    <w:rsid w:val="009E7388"/>
    <w:rsid w:val="009F0F30"/>
    <w:rsid w:val="009F2521"/>
    <w:rsid w:val="009F78D6"/>
    <w:rsid w:val="00A01E60"/>
    <w:rsid w:val="00A06D14"/>
    <w:rsid w:val="00A07089"/>
    <w:rsid w:val="00A113B5"/>
    <w:rsid w:val="00A12699"/>
    <w:rsid w:val="00A20DBC"/>
    <w:rsid w:val="00A25386"/>
    <w:rsid w:val="00A4308A"/>
    <w:rsid w:val="00A43B9C"/>
    <w:rsid w:val="00A47EBB"/>
    <w:rsid w:val="00A531B7"/>
    <w:rsid w:val="00A55A30"/>
    <w:rsid w:val="00A55C35"/>
    <w:rsid w:val="00A606B2"/>
    <w:rsid w:val="00A6253E"/>
    <w:rsid w:val="00A70EEC"/>
    <w:rsid w:val="00A75654"/>
    <w:rsid w:val="00A80B8C"/>
    <w:rsid w:val="00A840FB"/>
    <w:rsid w:val="00A84F16"/>
    <w:rsid w:val="00A86FCA"/>
    <w:rsid w:val="00A904C3"/>
    <w:rsid w:val="00A91328"/>
    <w:rsid w:val="00AA19B1"/>
    <w:rsid w:val="00AA36C9"/>
    <w:rsid w:val="00AB024C"/>
    <w:rsid w:val="00AB1C7A"/>
    <w:rsid w:val="00AB20C1"/>
    <w:rsid w:val="00AB2AA3"/>
    <w:rsid w:val="00AC4125"/>
    <w:rsid w:val="00AC519C"/>
    <w:rsid w:val="00AC5837"/>
    <w:rsid w:val="00AC627B"/>
    <w:rsid w:val="00AD27B8"/>
    <w:rsid w:val="00AD50D1"/>
    <w:rsid w:val="00AD5C18"/>
    <w:rsid w:val="00AE5226"/>
    <w:rsid w:val="00AE5E31"/>
    <w:rsid w:val="00AF1610"/>
    <w:rsid w:val="00AF66A3"/>
    <w:rsid w:val="00B1356E"/>
    <w:rsid w:val="00B163C5"/>
    <w:rsid w:val="00B25B25"/>
    <w:rsid w:val="00B368BA"/>
    <w:rsid w:val="00B40FD3"/>
    <w:rsid w:val="00B41CB9"/>
    <w:rsid w:val="00B454DE"/>
    <w:rsid w:val="00B46CCC"/>
    <w:rsid w:val="00B54455"/>
    <w:rsid w:val="00B5767D"/>
    <w:rsid w:val="00B6070D"/>
    <w:rsid w:val="00B61D54"/>
    <w:rsid w:val="00B661A9"/>
    <w:rsid w:val="00B66CF2"/>
    <w:rsid w:val="00B673AC"/>
    <w:rsid w:val="00B70947"/>
    <w:rsid w:val="00B71A20"/>
    <w:rsid w:val="00B735A7"/>
    <w:rsid w:val="00B7531E"/>
    <w:rsid w:val="00B9545A"/>
    <w:rsid w:val="00B95F53"/>
    <w:rsid w:val="00BA12A1"/>
    <w:rsid w:val="00BA2B41"/>
    <w:rsid w:val="00BA77A1"/>
    <w:rsid w:val="00BB20C4"/>
    <w:rsid w:val="00BB225B"/>
    <w:rsid w:val="00BC1DC7"/>
    <w:rsid w:val="00BC47BB"/>
    <w:rsid w:val="00BD5210"/>
    <w:rsid w:val="00BD5734"/>
    <w:rsid w:val="00BD6718"/>
    <w:rsid w:val="00BE191E"/>
    <w:rsid w:val="00BE50D2"/>
    <w:rsid w:val="00BE7B7B"/>
    <w:rsid w:val="00BF23A6"/>
    <w:rsid w:val="00BF3032"/>
    <w:rsid w:val="00C00AC9"/>
    <w:rsid w:val="00C015E0"/>
    <w:rsid w:val="00C034D2"/>
    <w:rsid w:val="00C1279D"/>
    <w:rsid w:val="00C16D85"/>
    <w:rsid w:val="00C16F94"/>
    <w:rsid w:val="00C24C47"/>
    <w:rsid w:val="00C25007"/>
    <w:rsid w:val="00C25C7F"/>
    <w:rsid w:val="00C33517"/>
    <w:rsid w:val="00C404F6"/>
    <w:rsid w:val="00C4298C"/>
    <w:rsid w:val="00C56397"/>
    <w:rsid w:val="00C574A0"/>
    <w:rsid w:val="00C64A9A"/>
    <w:rsid w:val="00C650D2"/>
    <w:rsid w:val="00C73A13"/>
    <w:rsid w:val="00C76996"/>
    <w:rsid w:val="00C80C92"/>
    <w:rsid w:val="00C83714"/>
    <w:rsid w:val="00C96CCC"/>
    <w:rsid w:val="00CA01D6"/>
    <w:rsid w:val="00CA1752"/>
    <w:rsid w:val="00CA557C"/>
    <w:rsid w:val="00CB1791"/>
    <w:rsid w:val="00CB3D19"/>
    <w:rsid w:val="00CB7930"/>
    <w:rsid w:val="00CC6211"/>
    <w:rsid w:val="00CC6FA7"/>
    <w:rsid w:val="00CD18AA"/>
    <w:rsid w:val="00CD21DE"/>
    <w:rsid w:val="00CD3574"/>
    <w:rsid w:val="00CE1572"/>
    <w:rsid w:val="00CE56B0"/>
    <w:rsid w:val="00CE5BE8"/>
    <w:rsid w:val="00CE798B"/>
    <w:rsid w:val="00CF22AE"/>
    <w:rsid w:val="00CF3913"/>
    <w:rsid w:val="00CF453B"/>
    <w:rsid w:val="00CF70C4"/>
    <w:rsid w:val="00CF73BE"/>
    <w:rsid w:val="00D06256"/>
    <w:rsid w:val="00D06A07"/>
    <w:rsid w:val="00D076D6"/>
    <w:rsid w:val="00D10026"/>
    <w:rsid w:val="00D146BA"/>
    <w:rsid w:val="00D17D59"/>
    <w:rsid w:val="00D20508"/>
    <w:rsid w:val="00D21540"/>
    <w:rsid w:val="00D22CA2"/>
    <w:rsid w:val="00D24308"/>
    <w:rsid w:val="00D24418"/>
    <w:rsid w:val="00D249CD"/>
    <w:rsid w:val="00D25B63"/>
    <w:rsid w:val="00D27CA4"/>
    <w:rsid w:val="00D332EE"/>
    <w:rsid w:val="00D41F14"/>
    <w:rsid w:val="00D46EA1"/>
    <w:rsid w:val="00D50CA3"/>
    <w:rsid w:val="00D61A90"/>
    <w:rsid w:val="00D62E75"/>
    <w:rsid w:val="00D7120A"/>
    <w:rsid w:val="00D7355D"/>
    <w:rsid w:val="00D84359"/>
    <w:rsid w:val="00D91613"/>
    <w:rsid w:val="00D92AE3"/>
    <w:rsid w:val="00D932A5"/>
    <w:rsid w:val="00D94122"/>
    <w:rsid w:val="00DA075A"/>
    <w:rsid w:val="00DA172F"/>
    <w:rsid w:val="00DA2AC8"/>
    <w:rsid w:val="00DA3654"/>
    <w:rsid w:val="00DA6739"/>
    <w:rsid w:val="00DB13AE"/>
    <w:rsid w:val="00DC5D25"/>
    <w:rsid w:val="00DD0085"/>
    <w:rsid w:val="00DD4785"/>
    <w:rsid w:val="00DE0050"/>
    <w:rsid w:val="00DE186A"/>
    <w:rsid w:val="00DE34F5"/>
    <w:rsid w:val="00DE3C1C"/>
    <w:rsid w:val="00DF432E"/>
    <w:rsid w:val="00E056C2"/>
    <w:rsid w:val="00E07992"/>
    <w:rsid w:val="00E135BD"/>
    <w:rsid w:val="00E13BA0"/>
    <w:rsid w:val="00E161EE"/>
    <w:rsid w:val="00E20B60"/>
    <w:rsid w:val="00E26F83"/>
    <w:rsid w:val="00E30B8D"/>
    <w:rsid w:val="00E311BA"/>
    <w:rsid w:val="00E33153"/>
    <w:rsid w:val="00E40F13"/>
    <w:rsid w:val="00E40FC9"/>
    <w:rsid w:val="00E4541C"/>
    <w:rsid w:val="00E51BA1"/>
    <w:rsid w:val="00E64685"/>
    <w:rsid w:val="00E654EA"/>
    <w:rsid w:val="00E87CE8"/>
    <w:rsid w:val="00E96363"/>
    <w:rsid w:val="00EA03E7"/>
    <w:rsid w:val="00EB0E51"/>
    <w:rsid w:val="00EC3C29"/>
    <w:rsid w:val="00EC5B6A"/>
    <w:rsid w:val="00ED0A15"/>
    <w:rsid w:val="00EF0832"/>
    <w:rsid w:val="00EF34F8"/>
    <w:rsid w:val="00F01449"/>
    <w:rsid w:val="00F0246F"/>
    <w:rsid w:val="00F06583"/>
    <w:rsid w:val="00F13E4D"/>
    <w:rsid w:val="00F2127B"/>
    <w:rsid w:val="00F22778"/>
    <w:rsid w:val="00F22E3C"/>
    <w:rsid w:val="00F349C5"/>
    <w:rsid w:val="00F356EC"/>
    <w:rsid w:val="00F37220"/>
    <w:rsid w:val="00F41CE7"/>
    <w:rsid w:val="00F4365D"/>
    <w:rsid w:val="00F439E4"/>
    <w:rsid w:val="00F5046C"/>
    <w:rsid w:val="00F53174"/>
    <w:rsid w:val="00F612A4"/>
    <w:rsid w:val="00F650E1"/>
    <w:rsid w:val="00F70A5E"/>
    <w:rsid w:val="00F72804"/>
    <w:rsid w:val="00F73DC2"/>
    <w:rsid w:val="00F74DC8"/>
    <w:rsid w:val="00F77937"/>
    <w:rsid w:val="00F77D36"/>
    <w:rsid w:val="00F90AD8"/>
    <w:rsid w:val="00F90F19"/>
    <w:rsid w:val="00F9435F"/>
    <w:rsid w:val="00F9508E"/>
    <w:rsid w:val="00FA26E0"/>
    <w:rsid w:val="00FA361C"/>
    <w:rsid w:val="00FA7B40"/>
    <w:rsid w:val="00FB284D"/>
    <w:rsid w:val="00FB2CE5"/>
    <w:rsid w:val="00FC1180"/>
    <w:rsid w:val="00FC2B0A"/>
    <w:rsid w:val="00FC43AF"/>
    <w:rsid w:val="00FC569E"/>
    <w:rsid w:val="00FC7EAA"/>
    <w:rsid w:val="00FD13E9"/>
    <w:rsid w:val="00FD144A"/>
    <w:rsid w:val="00FD7A7D"/>
    <w:rsid w:val="00FE40FD"/>
    <w:rsid w:val="00FE6AA0"/>
    <w:rsid w:val="00FF556C"/>
    <w:rsid w:val="015E1842"/>
    <w:rsid w:val="01C11962"/>
    <w:rsid w:val="01DB2C70"/>
    <w:rsid w:val="02022B34"/>
    <w:rsid w:val="02210625"/>
    <w:rsid w:val="024A4B93"/>
    <w:rsid w:val="025B633C"/>
    <w:rsid w:val="02C06FF9"/>
    <w:rsid w:val="02C47692"/>
    <w:rsid w:val="02E66AE4"/>
    <w:rsid w:val="032957FC"/>
    <w:rsid w:val="03F418A9"/>
    <w:rsid w:val="040708B0"/>
    <w:rsid w:val="0463400E"/>
    <w:rsid w:val="04A54EA9"/>
    <w:rsid w:val="04C55C3E"/>
    <w:rsid w:val="054A5E82"/>
    <w:rsid w:val="05914119"/>
    <w:rsid w:val="05984AD4"/>
    <w:rsid w:val="05E77556"/>
    <w:rsid w:val="06CB0B96"/>
    <w:rsid w:val="075D3DD1"/>
    <w:rsid w:val="08B90EB7"/>
    <w:rsid w:val="08C4413A"/>
    <w:rsid w:val="08F16230"/>
    <w:rsid w:val="096836C5"/>
    <w:rsid w:val="09CB7265"/>
    <w:rsid w:val="09EE6CA0"/>
    <w:rsid w:val="0A993CF9"/>
    <w:rsid w:val="0BB62D91"/>
    <w:rsid w:val="0BC65752"/>
    <w:rsid w:val="0BDF7FE1"/>
    <w:rsid w:val="0BEF00E2"/>
    <w:rsid w:val="0C1564DE"/>
    <w:rsid w:val="0C8D1818"/>
    <w:rsid w:val="0CB0685E"/>
    <w:rsid w:val="0CBB1CC9"/>
    <w:rsid w:val="0CC63A71"/>
    <w:rsid w:val="0CD27D85"/>
    <w:rsid w:val="0D492E9A"/>
    <w:rsid w:val="0D4B40E0"/>
    <w:rsid w:val="0DED02B5"/>
    <w:rsid w:val="0E8970F5"/>
    <w:rsid w:val="0EED14A4"/>
    <w:rsid w:val="0F614886"/>
    <w:rsid w:val="0F6621B7"/>
    <w:rsid w:val="0F8E3E7A"/>
    <w:rsid w:val="0FC348F6"/>
    <w:rsid w:val="109035CD"/>
    <w:rsid w:val="1103254A"/>
    <w:rsid w:val="1216178E"/>
    <w:rsid w:val="12213FA8"/>
    <w:rsid w:val="130E1DE0"/>
    <w:rsid w:val="13214C0D"/>
    <w:rsid w:val="13390624"/>
    <w:rsid w:val="139B4BA1"/>
    <w:rsid w:val="13A240A6"/>
    <w:rsid w:val="13B60C45"/>
    <w:rsid w:val="148D59EC"/>
    <w:rsid w:val="153C0730"/>
    <w:rsid w:val="15B90678"/>
    <w:rsid w:val="15EF09E0"/>
    <w:rsid w:val="16142F4A"/>
    <w:rsid w:val="163D3CF0"/>
    <w:rsid w:val="16CE4D95"/>
    <w:rsid w:val="17193671"/>
    <w:rsid w:val="173B68A8"/>
    <w:rsid w:val="17CC2250"/>
    <w:rsid w:val="17D6045E"/>
    <w:rsid w:val="18191C1A"/>
    <w:rsid w:val="18674BEA"/>
    <w:rsid w:val="18904724"/>
    <w:rsid w:val="18B23B4B"/>
    <w:rsid w:val="18F97167"/>
    <w:rsid w:val="197679BA"/>
    <w:rsid w:val="1A203640"/>
    <w:rsid w:val="1A926303"/>
    <w:rsid w:val="1A9F6DD3"/>
    <w:rsid w:val="1ABB7036"/>
    <w:rsid w:val="1BED1B2F"/>
    <w:rsid w:val="1C676ADD"/>
    <w:rsid w:val="1C993C27"/>
    <w:rsid w:val="1DAB5082"/>
    <w:rsid w:val="1E0775AB"/>
    <w:rsid w:val="1E13510E"/>
    <w:rsid w:val="1E294B47"/>
    <w:rsid w:val="1E4E240A"/>
    <w:rsid w:val="1E7772C1"/>
    <w:rsid w:val="1EA3032D"/>
    <w:rsid w:val="1F2F0141"/>
    <w:rsid w:val="1FCC1C21"/>
    <w:rsid w:val="1FD830C9"/>
    <w:rsid w:val="204E4BA9"/>
    <w:rsid w:val="204F6ABB"/>
    <w:rsid w:val="207B5116"/>
    <w:rsid w:val="20E23B37"/>
    <w:rsid w:val="20F93229"/>
    <w:rsid w:val="21496422"/>
    <w:rsid w:val="21D46375"/>
    <w:rsid w:val="21FF70F6"/>
    <w:rsid w:val="22515B77"/>
    <w:rsid w:val="22B2303C"/>
    <w:rsid w:val="22D3779F"/>
    <w:rsid w:val="23706DFA"/>
    <w:rsid w:val="2495308C"/>
    <w:rsid w:val="24AA4B04"/>
    <w:rsid w:val="24BE0DAC"/>
    <w:rsid w:val="24FE3ADA"/>
    <w:rsid w:val="252E2C1E"/>
    <w:rsid w:val="25A736E1"/>
    <w:rsid w:val="25C935E9"/>
    <w:rsid w:val="262D7099"/>
    <w:rsid w:val="263F58E3"/>
    <w:rsid w:val="274510F8"/>
    <w:rsid w:val="27DF70A8"/>
    <w:rsid w:val="2829083D"/>
    <w:rsid w:val="29256442"/>
    <w:rsid w:val="29346D40"/>
    <w:rsid w:val="297206A8"/>
    <w:rsid w:val="29A701C4"/>
    <w:rsid w:val="2A3E7CB6"/>
    <w:rsid w:val="2A67272E"/>
    <w:rsid w:val="2BEE432F"/>
    <w:rsid w:val="2BF71624"/>
    <w:rsid w:val="2C00277A"/>
    <w:rsid w:val="2CB86D8A"/>
    <w:rsid w:val="2D816A6E"/>
    <w:rsid w:val="2DB2389D"/>
    <w:rsid w:val="2E7858E0"/>
    <w:rsid w:val="2EC9229A"/>
    <w:rsid w:val="2ECD0DFE"/>
    <w:rsid w:val="2F287757"/>
    <w:rsid w:val="30260A0B"/>
    <w:rsid w:val="30523374"/>
    <w:rsid w:val="30775A6B"/>
    <w:rsid w:val="30CF7F2A"/>
    <w:rsid w:val="310D3A9D"/>
    <w:rsid w:val="31347C3B"/>
    <w:rsid w:val="314F4620"/>
    <w:rsid w:val="318F2878"/>
    <w:rsid w:val="31EA7739"/>
    <w:rsid w:val="31EC54B1"/>
    <w:rsid w:val="32117A21"/>
    <w:rsid w:val="32400B72"/>
    <w:rsid w:val="327409D7"/>
    <w:rsid w:val="327C4C46"/>
    <w:rsid w:val="32B31C95"/>
    <w:rsid w:val="33CF0220"/>
    <w:rsid w:val="33D53A3F"/>
    <w:rsid w:val="348111D9"/>
    <w:rsid w:val="352B6AFF"/>
    <w:rsid w:val="356137EB"/>
    <w:rsid w:val="358231EA"/>
    <w:rsid w:val="35870BE8"/>
    <w:rsid w:val="35A2506B"/>
    <w:rsid w:val="35AA236B"/>
    <w:rsid w:val="35D71179"/>
    <w:rsid w:val="35E85367"/>
    <w:rsid w:val="360A4CDA"/>
    <w:rsid w:val="365C7002"/>
    <w:rsid w:val="369F695F"/>
    <w:rsid w:val="36C63AAF"/>
    <w:rsid w:val="36E57DBE"/>
    <w:rsid w:val="370A236E"/>
    <w:rsid w:val="371B0FE8"/>
    <w:rsid w:val="37BF6847"/>
    <w:rsid w:val="383E746D"/>
    <w:rsid w:val="38BB4BC1"/>
    <w:rsid w:val="390600CC"/>
    <w:rsid w:val="391E1E7A"/>
    <w:rsid w:val="39DE024E"/>
    <w:rsid w:val="3ABB2C9B"/>
    <w:rsid w:val="3AFE1FE4"/>
    <w:rsid w:val="3C252E1A"/>
    <w:rsid w:val="3C4A619D"/>
    <w:rsid w:val="3C505DB6"/>
    <w:rsid w:val="3CAF21B5"/>
    <w:rsid w:val="3D4462AD"/>
    <w:rsid w:val="3D5458EA"/>
    <w:rsid w:val="3DC97ABD"/>
    <w:rsid w:val="3E0067E0"/>
    <w:rsid w:val="3E3254E5"/>
    <w:rsid w:val="3F76595D"/>
    <w:rsid w:val="3FD15FB3"/>
    <w:rsid w:val="408E714D"/>
    <w:rsid w:val="40A6333C"/>
    <w:rsid w:val="40BF2F13"/>
    <w:rsid w:val="41405430"/>
    <w:rsid w:val="414E378C"/>
    <w:rsid w:val="41636DBB"/>
    <w:rsid w:val="41710552"/>
    <w:rsid w:val="419B3FAC"/>
    <w:rsid w:val="42526D80"/>
    <w:rsid w:val="42AE0712"/>
    <w:rsid w:val="431C3C2D"/>
    <w:rsid w:val="43205CAD"/>
    <w:rsid w:val="434002AA"/>
    <w:rsid w:val="43707FA6"/>
    <w:rsid w:val="43B213F4"/>
    <w:rsid w:val="43EB78AE"/>
    <w:rsid w:val="4434181A"/>
    <w:rsid w:val="443A0676"/>
    <w:rsid w:val="44845D06"/>
    <w:rsid w:val="46592B17"/>
    <w:rsid w:val="46911BAA"/>
    <w:rsid w:val="46CE2AC4"/>
    <w:rsid w:val="46F35065"/>
    <w:rsid w:val="47417E82"/>
    <w:rsid w:val="4773177B"/>
    <w:rsid w:val="47977E9A"/>
    <w:rsid w:val="47D33671"/>
    <w:rsid w:val="47E84FBF"/>
    <w:rsid w:val="48042368"/>
    <w:rsid w:val="485F5610"/>
    <w:rsid w:val="48B001DF"/>
    <w:rsid w:val="48BF39E8"/>
    <w:rsid w:val="48CF4605"/>
    <w:rsid w:val="4921718D"/>
    <w:rsid w:val="4A236F35"/>
    <w:rsid w:val="4A5D78A0"/>
    <w:rsid w:val="4A922C20"/>
    <w:rsid w:val="4B081E7E"/>
    <w:rsid w:val="4BE82694"/>
    <w:rsid w:val="4BF36495"/>
    <w:rsid w:val="4BFA5AE7"/>
    <w:rsid w:val="4C9A6388"/>
    <w:rsid w:val="4D4F7D5E"/>
    <w:rsid w:val="4D6C2D05"/>
    <w:rsid w:val="4DA231F0"/>
    <w:rsid w:val="4E235986"/>
    <w:rsid w:val="4E6D2BB6"/>
    <w:rsid w:val="4EAF79B8"/>
    <w:rsid w:val="4ED1389E"/>
    <w:rsid w:val="4F745C45"/>
    <w:rsid w:val="4FCB0696"/>
    <w:rsid w:val="4FE355E6"/>
    <w:rsid w:val="4FF21938"/>
    <w:rsid w:val="5011414B"/>
    <w:rsid w:val="508C61A1"/>
    <w:rsid w:val="513B5C76"/>
    <w:rsid w:val="52096481"/>
    <w:rsid w:val="52654C76"/>
    <w:rsid w:val="528F120A"/>
    <w:rsid w:val="52A6300A"/>
    <w:rsid w:val="5394276A"/>
    <w:rsid w:val="53A37386"/>
    <w:rsid w:val="54786441"/>
    <w:rsid w:val="54A37382"/>
    <w:rsid w:val="54BB3E9C"/>
    <w:rsid w:val="54BD10F9"/>
    <w:rsid w:val="55E43B33"/>
    <w:rsid w:val="562258EF"/>
    <w:rsid w:val="564F71AF"/>
    <w:rsid w:val="56872A22"/>
    <w:rsid w:val="56C105BC"/>
    <w:rsid w:val="57014CA6"/>
    <w:rsid w:val="579748CE"/>
    <w:rsid w:val="57A34451"/>
    <w:rsid w:val="57C11CAC"/>
    <w:rsid w:val="57E04BAD"/>
    <w:rsid w:val="58C61E79"/>
    <w:rsid w:val="59CF042F"/>
    <w:rsid w:val="5A3431DE"/>
    <w:rsid w:val="5A3F302F"/>
    <w:rsid w:val="5AAB5107"/>
    <w:rsid w:val="5AFE379B"/>
    <w:rsid w:val="5B730CA8"/>
    <w:rsid w:val="5B7761B0"/>
    <w:rsid w:val="5B981EB1"/>
    <w:rsid w:val="5BDF5088"/>
    <w:rsid w:val="5BF3322A"/>
    <w:rsid w:val="5C1A0834"/>
    <w:rsid w:val="5C36795D"/>
    <w:rsid w:val="5C490367"/>
    <w:rsid w:val="5C65291D"/>
    <w:rsid w:val="5C942044"/>
    <w:rsid w:val="5CBF07AB"/>
    <w:rsid w:val="5CCE2A56"/>
    <w:rsid w:val="5CCF00DA"/>
    <w:rsid w:val="5D452F43"/>
    <w:rsid w:val="5D97175F"/>
    <w:rsid w:val="5DB13A08"/>
    <w:rsid w:val="5DC002AB"/>
    <w:rsid w:val="5F3C5A9F"/>
    <w:rsid w:val="5F43024C"/>
    <w:rsid w:val="5F480CAB"/>
    <w:rsid w:val="5F790C56"/>
    <w:rsid w:val="5FBE3DC0"/>
    <w:rsid w:val="60734516"/>
    <w:rsid w:val="60A96B43"/>
    <w:rsid w:val="60C26423"/>
    <w:rsid w:val="60EC6DF3"/>
    <w:rsid w:val="60EF5890"/>
    <w:rsid w:val="617E52E2"/>
    <w:rsid w:val="61B800DA"/>
    <w:rsid w:val="62993A7C"/>
    <w:rsid w:val="62FD36ED"/>
    <w:rsid w:val="63276B7D"/>
    <w:rsid w:val="637555FC"/>
    <w:rsid w:val="645417EB"/>
    <w:rsid w:val="64AB5CF7"/>
    <w:rsid w:val="65160B9B"/>
    <w:rsid w:val="65165661"/>
    <w:rsid w:val="65B42C46"/>
    <w:rsid w:val="666E4E7C"/>
    <w:rsid w:val="678E670E"/>
    <w:rsid w:val="67DF0A57"/>
    <w:rsid w:val="68186BC2"/>
    <w:rsid w:val="68997DBA"/>
    <w:rsid w:val="68CE54C2"/>
    <w:rsid w:val="69274557"/>
    <w:rsid w:val="69796AD5"/>
    <w:rsid w:val="6987306D"/>
    <w:rsid w:val="69A81316"/>
    <w:rsid w:val="6A682879"/>
    <w:rsid w:val="6A696279"/>
    <w:rsid w:val="6A8955C1"/>
    <w:rsid w:val="6AB94177"/>
    <w:rsid w:val="6BA35B72"/>
    <w:rsid w:val="6BCB694A"/>
    <w:rsid w:val="6D2B74B3"/>
    <w:rsid w:val="6E343FC5"/>
    <w:rsid w:val="6E7F019A"/>
    <w:rsid w:val="6E8505CD"/>
    <w:rsid w:val="6EE45779"/>
    <w:rsid w:val="6EEC0419"/>
    <w:rsid w:val="6F5F366D"/>
    <w:rsid w:val="6FB414F9"/>
    <w:rsid w:val="7020137A"/>
    <w:rsid w:val="70AC2FBA"/>
    <w:rsid w:val="70DB5380"/>
    <w:rsid w:val="71484198"/>
    <w:rsid w:val="71484277"/>
    <w:rsid w:val="717763E0"/>
    <w:rsid w:val="71872FF7"/>
    <w:rsid w:val="719103AC"/>
    <w:rsid w:val="719F67A9"/>
    <w:rsid w:val="71A039CA"/>
    <w:rsid w:val="72720DA8"/>
    <w:rsid w:val="728237ED"/>
    <w:rsid w:val="751A48A4"/>
    <w:rsid w:val="752D2605"/>
    <w:rsid w:val="76037B74"/>
    <w:rsid w:val="7615135C"/>
    <w:rsid w:val="764768EF"/>
    <w:rsid w:val="76D87DA0"/>
    <w:rsid w:val="77AC767B"/>
    <w:rsid w:val="77E8342F"/>
    <w:rsid w:val="78650DEF"/>
    <w:rsid w:val="788E737B"/>
    <w:rsid w:val="78D55489"/>
    <w:rsid w:val="78D93E53"/>
    <w:rsid w:val="79D305F5"/>
    <w:rsid w:val="7A3331F8"/>
    <w:rsid w:val="7AF156D3"/>
    <w:rsid w:val="7B2B073C"/>
    <w:rsid w:val="7B793006"/>
    <w:rsid w:val="7BD35234"/>
    <w:rsid w:val="7C4161AE"/>
    <w:rsid w:val="7D4A641F"/>
    <w:rsid w:val="7D994AF3"/>
    <w:rsid w:val="7DB6029F"/>
    <w:rsid w:val="7DF72A58"/>
    <w:rsid w:val="7E2A21C6"/>
    <w:rsid w:val="7E2D2649"/>
    <w:rsid w:val="7EE96562"/>
    <w:rsid w:val="7F0432B3"/>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89"/>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6">
    <w:name w:val="heading 2"/>
    <w:basedOn w:val="1"/>
    <w:next w:val="1"/>
    <w:link w:val="124"/>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188"/>
    <w:qFormat/>
    <w:uiPriority w:val="0"/>
    <w:pPr>
      <w:keepNext/>
      <w:keepLines/>
      <w:spacing w:before="260" w:after="260" w:line="416" w:lineRule="auto"/>
      <w:outlineLvl w:val="2"/>
    </w:pPr>
    <w:rPr>
      <w:b/>
      <w:bCs/>
      <w:sz w:val="32"/>
      <w:szCs w:val="32"/>
    </w:rPr>
  </w:style>
  <w:style w:type="paragraph" w:styleId="8">
    <w:name w:val="heading 4"/>
    <w:basedOn w:val="1"/>
    <w:next w:val="1"/>
    <w:link w:val="114"/>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144"/>
    <w:qFormat/>
    <w:uiPriority w:val="0"/>
    <w:pPr>
      <w:keepNext/>
      <w:keepLines/>
      <w:tabs>
        <w:tab w:val="left" w:pos="1008"/>
      </w:tabs>
      <w:spacing w:before="280" w:after="290" w:line="372" w:lineRule="auto"/>
      <w:ind w:left="1008" w:hanging="1008"/>
      <w:outlineLvl w:val="4"/>
    </w:pPr>
    <w:rPr>
      <w:b/>
      <w:sz w:val="28"/>
      <w:szCs w:val="20"/>
    </w:rPr>
  </w:style>
  <w:style w:type="paragraph" w:styleId="10">
    <w:name w:val="heading 6"/>
    <w:basedOn w:val="1"/>
    <w:next w:val="1"/>
    <w:link w:val="190"/>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1">
    <w:name w:val="heading 7"/>
    <w:basedOn w:val="1"/>
    <w:next w:val="1"/>
    <w:link w:val="171"/>
    <w:qFormat/>
    <w:uiPriority w:val="0"/>
    <w:pPr>
      <w:keepNext/>
      <w:keepLines/>
      <w:tabs>
        <w:tab w:val="left" w:pos="1296"/>
      </w:tabs>
      <w:spacing w:before="240" w:after="64" w:line="317" w:lineRule="auto"/>
      <w:ind w:left="1296" w:hanging="1296"/>
      <w:outlineLvl w:val="6"/>
    </w:pPr>
    <w:rPr>
      <w:b/>
      <w:sz w:val="24"/>
      <w:szCs w:val="20"/>
    </w:rPr>
  </w:style>
  <w:style w:type="paragraph" w:styleId="12">
    <w:name w:val="heading 8"/>
    <w:basedOn w:val="1"/>
    <w:next w:val="1"/>
    <w:link w:val="157"/>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3">
    <w:name w:val="heading 9"/>
    <w:basedOn w:val="1"/>
    <w:next w:val="1"/>
    <w:link w:val="92"/>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6">
    <w:name w:val="Default Paragraph Font"/>
    <w:semiHidden/>
    <w:unhideWhenUsed/>
    <w:qFormat/>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0"/>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link w:val="179"/>
    <w:qFormat/>
    <w:uiPriority w:val="0"/>
    <w:pPr>
      <w:spacing w:line="360" w:lineRule="auto"/>
    </w:pPr>
    <w:rPr>
      <w:rFonts w:ascii="宋体"/>
      <w:szCs w:val="20"/>
    </w:rPr>
  </w:style>
  <w:style w:type="paragraph" w:styleId="4">
    <w:name w:val="macro"/>
    <w:link w:val="12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toc 7"/>
    <w:basedOn w:val="1"/>
    <w:next w:val="1"/>
    <w:qFormat/>
    <w:uiPriority w:val="0"/>
    <w:pPr>
      <w:ind w:left="1260"/>
      <w:jc w:val="left"/>
    </w:pPr>
    <w:rPr>
      <w:sz w:val="18"/>
      <w:szCs w:val="18"/>
    </w:rPr>
  </w:style>
  <w:style w:type="paragraph" w:styleId="15">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6">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17">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8">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19">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0">
    <w:name w:val="Normal Indent"/>
    <w:basedOn w:val="1"/>
    <w:link w:val="110"/>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21">
    <w:name w:val="caption"/>
    <w:basedOn w:val="1"/>
    <w:next w:val="1"/>
    <w:link w:val="142"/>
    <w:qFormat/>
    <w:uiPriority w:val="0"/>
    <w:pPr>
      <w:ind w:firstLine="6290" w:firstLineChars="2282"/>
    </w:pPr>
    <w:rPr>
      <w:b/>
      <w:bCs/>
      <w:color w:val="000080"/>
      <w:sz w:val="28"/>
    </w:rPr>
  </w:style>
  <w:style w:type="paragraph" w:styleId="22">
    <w:name w:val="index 5"/>
    <w:basedOn w:val="1"/>
    <w:next w:val="1"/>
    <w:semiHidden/>
    <w:qFormat/>
    <w:uiPriority w:val="0"/>
    <w:pPr>
      <w:spacing w:line="480" w:lineRule="exact"/>
      <w:ind w:left="800" w:leftChars="800" w:firstLine="200" w:firstLineChars="200"/>
      <w:jc w:val="left"/>
    </w:pPr>
    <w:rPr>
      <w:color w:val="7030A0"/>
      <w:sz w:val="24"/>
    </w:rPr>
  </w:style>
  <w:style w:type="paragraph" w:styleId="23">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4">
    <w:name w:val="Document Map"/>
    <w:basedOn w:val="1"/>
    <w:link w:val="191"/>
    <w:unhideWhenUsed/>
    <w:qFormat/>
    <w:uiPriority w:val="0"/>
    <w:rPr>
      <w:rFonts w:ascii="宋体"/>
      <w:sz w:val="18"/>
      <w:szCs w:val="18"/>
    </w:rPr>
  </w:style>
  <w:style w:type="paragraph" w:styleId="25">
    <w:name w:val="toa heading"/>
    <w:basedOn w:val="1"/>
    <w:next w:val="1"/>
    <w:qFormat/>
    <w:uiPriority w:val="0"/>
    <w:pPr>
      <w:spacing w:before="120"/>
    </w:pPr>
    <w:rPr>
      <w:rFonts w:ascii="Arial" w:hAnsi="Arial" w:cs="Arial"/>
      <w:sz w:val="24"/>
    </w:rPr>
  </w:style>
  <w:style w:type="paragraph" w:styleId="26">
    <w:name w:val="annotation text"/>
    <w:basedOn w:val="1"/>
    <w:link w:val="100"/>
    <w:qFormat/>
    <w:uiPriority w:val="99"/>
    <w:pPr>
      <w:jc w:val="left"/>
    </w:pPr>
  </w:style>
  <w:style w:type="paragraph" w:styleId="27">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28">
    <w:name w:val="Salutation"/>
    <w:basedOn w:val="1"/>
    <w:next w:val="1"/>
    <w:link w:val="93"/>
    <w:qFormat/>
    <w:uiPriority w:val="0"/>
    <w:rPr>
      <w:sz w:val="24"/>
      <w:szCs w:val="20"/>
    </w:rPr>
  </w:style>
  <w:style w:type="paragraph" w:styleId="29">
    <w:name w:val="Body Text 3"/>
    <w:basedOn w:val="1"/>
    <w:link w:val="107"/>
    <w:qFormat/>
    <w:uiPriority w:val="0"/>
    <w:pPr>
      <w:spacing w:after="120"/>
    </w:pPr>
    <w:rPr>
      <w:sz w:val="16"/>
      <w:szCs w:val="16"/>
    </w:rPr>
  </w:style>
  <w:style w:type="paragraph" w:styleId="30">
    <w:name w:val="List Bullet 3"/>
    <w:basedOn w:val="1"/>
    <w:qFormat/>
    <w:uiPriority w:val="0"/>
    <w:pPr>
      <w:tabs>
        <w:tab w:val="left" w:pos="775"/>
      </w:tabs>
      <w:spacing w:line="360" w:lineRule="auto"/>
      <w:ind w:left="775" w:hanging="360"/>
    </w:pPr>
    <w:rPr>
      <w:kern w:val="0"/>
    </w:rPr>
  </w:style>
  <w:style w:type="paragraph" w:styleId="31">
    <w:name w:val="Body Text"/>
    <w:basedOn w:val="1"/>
    <w:link w:val="160"/>
    <w:qFormat/>
    <w:uiPriority w:val="0"/>
    <w:pPr>
      <w:spacing w:line="360" w:lineRule="auto"/>
    </w:pPr>
    <w:rPr>
      <w:sz w:val="24"/>
      <w:szCs w:val="20"/>
    </w:rPr>
  </w:style>
  <w:style w:type="paragraph" w:styleId="32">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3">
    <w:name w:val="List 2"/>
    <w:basedOn w:val="1"/>
    <w:qFormat/>
    <w:uiPriority w:val="0"/>
    <w:pPr>
      <w:widowControl/>
      <w:ind w:left="840" w:hanging="420"/>
      <w:jc w:val="left"/>
    </w:pPr>
    <w:rPr>
      <w:rFonts w:ascii="宋体"/>
      <w:kern w:val="0"/>
      <w:sz w:val="22"/>
      <w:szCs w:val="20"/>
    </w:rPr>
  </w:style>
  <w:style w:type="paragraph" w:styleId="34">
    <w:name w:val="List Continue"/>
    <w:basedOn w:val="1"/>
    <w:qFormat/>
    <w:uiPriority w:val="0"/>
    <w:pPr>
      <w:widowControl/>
      <w:spacing w:after="120"/>
      <w:ind w:left="420"/>
      <w:jc w:val="left"/>
    </w:pPr>
    <w:rPr>
      <w:rFonts w:ascii="宋体"/>
      <w:kern w:val="0"/>
      <w:sz w:val="22"/>
      <w:szCs w:val="20"/>
    </w:rPr>
  </w:style>
  <w:style w:type="paragraph" w:styleId="35">
    <w:name w:val="Block Text"/>
    <w:basedOn w:val="1"/>
    <w:qFormat/>
    <w:uiPriority w:val="0"/>
    <w:pPr>
      <w:tabs>
        <w:tab w:val="left" w:pos="8364"/>
      </w:tabs>
      <w:ind w:left="840" w:right="-57" w:hanging="300"/>
    </w:pPr>
    <w:rPr>
      <w:rFonts w:ascii="宋体"/>
      <w:szCs w:val="20"/>
    </w:rPr>
  </w:style>
  <w:style w:type="paragraph" w:styleId="36">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7">
    <w:name w:val="index 4"/>
    <w:basedOn w:val="1"/>
    <w:next w:val="1"/>
    <w:qFormat/>
    <w:uiPriority w:val="0"/>
    <w:pPr>
      <w:spacing w:line="480" w:lineRule="exact"/>
      <w:ind w:left="600" w:leftChars="600" w:firstLine="200" w:firstLineChars="200"/>
      <w:jc w:val="left"/>
    </w:pPr>
    <w:rPr>
      <w:color w:val="7030A0"/>
      <w:sz w:val="24"/>
    </w:rPr>
  </w:style>
  <w:style w:type="paragraph" w:styleId="38">
    <w:name w:val="toc 5"/>
    <w:basedOn w:val="1"/>
    <w:next w:val="1"/>
    <w:qFormat/>
    <w:uiPriority w:val="0"/>
    <w:pPr>
      <w:ind w:left="840"/>
      <w:jc w:val="left"/>
    </w:pPr>
    <w:rPr>
      <w:sz w:val="18"/>
      <w:szCs w:val="18"/>
    </w:rPr>
  </w:style>
  <w:style w:type="paragraph" w:styleId="39">
    <w:name w:val="toc 3"/>
    <w:basedOn w:val="1"/>
    <w:next w:val="1"/>
    <w:qFormat/>
    <w:uiPriority w:val="0"/>
    <w:pPr>
      <w:tabs>
        <w:tab w:val="left" w:pos="400"/>
        <w:tab w:val="left" w:pos="576"/>
        <w:tab w:val="right" w:leader="dot" w:pos="8778"/>
      </w:tabs>
      <w:ind w:left="10"/>
      <w:jc w:val="center"/>
    </w:pPr>
    <w:rPr>
      <w:rFonts w:ascii="宋体" w:hAnsi="宋体"/>
      <w:b/>
      <w:iCs/>
      <w:sz w:val="24"/>
    </w:rPr>
  </w:style>
  <w:style w:type="paragraph" w:styleId="40">
    <w:name w:val="Plain Text"/>
    <w:basedOn w:val="1"/>
    <w:link w:val="131"/>
    <w:unhideWhenUsed/>
    <w:qFormat/>
    <w:uiPriority w:val="99"/>
    <w:rPr>
      <w:rFonts w:ascii="宋体" w:hAnsi="Courier New" w:cs="Courier New"/>
      <w:szCs w:val="21"/>
    </w:rPr>
  </w:style>
  <w:style w:type="paragraph" w:styleId="41">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2">
    <w:name w:val="List Number 4"/>
    <w:basedOn w:val="1"/>
    <w:qFormat/>
    <w:uiPriority w:val="0"/>
    <w:pPr>
      <w:tabs>
        <w:tab w:val="left" w:pos="1620"/>
      </w:tabs>
      <w:spacing w:line="360" w:lineRule="auto"/>
      <w:ind w:left="1620" w:hanging="360"/>
    </w:pPr>
    <w:rPr>
      <w:rFonts w:ascii="宋体" w:hAnsi="宋体"/>
      <w:sz w:val="24"/>
      <w:szCs w:val="20"/>
    </w:rPr>
  </w:style>
  <w:style w:type="paragraph" w:styleId="43">
    <w:name w:val="toc 8"/>
    <w:basedOn w:val="1"/>
    <w:next w:val="1"/>
    <w:qFormat/>
    <w:uiPriority w:val="0"/>
    <w:pPr>
      <w:ind w:left="1470"/>
      <w:jc w:val="left"/>
    </w:pPr>
    <w:rPr>
      <w:sz w:val="18"/>
      <w:szCs w:val="18"/>
    </w:rPr>
  </w:style>
  <w:style w:type="paragraph" w:styleId="44">
    <w:name w:val="index 3"/>
    <w:basedOn w:val="1"/>
    <w:next w:val="1"/>
    <w:semiHidden/>
    <w:qFormat/>
    <w:uiPriority w:val="0"/>
    <w:pPr>
      <w:spacing w:line="480" w:lineRule="exact"/>
      <w:ind w:left="400" w:leftChars="400" w:firstLine="200" w:firstLineChars="200"/>
      <w:jc w:val="left"/>
    </w:pPr>
    <w:rPr>
      <w:color w:val="7030A0"/>
      <w:sz w:val="24"/>
    </w:rPr>
  </w:style>
  <w:style w:type="paragraph" w:styleId="45">
    <w:name w:val="Date"/>
    <w:basedOn w:val="1"/>
    <w:next w:val="1"/>
    <w:link w:val="141"/>
    <w:qFormat/>
    <w:uiPriority w:val="0"/>
    <w:pPr>
      <w:autoSpaceDE w:val="0"/>
      <w:autoSpaceDN w:val="0"/>
      <w:adjustRightInd w:val="0"/>
      <w:textAlignment w:val="baseline"/>
    </w:pPr>
    <w:rPr>
      <w:rFonts w:eastAsia="楷体_GB2312"/>
      <w:sz w:val="30"/>
      <w:szCs w:val="20"/>
    </w:rPr>
  </w:style>
  <w:style w:type="paragraph" w:styleId="46">
    <w:name w:val="Body Text Indent 2"/>
    <w:basedOn w:val="1"/>
    <w:link w:val="137"/>
    <w:qFormat/>
    <w:uiPriority w:val="0"/>
    <w:pPr>
      <w:spacing w:after="120" w:line="480" w:lineRule="auto"/>
      <w:ind w:left="420" w:leftChars="200"/>
    </w:pPr>
    <w:rPr>
      <w:szCs w:val="20"/>
    </w:rPr>
  </w:style>
  <w:style w:type="paragraph" w:styleId="47">
    <w:name w:val="endnote text"/>
    <w:basedOn w:val="1"/>
    <w:link w:val="122"/>
    <w:qFormat/>
    <w:uiPriority w:val="0"/>
    <w:pPr>
      <w:snapToGrid w:val="0"/>
      <w:spacing w:line="500" w:lineRule="exact"/>
      <w:jc w:val="left"/>
    </w:pPr>
    <w:rPr>
      <w:kern w:val="0"/>
    </w:rPr>
  </w:style>
  <w:style w:type="paragraph" w:styleId="48">
    <w:name w:val="Balloon Text"/>
    <w:basedOn w:val="1"/>
    <w:link w:val="183"/>
    <w:unhideWhenUsed/>
    <w:qFormat/>
    <w:uiPriority w:val="0"/>
    <w:rPr>
      <w:sz w:val="18"/>
      <w:szCs w:val="18"/>
    </w:rPr>
  </w:style>
  <w:style w:type="paragraph" w:styleId="49">
    <w:name w:val="footer"/>
    <w:basedOn w:val="1"/>
    <w:link w:val="185"/>
    <w:unhideWhenUsed/>
    <w:qFormat/>
    <w:uiPriority w:val="99"/>
    <w:pPr>
      <w:tabs>
        <w:tab w:val="center" w:pos="4153"/>
        <w:tab w:val="right" w:pos="8306"/>
      </w:tabs>
      <w:snapToGrid w:val="0"/>
      <w:jc w:val="left"/>
    </w:pPr>
    <w:rPr>
      <w:sz w:val="18"/>
      <w:szCs w:val="18"/>
    </w:rPr>
  </w:style>
  <w:style w:type="paragraph" w:styleId="50">
    <w:name w:val="envelope return"/>
    <w:basedOn w:val="1"/>
    <w:qFormat/>
    <w:uiPriority w:val="99"/>
    <w:pPr>
      <w:snapToGrid w:val="0"/>
    </w:pPr>
    <w:rPr>
      <w:rFonts w:ascii="Arial" w:hAnsi="Arial"/>
    </w:rPr>
  </w:style>
  <w:style w:type="paragraph" w:styleId="51">
    <w:name w:val="header"/>
    <w:basedOn w:val="1"/>
    <w:link w:val="154"/>
    <w:unhideWhenUsed/>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53">
    <w:name w:val="toc 4"/>
    <w:basedOn w:val="1"/>
    <w:next w:val="1"/>
    <w:qFormat/>
    <w:uiPriority w:val="0"/>
    <w:pPr>
      <w:ind w:left="630"/>
      <w:jc w:val="left"/>
    </w:pPr>
    <w:rPr>
      <w:sz w:val="18"/>
      <w:szCs w:val="18"/>
    </w:rPr>
  </w:style>
  <w:style w:type="paragraph" w:styleId="54">
    <w:name w:val="index heading"/>
    <w:basedOn w:val="1"/>
    <w:next w:val="55"/>
    <w:qFormat/>
    <w:uiPriority w:val="0"/>
  </w:style>
  <w:style w:type="paragraph" w:styleId="55">
    <w:name w:val="index 1"/>
    <w:basedOn w:val="1"/>
    <w:next w:val="1"/>
    <w:qFormat/>
    <w:uiPriority w:val="0"/>
    <w:pPr>
      <w:spacing w:line="360" w:lineRule="auto"/>
      <w:ind w:left="1149" w:leftChars="547"/>
    </w:pPr>
    <w:rPr>
      <w:szCs w:val="20"/>
    </w:rPr>
  </w:style>
  <w:style w:type="paragraph" w:styleId="56">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7">
    <w:name w:val="List"/>
    <w:basedOn w:val="1"/>
    <w:qFormat/>
    <w:uiPriority w:val="0"/>
    <w:pPr>
      <w:ind w:left="200" w:hanging="200" w:hangingChars="200"/>
    </w:pPr>
    <w:rPr>
      <w:szCs w:val="20"/>
    </w:rPr>
  </w:style>
  <w:style w:type="paragraph" w:styleId="58">
    <w:name w:val="footnote text"/>
    <w:basedOn w:val="1"/>
    <w:link w:val="94"/>
    <w:qFormat/>
    <w:uiPriority w:val="0"/>
    <w:pPr>
      <w:adjustRightInd w:val="0"/>
      <w:spacing w:line="312" w:lineRule="atLeast"/>
      <w:jc w:val="left"/>
      <w:textAlignment w:val="baseline"/>
    </w:pPr>
    <w:rPr>
      <w:kern w:val="0"/>
      <w:sz w:val="18"/>
      <w:szCs w:val="20"/>
    </w:rPr>
  </w:style>
  <w:style w:type="paragraph" w:styleId="59">
    <w:name w:val="toc 6"/>
    <w:basedOn w:val="1"/>
    <w:next w:val="1"/>
    <w:qFormat/>
    <w:uiPriority w:val="0"/>
    <w:pPr>
      <w:ind w:left="1050"/>
      <w:jc w:val="left"/>
    </w:pPr>
    <w:rPr>
      <w:sz w:val="18"/>
      <w:szCs w:val="18"/>
    </w:rPr>
  </w:style>
  <w:style w:type="paragraph" w:styleId="60">
    <w:name w:val="Body Text Indent 3"/>
    <w:basedOn w:val="1"/>
    <w:link w:val="117"/>
    <w:qFormat/>
    <w:uiPriority w:val="0"/>
    <w:pPr>
      <w:ind w:left="1260" w:leftChars="600"/>
    </w:pPr>
    <w:rPr>
      <w:szCs w:val="20"/>
    </w:rPr>
  </w:style>
  <w:style w:type="paragraph" w:styleId="61">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2">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3">
    <w:name w:val="table of figures"/>
    <w:basedOn w:val="1"/>
    <w:next w:val="1"/>
    <w:qFormat/>
    <w:uiPriority w:val="0"/>
    <w:pPr>
      <w:spacing w:line="480" w:lineRule="exact"/>
      <w:ind w:left="200" w:leftChars="200" w:hanging="200" w:hangingChars="200"/>
      <w:jc w:val="left"/>
    </w:pPr>
    <w:rPr>
      <w:color w:val="7030A0"/>
      <w:sz w:val="24"/>
    </w:rPr>
  </w:style>
  <w:style w:type="paragraph" w:styleId="64">
    <w:name w:val="toc 2"/>
    <w:basedOn w:val="1"/>
    <w:next w:val="1"/>
    <w:qFormat/>
    <w:uiPriority w:val="39"/>
    <w:pPr>
      <w:tabs>
        <w:tab w:val="right" w:leader="dot" w:pos="8778"/>
      </w:tabs>
      <w:ind w:left="23" w:leftChars="9" w:hanging="4" w:hangingChars="2"/>
      <w:jc w:val="left"/>
    </w:pPr>
    <w:rPr>
      <w:smallCaps/>
      <w:sz w:val="20"/>
      <w:szCs w:val="20"/>
    </w:rPr>
  </w:style>
  <w:style w:type="paragraph" w:styleId="65">
    <w:name w:val="toc 9"/>
    <w:basedOn w:val="1"/>
    <w:next w:val="1"/>
    <w:qFormat/>
    <w:uiPriority w:val="0"/>
    <w:pPr>
      <w:ind w:left="1680"/>
      <w:jc w:val="left"/>
    </w:pPr>
    <w:rPr>
      <w:sz w:val="18"/>
      <w:szCs w:val="18"/>
    </w:rPr>
  </w:style>
  <w:style w:type="paragraph" w:styleId="66">
    <w:name w:val="Body Text 2"/>
    <w:basedOn w:val="1"/>
    <w:link w:val="125"/>
    <w:qFormat/>
    <w:uiPriority w:val="0"/>
    <w:pPr>
      <w:spacing w:after="120" w:line="480" w:lineRule="auto"/>
    </w:pPr>
    <w:rPr>
      <w:szCs w:val="20"/>
    </w:rPr>
  </w:style>
  <w:style w:type="paragraph" w:styleId="67">
    <w:name w:val="Message Header"/>
    <w:basedOn w:val="1"/>
    <w:link w:val="12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8">
    <w:name w:val="HTML Preformatted"/>
    <w:basedOn w:val="1"/>
    <w:link w:val="1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0">
    <w:name w:val="index 2"/>
    <w:basedOn w:val="1"/>
    <w:next w:val="1"/>
    <w:semiHidden/>
    <w:qFormat/>
    <w:uiPriority w:val="0"/>
    <w:pPr>
      <w:spacing w:line="480" w:lineRule="exact"/>
      <w:ind w:left="200" w:leftChars="200" w:firstLine="200" w:firstLineChars="200"/>
      <w:jc w:val="left"/>
    </w:pPr>
    <w:rPr>
      <w:color w:val="7030A0"/>
      <w:sz w:val="24"/>
    </w:rPr>
  </w:style>
  <w:style w:type="paragraph" w:styleId="71">
    <w:name w:val="Title"/>
    <w:basedOn w:val="1"/>
    <w:link w:val="139"/>
    <w:qFormat/>
    <w:uiPriority w:val="0"/>
    <w:pPr>
      <w:widowControl/>
      <w:spacing w:before="240" w:after="60"/>
      <w:jc w:val="center"/>
      <w:outlineLvl w:val="0"/>
    </w:pPr>
    <w:rPr>
      <w:rFonts w:ascii="Arial" w:hAnsi="Arial" w:eastAsia="楷体_GB2312"/>
      <w:b/>
      <w:kern w:val="0"/>
      <w:sz w:val="32"/>
      <w:szCs w:val="20"/>
    </w:rPr>
  </w:style>
  <w:style w:type="paragraph" w:styleId="72">
    <w:name w:val="annotation subject"/>
    <w:basedOn w:val="26"/>
    <w:next w:val="26"/>
    <w:link w:val="99"/>
    <w:unhideWhenUsed/>
    <w:qFormat/>
    <w:uiPriority w:val="0"/>
    <w:rPr>
      <w:b/>
      <w:bCs/>
    </w:rPr>
  </w:style>
  <w:style w:type="paragraph" w:styleId="73">
    <w:name w:val="Body Text First Indent"/>
    <w:basedOn w:val="31"/>
    <w:next w:val="1"/>
    <w:link w:val="159"/>
    <w:qFormat/>
    <w:uiPriority w:val="0"/>
    <w:pPr>
      <w:tabs>
        <w:tab w:val="left" w:pos="360"/>
      </w:tabs>
      <w:spacing w:line="220" w:lineRule="exact"/>
      <w:ind w:left="360" w:hanging="360" w:firstLineChars="200"/>
      <w:jc w:val="left"/>
    </w:pPr>
    <w:rPr>
      <w:color w:val="7030A0"/>
    </w:rPr>
  </w:style>
  <w:style w:type="table" w:styleId="75">
    <w:name w:val="Table Grid"/>
    <w:basedOn w:val="7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7">
    <w:name w:val="Strong"/>
    <w:qFormat/>
    <w:uiPriority w:val="0"/>
    <w:rPr>
      <w:b/>
      <w:bCs/>
    </w:rPr>
  </w:style>
  <w:style w:type="character" w:styleId="78">
    <w:name w:val="endnote reference"/>
    <w:qFormat/>
    <w:uiPriority w:val="0"/>
    <w:rPr>
      <w:vertAlign w:val="superscript"/>
    </w:rPr>
  </w:style>
  <w:style w:type="character" w:styleId="79">
    <w:name w:val="page number"/>
    <w:basedOn w:val="76"/>
    <w:qFormat/>
    <w:uiPriority w:val="0"/>
  </w:style>
  <w:style w:type="character" w:styleId="80">
    <w:name w:val="FollowedHyperlink"/>
    <w:basedOn w:val="76"/>
    <w:unhideWhenUsed/>
    <w:qFormat/>
    <w:uiPriority w:val="99"/>
    <w:rPr>
      <w:color w:val="800080"/>
      <w:u w:val="single"/>
    </w:rPr>
  </w:style>
  <w:style w:type="character" w:styleId="81">
    <w:name w:val="HTML Typewriter"/>
    <w:qFormat/>
    <w:uiPriority w:val="0"/>
    <w:rPr>
      <w:rFonts w:ascii="黑体" w:hAnsi="Courier New" w:eastAsia="黑体" w:cs="Courier New"/>
      <w:sz w:val="20"/>
      <w:szCs w:val="20"/>
    </w:rPr>
  </w:style>
  <w:style w:type="character" w:styleId="82">
    <w:name w:val="Hyperlink"/>
    <w:basedOn w:val="76"/>
    <w:unhideWhenUsed/>
    <w:qFormat/>
    <w:uiPriority w:val="99"/>
    <w:rPr>
      <w:color w:val="0000FF"/>
      <w:u w:val="single"/>
    </w:rPr>
  </w:style>
  <w:style w:type="character" w:styleId="83">
    <w:name w:val="annotation reference"/>
    <w:basedOn w:val="76"/>
    <w:qFormat/>
    <w:uiPriority w:val="99"/>
    <w:rPr>
      <w:sz w:val="21"/>
      <w:szCs w:val="21"/>
    </w:rPr>
  </w:style>
  <w:style w:type="character" w:styleId="84">
    <w:name w:val="footnote reference"/>
    <w:qFormat/>
    <w:uiPriority w:val="0"/>
    <w:rPr>
      <w:vertAlign w:val="superscript"/>
    </w:rPr>
  </w:style>
  <w:style w:type="paragraph" w:customStyle="1" w:styleId="85">
    <w:name w:val="style4"/>
    <w:basedOn w:val="1"/>
    <w:next w:val="86"/>
    <w:qFormat/>
    <w:uiPriority w:val="0"/>
    <w:pPr>
      <w:widowControl/>
      <w:spacing w:before="280" w:after="280"/>
    </w:pPr>
    <w:rPr>
      <w:rFonts w:ascii="宋体"/>
      <w:sz w:val="18"/>
    </w:rPr>
  </w:style>
  <w:style w:type="paragraph" w:customStyle="1" w:styleId="8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7">
    <w:name w:val="列出段落1"/>
    <w:basedOn w:val="1"/>
    <w:qFormat/>
    <w:uiPriority w:val="34"/>
    <w:pPr>
      <w:ind w:firstLine="420" w:firstLineChars="200"/>
    </w:pPr>
    <w:rPr>
      <w:szCs w:val="20"/>
    </w:rPr>
  </w:style>
  <w:style w:type="paragraph" w:customStyle="1" w:styleId="8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89">
    <w:name w:val="标题4"/>
    <w:basedOn w:val="1"/>
    <w:next w:val="1"/>
    <w:qFormat/>
    <w:uiPriority w:val="0"/>
    <w:pPr>
      <w:keepNext/>
      <w:spacing w:line="360" w:lineRule="auto"/>
      <w:ind w:firstLine="200" w:firstLineChars="200"/>
      <w:jc w:val="left"/>
      <w:outlineLvl w:val="3"/>
    </w:pPr>
    <w:rPr>
      <w:b/>
      <w:kern w:val="0"/>
      <w:sz w:val="30"/>
    </w:rPr>
  </w:style>
  <w:style w:type="character" w:customStyle="1" w:styleId="90">
    <w:name w:val="四级标题格式 Char"/>
    <w:link w:val="91"/>
    <w:qFormat/>
    <w:uiPriority w:val="0"/>
    <w:rPr>
      <w:rFonts w:ascii="Times New Roman" w:hAnsi="Times New Roman" w:eastAsia="黑体"/>
      <w:bCs/>
      <w:kern w:val="2"/>
      <w:sz w:val="28"/>
      <w:szCs w:val="28"/>
    </w:rPr>
  </w:style>
  <w:style w:type="paragraph" w:customStyle="1" w:styleId="91">
    <w:name w:val="四级标题格式"/>
    <w:basedOn w:val="8"/>
    <w:link w:val="90"/>
    <w:qFormat/>
    <w:uiPriority w:val="0"/>
    <w:pPr>
      <w:keepNext w:val="0"/>
      <w:keepLines w:val="0"/>
      <w:spacing w:before="0" w:afterLines="100" w:line="240" w:lineRule="auto"/>
      <w:jc w:val="left"/>
    </w:pPr>
    <w:rPr>
      <w:rFonts w:ascii="Times New Roman" w:hAnsi="Times New Roman" w:eastAsia="黑体"/>
      <w:b w:val="0"/>
    </w:rPr>
  </w:style>
  <w:style w:type="character" w:customStyle="1" w:styleId="92">
    <w:name w:val="标题 9 字符"/>
    <w:basedOn w:val="76"/>
    <w:link w:val="13"/>
    <w:qFormat/>
    <w:uiPriority w:val="0"/>
    <w:rPr>
      <w:rFonts w:ascii="Arial" w:hAnsi="Arial" w:eastAsia="黑体"/>
      <w:kern w:val="2"/>
      <w:sz w:val="21"/>
    </w:rPr>
  </w:style>
  <w:style w:type="character" w:customStyle="1" w:styleId="93">
    <w:name w:val="称呼 字符"/>
    <w:basedOn w:val="76"/>
    <w:link w:val="28"/>
    <w:qFormat/>
    <w:uiPriority w:val="0"/>
    <w:rPr>
      <w:rFonts w:ascii="Times New Roman" w:hAnsi="Times New Roman"/>
      <w:kern w:val="2"/>
      <w:sz w:val="24"/>
    </w:rPr>
  </w:style>
  <w:style w:type="character" w:customStyle="1" w:styleId="94">
    <w:name w:val="脚注文本 字符"/>
    <w:basedOn w:val="76"/>
    <w:link w:val="58"/>
    <w:qFormat/>
    <w:uiPriority w:val="0"/>
    <w:rPr>
      <w:rFonts w:ascii="Times New Roman" w:hAnsi="Times New Roman"/>
      <w:sz w:val="18"/>
    </w:rPr>
  </w:style>
  <w:style w:type="character" w:customStyle="1" w:styleId="95">
    <w:name w:val="标题 5 Char1"/>
    <w:qFormat/>
    <w:uiPriority w:val="0"/>
    <w:rPr>
      <w:rFonts w:ascii="Times New Roman" w:hAnsi="Times New Roman"/>
      <w:b/>
      <w:kern w:val="2"/>
      <w:sz w:val="28"/>
    </w:rPr>
  </w:style>
  <w:style w:type="character" w:customStyle="1" w:styleId="96">
    <w:name w:val="样式 标题 31.1条标题1.1.1二级节名h3Heading 3 - oldheading 3H3H31H3... Char Char"/>
    <w:qFormat/>
    <w:uiPriority w:val="0"/>
    <w:rPr>
      <w:rFonts w:ascii="宋体" w:hAnsi="宋体" w:eastAsia="黑体"/>
      <w:kern w:val="2"/>
      <w:sz w:val="24"/>
      <w:szCs w:val="21"/>
    </w:rPr>
  </w:style>
  <w:style w:type="character" w:customStyle="1" w:styleId="97">
    <w:name w:val="标题3 Char"/>
    <w:link w:val="98"/>
    <w:qFormat/>
    <w:uiPriority w:val="0"/>
    <w:rPr>
      <w:rFonts w:ascii="Times New Roman" w:hAnsi="Times New Roman"/>
      <w:sz w:val="24"/>
    </w:rPr>
  </w:style>
  <w:style w:type="paragraph" w:customStyle="1" w:styleId="98">
    <w:name w:val="标题3"/>
    <w:basedOn w:val="7"/>
    <w:link w:val="97"/>
    <w:qFormat/>
    <w:uiPriority w:val="0"/>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character" w:customStyle="1" w:styleId="99">
    <w:name w:val="批注主题 字符"/>
    <w:basedOn w:val="100"/>
    <w:link w:val="72"/>
    <w:qFormat/>
    <w:uiPriority w:val="0"/>
    <w:rPr>
      <w:rFonts w:ascii="Times New Roman" w:hAnsi="Times New Roman" w:eastAsia="宋体" w:cs="Times New Roman"/>
      <w:b/>
      <w:bCs/>
      <w:kern w:val="2"/>
      <w:sz w:val="21"/>
      <w:szCs w:val="24"/>
    </w:rPr>
  </w:style>
  <w:style w:type="character" w:customStyle="1" w:styleId="100">
    <w:name w:val="批注文字 字符"/>
    <w:basedOn w:val="76"/>
    <w:link w:val="26"/>
    <w:qFormat/>
    <w:uiPriority w:val="99"/>
    <w:rPr>
      <w:rFonts w:ascii="Times New Roman" w:hAnsi="Times New Roman" w:eastAsia="宋体" w:cs="Times New Roman"/>
      <w:szCs w:val="24"/>
    </w:rPr>
  </w:style>
  <w:style w:type="character" w:customStyle="1" w:styleId="101">
    <w:name w:val="selected"/>
    <w:basedOn w:val="76"/>
    <w:qFormat/>
    <w:uiPriority w:val="0"/>
    <w:rPr>
      <w:shd w:val="clear" w:color="auto" w:fill="B00006"/>
    </w:rPr>
  </w:style>
  <w:style w:type="character" w:customStyle="1" w:styleId="102">
    <w:name w:val="样式 宋体 行距: 固定值 24 磅 Char"/>
    <w:link w:val="103"/>
    <w:qFormat/>
    <w:uiPriority w:val="0"/>
    <w:rPr>
      <w:rFonts w:ascii="宋体" w:hAnsi="Times New Roman"/>
      <w:color w:val="7030A0"/>
      <w:kern w:val="2"/>
      <w:sz w:val="28"/>
    </w:rPr>
  </w:style>
  <w:style w:type="paragraph" w:customStyle="1" w:styleId="103">
    <w:name w:val="样式 宋体 行距: 固定值 24 磅"/>
    <w:basedOn w:val="1"/>
    <w:link w:val="102"/>
    <w:qFormat/>
    <w:uiPriority w:val="0"/>
    <w:pPr>
      <w:spacing w:line="480" w:lineRule="exact"/>
      <w:ind w:firstLine="585" w:firstLineChars="200"/>
      <w:jc w:val="left"/>
    </w:pPr>
    <w:rPr>
      <w:rFonts w:ascii="宋体"/>
      <w:color w:val="7030A0"/>
      <w:sz w:val="28"/>
      <w:szCs w:val="20"/>
    </w:rPr>
  </w:style>
  <w:style w:type="character" w:customStyle="1" w:styleId="104">
    <w:name w:val="样式 首行缩进:  2 字符 Char1"/>
    <w:link w:val="105"/>
    <w:qFormat/>
    <w:uiPriority w:val="0"/>
    <w:rPr>
      <w:rFonts w:ascii="Times New Roman" w:hAnsi="Times New Roman"/>
      <w:color w:val="7030A0"/>
      <w:kern w:val="2"/>
      <w:sz w:val="24"/>
    </w:rPr>
  </w:style>
  <w:style w:type="paragraph" w:customStyle="1" w:styleId="105">
    <w:name w:val="样式 首行缩进:  2 字符"/>
    <w:basedOn w:val="1"/>
    <w:link w:val="104"/>
    <w:qFormat/>
    <w:uiPriority w:val="0"/>
    <w:pPr>
      <w:spacing w:line="480" w:lineRule="exact"/>
      <w:ind w:firstLine="480" w:firstLineChars="200"/>
      <w:jc w:val="left"/>
    </w:pPr>
    <w:rPr>
      <w:color w:val="7030A0"/>
      <w:sz w:val="24"/>
      <w:szCs w:val="20"/>
    </w:rPr>
  </w:style>
  <w:style w:type="character" w:customStyle="1" w:styleId="106">
    <w:name w:val="日期 Char1"/>
    <w:basedOn w:val="76"/>
    <w:semiHidden/>
    <w:qFormat/>
    <w:uiPriority w:val="99"/>
    <w:rPr>
      <w:rFonts w:ascii="Times New Roman" w:hAnsi="Times New Roman"/>
      <w:kern w:val="2"/>
      <w:sz w:val="21"/>
      <w:szCs w:val="24"/>
    </w:rPr>
  </w:style>
  <w:style w:type="character" w:customStyle="1" w:styleId="107">
    <w:name w:val="正文文本 3 字符"/>
    <w:basedOn w:val="76"/>
    <w:link w:val="29"/>
    <w:qFormat/>
    <w:uiPriority w:val="0"/>
    <w:rPr>
      <w:rFonts w:ascii="Times New Roman" w:hAnsi="Times New Roman"/>
      <w:kern w:val="2"/>
      <w:sz w:val="16"/>
      <w:szCs w:val="16"/>
    </w:rPr>
  </w:style>
  <w:style w:type="character" w:customStyle="1" w:styleId="108">
    <w:name w:val="正文－wjnew Char Char"/>
    <w:link w:val="109"/>
    <w:qFormat/>
    <w:uiPriority w:val="0"/>
    <w:rPr>
      <w:rFonts w:ascii="宋体" w:cs="宋体"/>
      <w:kern w:val="2"/>
      <w:sz w:val="21"/>
      <w:szCs w:val="21"/>
    </w:rPr>
  </w:style>
  <w:style w:type="paragraph" w:customStyle="1" w:styleId="109">
    <w:name w:val="正文－wjnew"/>
    <w:basedOn w:val="1"/>
    <w:link w:val="108"/>
    <w:qFormat/>
    <w:uiPriority w:val="0"/>
    <w:pPr>
      <w:adjustRightInd w:val="0"/>
      <w:snapToGrid w:val="0"/>
      <w:spacing w:line="360" w:lineRule="auto"/>
      <w:ind w:firstLine="420"/>
    </w:pPr>
    <w:rPr>
      <w:rFonts w:ascii="宋体"/>
      <w:szCs w:val="21"/>
    </w:rPr>
  </w:style>
  <w:style w:type="character" w:customStyle="1" w:styleId="110">
    <w:name w:val="正文缩进 字符"/>
    <w:link w:val="20"/>
    <w:qFormat/>
    <w:uiPriority w:val="0"/>
    <w:rPr>
      <w:rFonts w:ascii="宋体" w:hAnsi="Times New Roman"/>
      <w:sz w:val="24"/>
    </w:rPr>
  </w:style>
  <w:style w:type="character" w:customStyle="1" w:styleId="111">
    <w:name w:val="标题 4 Char1"/>
    <w:qFormat/>
    <w:uiPriority w:val="0"/>
    <w:rPr>
      <w:rFonts w:ascii="宋体" w:hAnsi="宋体"/>
      <w:b/>
      <w:bCs/>
      <w:kern w:val="2"/>
      <w:sz w:val="21"/>
    </w:rPr>
  </w:style>
  <w:style w:type="character" w:customStyle="1" w:styleId="112">
    <w:name w:val="(1) Char Char"/>
    <w:link w:val="113"/>
    <w:qFormat/>
    <w:uiPriority w:val="0"/>
    <w:rPr>
      <w:rFonts w:ascii="宋体" w:hAnsi="宋体"/>
      <w:kern w:val="2"/>
      <w:sz w:val="24"/>
      <w:szCs w:val="24"/>
    </w:rPr>
  </w:style>
  <w:style w:type="paragraph" w:customStyle="1" w:styleId="113">
    <w:name w:val="(1)"/>
    <w:basedOn w:val="1"/>
    <w:next w:val="1"/>
    <w:link w:val="112"/>
    <w:qFormat/>
    <w:uiPriority w:val="0"/>
    <w:pPr>
      <w:tabs>
        <w:tab w:val="left" w:pos="813"/>
      </w:tabs>
      <w:spacing w:line="360" w:lineRule="auto"/>
      <w:ind w:left="813" w:hanging="567"/>
    </w:pPr>
    <w:rPr>
      <w:rFonts w:ascii="宋体" w:hAnsi="宋体"/>
      <w:sz w:val="24"/>
    </w:rPr>
  </w:style>
  <w:style w:type="character" w:customStyle="1" w:styleId="114">
    <w:name w:val="标题 4 字符"/>
    <w:basedOn w:val="76"/>
    <w:link w:val="8"/>
    <w:qFormat/>
    <w:uiPriority w:val="0"/>
    <w:rPr>
      <w:rFonts w:ascii="Cambria" w:hAnsi="Cambria" w:eastAsia="宋体" w:cs="Times New Roman"/>
      <w:b/>
      <w:bCs/>
      <w:kern w:val="2"/>
      <w:sz w:val="28"/>
      <w:szCs w:val="28"/>
    </w:rPr>
  </w:style>
  <w:style w:type="character" w:customStyle="1" w:styleId="115">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116">
    <w:name w:val="樣式 標題 3 + (中文) MS Gothic 10.5 點 Char Char Char Char Char Char Char Char"/>
    <w:qFormat/>
    <w:uiPriority w:val="0"/>
    <w:rPr>
      <w:rFonts w:hAnsi="PMingLiU" w:eastAsia="MS Gothic"/>
      <w:snapToGrid w:val="0"/>
      <w:kern w:val="2"/>
      <w:sz w:val="24"/>
      <w:lang w:val="en-AU" w:eastAsia="zh-TW"/>
    </w:rPr>
  </w:style>
  <w:style w:type="character" w:customStyle="1" w:styleId="117">
    <w:name w:val="正文文本缩进 3 字符"/>
    <w:basedOn w:val="76"/>
    <w:link w:val="60"/>
    <w:qFormat/>
    <w:uiPriority w:val="0"/>
    <w:rPr>
      <w:rFonts w:ascii="Times New Roman" w:hAnsi="Times New Roman"/>
      <w:kern w:val="2"/>
      <w:sz w:val="21"/>
    </w:rPr>
  </w:style>
  <w:style w:type="character" w:customStyle="1" w:styleId="118">
    <w:name w:val="正文 BJ15 Char Char"/>
    <w:link w:val="119"/>
    <w:qFormat/>
    <w:uiPriority w:val="0"/>
    <w:rPr>
      <w:rFonts w:ascii="Times New Roman" w:hAnsi="Times New Roman"/>
      <w:kern w:val="2"/>
      <w:sz w:val="24"/>
      <w:szCs w:val="24"/>
    </w:rPr>
  </w:style>
  <w:style w:type="paragraph" w:customStyle="1" w:styleId="119">
    <w:name w:val="正文 BJ15"/>
    <w:basedOn w:val="1"/>
    <w:link w:val="118"/>
    <w:qFormat/>
    <w:uiPriority w:val="0"/>
    <w:pPr>
      <w:adjustRightInd w:val="0"/>
      <w:snapToGrid w:val="0"/>
      <w:spacing w:line="360" w:lineRule="auto"/>
      <w:ind w:firstLine="200" w:firstLineChars="200"/>
      <w:jc w:val="left"/>
    </w:pPr>
    <w:rPr>
      <w:sz w:val="24"/>
    </w:rPr>
  </w:style>
  <w:style w:type="character" w:customStyle="1" w:styleId="120">
    <w:name w:val="纯文本 Char Char"/>
    <w:qFormat/>
    <w:uiPriority w:val="0"/>
    <w:rPr>
      <w:rFonts w:ascii="宋体" w:hAnsi="Courier New" w:eastAsia="宋体" w:cs="Century"/>
      <w:kern w:val="2"/>
      <w:sz w:val="21"/>
      <w:szCs w:val="21"/>
      <w:lang w:val="en-US" w:eastAsia="zh-CN" w:bidi="ar-SA"/>
    </w:rPr>
  </w:style>
  <w:style w:type="character" w:customStyle="1" w:styleId="121">
    <w:name w:val="宏文本 字符"/>
    <w:basedOn w:val="76"/>
    <w:link w:val="4"/>
    <w:semiHidden/>
    <w:qFormat/>
    <w:uiPriority w:val="0"/>
    <w:rPr>
      <w:rFonts w:ascii="Courier New" w:hAnsi="Courier New" w:cs="Courier New"/>
      <w:kern w:val="2"/>
      <w:sz w:val="24"/>
      <w:szCs w:val="24"/>
      <w:lang w:val="en-US" w:eastAsia="zh-CN" w:bidi="ar-SA"/>
    </w:rPr>
  </w:style>
  <w:style w:type="character" w:customStyle="1" w:styleId="122">
    <w:name w:val="尾注文本 字符"/>
    <w:basedOn w:val="76"/>
    <w:link w:val="47"/>
    <w:qFormat/>
    <w:uiPriority w:val="0"/>
    <w:rPr>
      <w:rFonts w:ascii="Times New Roman" w:hAnsi="Times New Roman"/>
      <w:sz w:val="21"/>
      <w:szCs w:val="24"/>
    </w:rPr>
  </w:style>
  <w:style w:type="character" w:customStyle="1" w:styleId="123">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4">
    <w:name w:val="标题 2 字符"/>
    <w:basedOn w:val="76"/>
    <w:link w:val="6"/>
    <w:qFormat/>
    <w:uiPriority w:val="0"/>
    <w:rPr>
      <w:rFonts w:ascii="Arial" w:hAnsi="Arial" w:eastAsia="黑体"/>
      <w:b/>
      <w:bCs/>
      <w:kern w:val="2"/>
      <w:sz w:val="32"/>
      <w:szCs w:val="32"/>
    </w:rPr>
  </w:style>
  <w:style w:type="character" w:customStyle="1" w:styleId="125">
    <w:name w:val="正文文本 2 字符"/>
    <w:basedOn w:val="76"/>
    <w:link w:val="66"/>
    <w:qFormat/>
    <w:uiPriority w:val="0"/>
    <w:rPr>
      <w:rFonts w:ascii="Times New Roman" w:hAnsi="Times New Roman"/>
      <w:kern w:val="2"/>
      <w:sz w:val="21"/>
    </w:rPr>
  </w:style>
  <w:style w:type="character" w:customStyle="1" w:styleId="126">
    <w:name w:val="1.1 Char"/>
    <w:qFormat/>
    <w:uiPriority w:val="0"/>
    <w:rPr>
      <w:rFonts w:ascii="宋体" w:eastAsia="宋体"/>
      <w:b/>
      <w:bCs/>
      <w:kern w:val="2"/>
      <w:sz w:val="24"/>
      <w:szCs w:val="32"/>
      <w:lang w:val="en-US" w:eastAsia="zh-CN" w:bidi="ar-SA"/>
    </w:rPr>
  </w:style>
  <w:style w:type="character" w:customStyle="1" w:styleId="127">
    <w:name w:val="正文文本 Char1"/>
    <w:qFormat/>
    <w:uiPriority w:val="0"/>
    <w:rPr>
      <w:rFonts w:ascii="Times New Roman" w:hAnsi="Times New Roman"/>
      <w:kern w:val="2"/>
      <w:sz w:val="24"/>
    </w:rPr>
  </w:style>
  <w:style w:type="character" w:customStyle="1" w:styleId="128">
    <w:name w:val="普通文字 Char Char"/>
    <w:qFormat/>
    <w:uiPriority w:val="0"/>
    <w:rPr>
      <w:rFonts w:ascii="宋体" w:hAnsi="Courier New" w:eastAsia="宋体"/>
      <w:kern w:val="2"/>
      <w:sz w:val="21"/>
      <w:lang w:val="en-US" w:eastAsia="zh-CN" w:bidi="ar-SA"/>
    </w:rPr>
  </w:style>
  <w:style w:type="character" w:customStyle="1" w:styleId="129">
    <w:name w:val="信息标题 字符"/>
    <w:basedOn w:val="76"/>
    <w:link w:val="67"/>
    <w:qFormat/>
    <w:uiPriority w:val="0"/>
    <w:rPr>
      <w:rFonts w:ascii="Arial" w:hAnsi="Arial" w:cs="Arial"/>
      <w:color w:val="7030A0"/>
      <w:kern w:val="2"/>
      <w:sz w:val="24"/>
      <w:szCs w:val="24"/>
      <w:shd w:val="pct20" w:color="auto" w:fill="auto"/>
    </w:rPr>
  </w:style>
  <w:style w:type="character" w:customStyle="1" w:styleId="130">
    <w:name w:val="样式 二号 红色 边框:: (单实线 自动设置  0.5 磅 行宽)"/>
    <w:qFormat/>
    <w:uiPriority w:val="0"/>
    <w:rPr>
      <w:rFonts w:eastAsia="宋体"/>
      <w:color w:val="0000FF"/>
      <w:sz w:val="44"/>
      <w:bdr w:val="single" w:color="0000FF" w:sz="4" w:space="0"/>
    </w:rPr>
  </w:style>
  <w:style w:type="character" w:customStyle="1" w:styleId="131">
    <w:name w:val="纯文本 字符"/>
    <w:basedOn w:val="76"/>
    <w:link w:val="40"/>
    <w:qFormat/>
    <w:uiPriority w:val="99"/>
    <w:rPr>
      <w:rFonts w:ascii="宋体" w:hAnsi="Courier New" w:cs="Courier New"/>
      <w:kern w:val="2"/>
      <w:sz w:val="21"/>
      <w:szCs w:val="21"/>
    </w:rPr>
  </w:style>
  <w:style w:type="character" w:customStyle="1" w:styleId="132">
    <w:name w:val="displayarti"/>
    <w:basedOn w:val="76"/>
    <w:qFormat/>
    <w:uiPriority w:val="0"/>
    <w:rPr>
      <w:color w:val="FFFFFF"/>
      <w:shd w:val="clear" w:color="auto" w:fill="A00000"/>
    </w:rPr>
  </w:style>
  <w:style w:type="character" w:customStyle="1" w:styleId="133">
    <w:name w:val="正文－zlb Char Char"/>
    <w:link w:val="134"/>
    <w:qFormat/>
    <w:uiPriority w:val="0"/>
    <w:rPr>
      <w:rFonts w:ascii="宋体" w:cs="宋体"/>
      <w:kern w:val="2"/>
      <w:sz w:val="24"/>
      <w:szCs w:val="24"/>
    </w:rPr>
  </w:style>
  <w:style w:type="paragraph" w:customStyle="1" w:styleId="134">
    <w:name w:val="正文－zlb"/>
    <w:basedOn w:val="1"/>
    <w:link w:val="133"/>
    <w:qFormat/>
    <w:uiPriority w:val="0"/>
    <w:pPr>
      <w:adjustRightInd w:val="0"/>
      <w:snapToGrid w:val="0"/>
      <w:spacing w:line="360" w:lineRule="auto"/>
      <w:ind w:firstLine="420"/>
    </w:pPr>
    <w:rPr>
      <w:rFonts w:ascii="宋体"/>
      <w:sz w:val="24"/>
    </w:rPr>
  </w:style>
  <w:style w:type="character" w:customStyle="1" w:styleId="135">
    <w:name w:val="Char Char11"/>
    <w:qFormat/>
    <w:uiPriority w:val="0"/>
    <w:rPr>
      <w:rFonts w:eastAsia="宋体"/>
      <w:b/>
      <w:bCs/>
      <w:kern w:val="2"/>
      <w:sz w:val="24"/>
      <w:szCs w:val="24"/>
      <w:lang w:val="en-US" w:eastAsia="zh-CN" w:bidi="ar-SA"/>
    </w:rPr>
  </w:style>
  <w:style w:type="character" w:customStyle="1" w:styleId="136">
    <w:name w:val="正文（首行缩进两字） Char"/>
    <w:qFormat/>
    <w:uiPriority w:val="0"/>
    <w:rPr>
      <w:rFonts w:eastAsia="宋体"/>
      <w:sz w:val="32"/>
      <w:lang w:val="en-US" w:eastAsia="zh-CN" w:bidi="ar-SA"/>
    </w:rPr>
  </w:style>
  <w:style w:type="character" w:customStyle="1" w:styleId="137">
    <w:name w:val="正文文本缩进 2 字符"/>
    <w:basedOn w:val="76"/>
    <w:link w:val="46"/>
    <w:qFormat/>
    <w:uiPriority w:val="0"/>
    <w:rPr>
      <w:rFonts w:ascii="Times New Roman" w:hAnsi="Times New Roman"/>
      <w:kern w:val="2"/>
      <w:sz w:val="21"/>
    </w:rPr>
  </w:style>
  <w:style w:type="character" w:customStyle="1" w:styleId="138">
    <w:name w:val="正文文本缩进 Char"/>
    <w:basedOn w:val="76"/>
    <w:qFormat/>
    <w:uiPriority w:val="0"/>
    <w:rPr>
      <w:rFonts w:ascii="Times New Roman" w:hAnsi="Times New Roman"/>
      <w:kern w:val="2"/>
      <w:sz w:val="21"/>
      <w:szCs w:val="24"/>
    </w:rPr>
  </w:style>
  <w:style w:type="character" w:customStyle="1" w:styleId="139">
    <w:name w:val="标题 字符"/>
    <w:basedOn w:val="76"/>
    <w:link w:val="71"/>
    <w:qFormat/>
    <w:uiPriority w:val="0"/>
    <w:rPr>
      <w:rFonts w:ascii="Arial" w:hAnsi="Arial" w:eastAsia="楷体_GB2312"/>
      <w:b/>
      <w:sz w:val="32"/>
    </w:rPr>
  </w:style>
  <w:style w:type="character" w:customStyle="1" w:styleId="140">
    <w:name w:val="b Char"/>
    <w:qFormat/>
    <w:uiPriority w:val="0"/>
    <w:rPr>
      <w:rFonts w:eastAsia="宋体"/>
      <w:b/>
      <w:bCs/>
      <w:kern w:val="2"/>
      <w:sz w:val="28"/>
      <w:szCs w:val="28"/>
      <w:lang w:val="en-US" w:eastAsia="zh-CN" w:bidi="ar-SA"/>
    </w:rPr>
  </w:style>
  <w:style w:type="character" w:customStyle="1" w:styleId="141">
    <w:name w:val="日期 字符"/>
    <w:link w:val="45"/>
    <w:qFormat/>
    <w:uiPriority w:val="0"/>
    <w:rPr>
      <w:rFonts w:eastAsia="楷体_GB2312"/>
      <w:kern w:val="2"/>
      <w:sz w:val="30"/>
    </w:rPr>
  </w:style>
  <w:style w:type="character" w:customStyle="1" w:styleId="142">
    <w:name w:val="题注 字符"/>
    <w:link w:val="21"/>
    <w:qFormat/>
    <w:uiPriority w:val="0"/>
    <w:rPr>
      <w:rFonts w:ascii="Times New Roman" w:hAnsi="Times New Roman"/>
      <w:b/>
      <w:bCs/>
      <w:color w:val="000080"/>
      <w:kern w:val="2"/>
      <w:sz w:val="28"/>
      <w:szCs w:val="24"/>
    </w:rPr>
  </w:style>
  <w:style w:type="character" w:customStyle="1" w:styleId="143">
    <w:name w:val="正文段落格式 Char Char"/>
    <w:qFormat/>
    <w:uiPriority w:val="0"/>
    <w:rPr>
      <w:rFonts w:cs="宋体"/>
      <w:color w:val="7030A0"/>
      <w:kern w:val="2"/>
      <w:sz w:val="24"/>
    </w:rPr>
  </w:style>
  <w:style w:type="character" w:customStyle="1" w:styleId="144">
    <w:name w:val="标题 5 字符"/>
    <w:basedOn w:val="76"/>
    <w:link w:val="9"/>
    <w:semiHidden/>
    <w:qFormat/>
    <w:uiPriority w:val="9"/>
    <w:rPr>
      <w:rFonts w:ascii="Times New Roman" w:hAnsi="Times New Roman"/>
      <w:b/>
      <w:bCs/>
      <w:kern w:val="2"/>
      <w:sz w:val="28"/>
      <w:szCs w:val="28"/>
    </w:rPr>
  </w:style>
  <w:style w:type="character" w:customStyle="1" w:styleId="145">
    <w:name w:val="图表标题 BJ8 Char Char"/>
    <w:link w:val="146"/>
    <w:qFormat/>
    <w:uiPriority w:val="0"/>
    <w:rPr>
      <w:rFonts w:ascii="Times New Roman" w:hAnsi="Times New Roman" w:eastAsia="黑体"/>
      <w:kern w:val="2"/>
      <w:sz w:val="24"/>
    </w:rPr>
  </w:style>
  <w:style w:type="paragraph" w:customStyle="1" w:styleId="146">
    <w:name w:val="图表标题 BJ8"/>
    <w:basedOn w:val="1"/>
    <w:link w:val="145"/>
    <w:qFormat/>
    <w:uiPriority w:val="0"/>
    <w:pPr>
      <w:adjustRightInd w:val="0"/>
      <w:snapToGrid w:val="0"/>
      <w:ind w:firstLine="200" w:firstLineChars="200"/>
      <w:jc w:val="center"/>
    </w:pPr>
    <w:rPr>
      <w:rFonts w:eastAsia="黑体"/>
      <w:sz w:val="24"/>
      <w:szCs w:val="20"/>
    </w:rPr>
  </w:style>
  <w:style w:type="character" w:customStyle="1" w:styleId="147">
    <w:name w:val="应答文本 Char Char"/>
    <w:qFormat/>
    <w:uiPriority w:val="0"/>
    <w:rPr>
      <w:rFonts w:ascii="Arial" w:hAnsi="Arial" w:eastAsia="楷体_GB2312" w:cs="宋体"/>
      <w:spacing w:val="10"/>
      <w:sz w:val="21"/>
      <w:lang w:val="en-US" w:eastAsia="zh-CN" w:bidi="ar-SA"/>
    </w:rPr>
  </w:style>
  <w:style w:type="character" w:customStyle="1" w:styleId="148">
    <w:name w:val="列表框2 Char"/>
    <w:link w:val="149"/>
    <w:qFormat/>
    <w:uiPriority w:val="0"/>
    <w:rPr>
      <w:snapToGrid w:val="0"/>
      <w:color w:val="7030A0"/>
      <w:spacing w:val="10"/>
      <w:sz w:val="24"/>
      <w:szCs w:val="24"/>
    </w:rPr>
  </w:style>
  <w:style w:type="paragraph" w:customStyle="1" w:styleId="149">
    <w:name w:val="列表框2"/>
    <w:basedOn w:val="1"/>
    <w:link w:val="148"/>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character" w:customStyle="1" w:styleId="150">
    <w:name w:val="正文首行缩进 2 字符"/>
    <w:basedOn w:val="138"/>
    <w:link w:val="2"/>
    <w:qFormat/>
    <w:uiPriority w:val="0"/>
    <w:rPr>
      <w:rFonts w:ascii="宋体" w:hAnsi="宋体"/>
      <w:kern w:val="2"/>
      <w:sz w:val="21"/>
      <w:szCs w:val="24"/>
    </w:rPr>
  </w:style>
  <w:style w:type="character" w:customStyle="1" w:styleId="151">
    <w:name w:val="sub-dash Char"/>
    <w:qFormat/>
    <w:uiPriority w:val="0"/>
    <w:rPr>
      <w:rFonts w:ascii="Arial" w:hAnsi="Arial" w:eastAsia="黑体"/>
      <w:b/>
      <w:bCs/>
      <w:kern w:val="2"/>
      <w:sz w:val="24"/>
      <w:szCs w:val="24"/>
      <w:lang w:val="en-US" w:eastAsia="zh-CN" w:bidi="ar-SA"/>
    </w:rPr>
  </w:style>
  <w:style w:type="character" w:customStyle="1" w:styleId="152">
    <w:name w:val="五级标题格式 Char"/>
    <w:link w:val="153"/>
    <w:qFormat/>
    <w:uiPriority w:val="0"/>
    <w:rPr>
      <w:rFonts w:ascii="Times New Roman" w:hAnsi="Times New Roman"/>
      <w:b/>
      <w:bCs/>
      <w:kern w:val="2"/>
      <w:sz w:val="24"/>
      <w:szCs w:val="28"/>
    </w:rPr>
  </w:style>
  <w:style w:type="paragraph" w:customStyle="1" w:styleId="153">
    <w:name w:val="五级标题格式"/>
    <w:basedOn w:val="9"/>
    <w:link w:val="152"/>
    <w:qFormat/>
    <w:uiPriority w:val="0"/>
    <w:pPr>
      <w:keepNext w:val="0"/>
      <w:keepLines w:val="0"/>
      <w:tabs>
        <w:tab w:val="clear" w:pos="1008"/>
      </w:tabs>
      <w:spacing w:before="0" w:afterLines="50" w:line="240" w:lineRule="auto"/>
      <w:ind w:left="0" w:firstLine="0"/>
      <w:jc w:val="left"/>
    </w:pPr>
    <w:rPr>
      <w:bCs/>
      <w:sz w:val="24"/>
      <w:szCs w:val="28"/>
    </w:rPr>
  </w:style>
  <w:style w:type="character" w:customStyle="1" w:styleId="154">
    <w:name w:val="页眉 字符"/>
    <w:basedOn w:val="76"/>
    <w:link w:val="51"/>
    <w:qFormat/>
    <w:uiPriority w:val="0"/>
    <w:rPr>
      <w:rFonts w:ascii="Times New Roman" w:hAnsi="Times New Roman"/>
      <w:kern w:val="2"/>
      <w:sz w:val="18"/>
      <w:szCs w:val="18"/>
    </w:rPr>
  </w:style>
  <w:style w:type="character" w:customStyle="1" w:styleId="155">
    <w:name w:val="Char Char111"/>
    <w:qFormat/>
    <w:uiPriority w:val="0"/>
    <w:rPr>
      <w:rFonts w:eastAsia="宋体"/>
      <w:b/>
      <w:bCs/>
      <w:kern w:val="2"/>
      <w:sz w:val="24"/>
      <w:szCs w:val="24"/>
      <w:lang w:val="en-US" w:eastAsia="zh-CN" w:bidi="ar-SA"/>
    </w:rPr>
  </w:style>
  <w:style w:type="character" w:customStyle="1" w:styleId="156">
    <w:name w:val="表格文字图表文字 Char Char"/>
    <w:qFormat/>
    <w:uiPriority w:val="0"/>
    <w:rPr>
      <w:color w:val="7030A0"/>
      <w:kern w:val="2"/>
      <w:sz w:val="21"/>
    </w:rPr>
  </w:style>
  <w:style w:type="character" w:customStyle="1" w:styleId="157">
    <w:name w:val="标题 8 字符"/>
    <w:basedOn w:val="76"/>
    <w:link w:val="12"/>
    <w:qFormat/>
    <w:uiPriority w:val="0"/>
    <w:rPr>
      <w:rFonts w:ascii="Arial" w:hAnsi="Arial" w:eastAsia="黑体"/>
      <w:kern w:val="2"/>
      <w:sz w:val="24"/>
    </w:rPr>
  </w:style>
  <w:style w:type="character" w:customStyle="1" w:styleId="158">
    <w:name w:val="占位符文本1"/>
    <w:basedOn w:val="76"/>
    <w:semiHidden/>
    <w:qFormat/>
    <w:uiPriority w:val="99"/>
    <w:rPr>
      <w:color w:val="808080"/>
    </w:rPr>
  </w:style>
  <w:style w:type="character" w:customStyle="1" w:styleId="159">
    <w:name w:val="正文首行缩进 字符"/>
    <w:basedOn w:val="160"/>
    <w:link w:val="73"/>
    <w:qFormat/>
    <w:uiPriority w:val="0"/>
    <w:rPr>
      <w:rFonts w:ascii="Times New Roman" w:hAnsi="Times New Roman"/>
      <w:color w:val="7030A0"/>
      <w:kern w:val="2"/>
      <w:sz w:val="21"/>
      <w:szCs w:val="24"/>
    </w:rPr>
  </w:style>
  <w:style w:type="character" w:customStyle="1" w:styleId="160">
    <w:name w:val="正文文本 字符"/>
    <w:basedOn w:val="76"/>
    <w:link w:val="31"/>
    <w:qFormat/>
    <w:uiPriority w:val="0"/>
    <w:rPr>
      <w:rFonts w:ascii="Times New Roman" w:hAnsi="Times New Roman"/>
      <w:kern w:val="2"/>
      <w:sz w:val="21"/>
      <w:szCs w:val="24"/>
    </w:rPr>
  </w:style>
  <w:style w:type="character" w:customStyle="1" w:styleId="161">
    <w:name w:val="正文段落格式 Char"/>
    <w:link w:val="162"/>
    <w:qFormat/>
    <w:uiPriority w:val="0"/>
    <w:rPr>
      <w:rFonts w:ascii="Times New Roman" w:hAnsi="Times New Roman"/>
      <w:color w:val="7030A0"/>
      <w:kern w:val="2"/>
      <w:sz w:val="24"/>
    </w:rPr>
  </w:style>
  <w:style w:type="paragraph" w:customStyle="1" w:styleId="162">
    <w:name w:val="正文段落格式"/>
    <w:basedOn w:val="105"/>
    <w:link w:val="161"/>
    <w:qFormat/>
    <w:uiPriority w:val="0"/>
    <w:pPr>
      <w:spacing w:afterLines="50" w:line="336" w:lineRule="auto"/>
    </w:pPr>
  </w:style>
  <w:style w:type="character" w:customStyle="1" w:styleId="163">
    <w:name w:val="表格文字 BJ8 Char Char"/>
    <w:link w:val="164"/>
    <w:qFormat/>
    <w:uiPriority w:val="0"/>
    <w:rPr>
      <w:rFonts w:ascii="Times New Roman" w:hAnsi="Times New Roman"/>
      <w:kern w:val="2"/>
      <w:sz w:val="21"/>
      <w:szCs w:val="21"/>
    </w:rPr>
  </w:style>
  <w:style w:type="paragraph" w:customStyle="1" w:styleId="164">
    <w:name w:val="表格文字 BJ8"/>
    <w:basedOn w:val="1"/>
    <w:link w:val="163"/>
    <w:qFormat/>
    <w:uiPriority w:val="0"/>
    <w:pPr>
      <w:adjustRightInd w:val="0"/>
      <w:snapToGrid w:val="0"/>
      <w:spacing w:line="400" w:lineRule="exact"/>
      <w:ind w:firstLine="200" w:firstLineChars="200"/>
      <w:jc w:val="center"/>
    </w:pPr>
    <w:rPr>
      <w:szCs w:val="21"/>
    </w:rPr>
  </w:style>
  <w:style w:type="character" w:customStyle="1" w:styleId="165">
    <w:name w:val="gpa"/>
    <w:basedOn w:val="76"/>
    <w:qFormat/>
    <w:uiPriority w:val="0"/>
    <w:rPr>
      <w:rFonts w:ascii="Arial" w:hAnsi="Arial" w:cs="Arial"/>
      <w:sz w:val="12"/>
      <w:szCs w:val="12"/>
    </w:rPr>
  </w:style>
  <w:style w:type="character" w:customStyle="1" w:styleId="166">
    <w:name w:val="样式 标题 31.1条标题1.1.1二级节名h3Heading 3 - oldheading 3H3H31H3... Char"/>
    <w:link w:val="167"/>
    <w:qFormat/>
    <w:uiPriority w:val="0"/>
    <w:rPr>
      <w:rFonts w:ascii="宋体" w:hAnsi="宋体" w:eastAsia="黑体"/>
      <w:kern w:val="2"/>
      <w:sz w:val="24"/>
      <w:szCs w:val="21"/>
    </w:rPr>
  </w:style>
  <w:style w:type="paragraph" w:customStyle="1" w:styleId="167">
    <w:name w:val="样式 标题 31.1条标题1.1.1二级节名h3Heading 3 - oldheading 3H3H31H3..."/>
    <w:basedOn w:val="7"/>
    <w:link w:val="166"/>
    <w:qFormat/>
    <w:uiPriority w:val="0"/>
    <w:pPr>
      <w:keepNext w:val="0"/>
      <w:keepLines w:val="0"/>
      <w:spacing w:before="240" w:after="120" w:line="480" w:lineRule="exact"/>
      <w:jc w:val="left"/>
    </w:pPr>
    <w:rPr>
      <w:rFonts w:ascii="宋体" w:hAnsi="宋体" w:eastAsia="黑体"/>
      <w:b w:val="0"/>
      <w:bCs w:val="0"/>
      <w:sz w:val="24"/>
      <w:szCs w:val="21"/>
    </w:rPr>
  </w:style>
  <w:style w:type="character" w:customStyle="1" w:styleId="168">
    <w:name w:val="标题2 Char Char"/>
    <w:link w:val="169"/>
    <w:qFormat/>
    <w:uiPriority w:val="0"/>
    <w:rPr>
      <w:rFonts w:ascii="宋体" w:hAnsi="Times New Roman"/>
      <w:b/>
      <w:color w:val="92D050"/>
      <w:kern w:val="44"/>
      <w:sz w:val="30"/>
    </w:rPr>
  </w:style>
  <w:style w:type="paragraph" w:customStyle="1" w:styleId="169">
    <w:name w:val="标题2"/>
    <w:basedOn w:val="5"/>
    <w:link w:val="168"/>
    <w:qFormat/>
    <w:uiPriority w:val="0"/>
    <w:pPr>
      <w:spacing w:before="0" w:after="0" w:line="312" w:lineRule="auto"/>
      <w:ind w:left="0" w:firstLine="0"/>
      <w:jc w:val="center"/>
    </w:pPr>
    <w:rPr>
      <w:rFonts w:ascii="宋体"/>
      <w:bCs w:val="0"/>
      <w:color w:val="92D050"/>
      <w:sz w:val="30"/>
      <w:szCs w:val="20"/>
    </w:rPr>
  </w:style>
  <w:style w:type="character" w:customStyle="1" w:styleId="170">
    <w:name w:val="Char Char2"/>
    <w:qFormat/>
    <w:uiPriority w:val="0"/>
    <w:rPr>
      <w:rFonts w:eastAsia="仿宋_GB2312"/>
      <w:kern w:val="2"/>
      <w:sz w:val="28"/>
      <w:lang w:val="en-US" w:eastAsia="zh-CN" w:bidi="ar-SA"/>
    </w:rPr>
  </w:style>
  <w:style w:type="character" w:customStyle="1" w:styleId="171">
    <w:name w:val="标题 7 字符"/>
    <w:basedOn w:val="76"/>
    <w:link w:val="11"/>
    <w:qFormat/>
    <w:uiPriority w:val="0"/>
    <w:rPr>
      <w:rFonts w:ascii="Times New Roman" w:hAnsi="Times New Roman"/>
      <w:b/>
      <w:kern w:val="2"/>
      <w:sz w:val="24"/>
    </w:rPr>
  </w:style>
  <w:style w:type="character" w:customStyle="1" w:styleId="172">
    <w:name w:val="2 headline Char Char"/>
    <w:qFormat/>
    <w:uiPriority w:val="0"/>
    <w:rPr>
      <w:rFonts w:eastAsia="黑体"/>
      <w:bCs/>
      <w:kern w:val="2"/>
      <w:sz w:val="28"/>
      <w:szCs w:val="28"/>
      <w:lang w:val="en-US" w:eastAsia="zh-CN" w:bidi="ar-SA"/>
    </w:rPr>
  </w:style>
  <w:style w:type="character" w:customStyle="1" w:styleId="173">
    <w:name w:val="正文 QD3 Char Char"/>
    <w:link w:val="174"/>
    <w:qFormat/>
    <w:uiPriority w:val="0"/>
    <w:rPr>
      <w:rFonts w:ascii="Times New Roman" w:hAnsi="Times New Roman"/>
      <w:kern w:val="2"/>
      <w:sz w:val="24"/>
      <w:szCs w:val="24"/>
    </w:rPr>
  </w:style>
  <w:style w:type="paragraph" w:customStyle="1" w:styleId="174">
    <w:name w:val="正文 QD3"/>
    <w:basedOn w:val="1"/>
    <w:link w:val="173"/>
    <w:qFormat/>
    <w:uiPriority w:val="0"/>
    <w:pPr>
      <w:adjustRightInd w:val="0"/>
      <w:snapToGrid w:val="0"/>
      <w:spacing w:line="360" w:lineRule="auto"/>
      <w:ind w:firstLine="200" w:firstLineChars="200"/>
      <w:jc w:val="left"/>
    </w:pPr>
    <w:rPr>
      <w:sz w:val="24"/>
    </w:rPr>
  </w:style>
  <w:style w:type="character" w:customStyle="1" w:styleId="175">
    <w:name w:val="正文 BJ8 Char Char"/>
    <w:link w:val="176"/>
    <w:qFormat/>
    <w:uiPriority w:val="0"/>
    <w:rPr>
      <w:rFonts w:ascii="Times New Roman" w:hAnsi="Times New Roman"/>
      <w:color w:val="7030A0"/>
      <w:kern w:val="2"/>
      <w:sz w:val="24"/>
      <w:szCs w:val="24"/>
    </w:rPr>
  </w:style>
  <w:style w:type="paragraph" w:customStyle="1" w:styleId="176">
    <w:name w:val="正文 BJ8"/>
    <w:basedOn w:val="1"/>
    <w:link w:val="175"/>
    <w:qFormat/>
    <w:uiPriority w:val="0"/>
    <w:pPr>
      <w:adjustRightInd w:val="0"/>
      <w:snapToGrid w:val="0"/>
      <w:spacing w:line="360" w:lineRule="auto"/>
      <w:ind w:firstLine="200" w:firstLineChars="200"/>
      <w:jc w:val="left"/>
    </w:pPr>
    <w:rPr>
      <w:color w:val="7030A0"/>
      <w:sz w:val="24"/>
    </w:rPr>
  </w:style>
  <w:style w:type="character" w:customStyle="1" w:styleId="177">
    <w:name w:val="书籍标题1"/>
    <w:qFormat/>
    <w:uiPriority w:val="33"/>
    <w:rPr>
      <w:b/>
      <w:bCs/>
      <w:smallCaps/>
      <w:spacing w:val="5"/>
    </w:rPr>
  </w:style>
  <w:style w:type="character" w:customStyle="1" w:styleId="178">
    <w:name w:val="Char Char8"/>
    <w:qFormat/>
    <w:uiPriority w:val="0"/>
    <w:rPr>
      <w:rFonts w:eastAsia="宋体"/>
      <w:kern w:val="2"/>
      <w:sz w:val="21"/>
      <w:lang w:val="en-US" w:eastAsia="zh-CN" w:bidi="ar-SA"/>
    </w:rPr>
  </w:style>
  <w:style w:type="character" w:customStyle="1" w:styleId="179">
    <w:name w:val="正文文本缩进 字符"/>
    <w:link w:val="3"/>
    <w:qFormat/>
    <w:uiPriority w:val="0"/>
    <w:rPr>
      <w:rFonts w:ascii="宋体" w:hAnsi="Times New Roman"/>
      <w:kern w:val="2"/>
      <w:sz w:val="21"/>
    </w:rPr>
  </w:style>
  <w:style w:type="character" w:customStyle="1" w:styleId="180">
    <w:name w:val="正文1 Char"/>
    <w:link w:val="181"/>
    <w:qFormat/>
    <w:uiPriority w:val="0"/>
    <w:rPr>
      <w:rFonts w:ascii="Times New Roman" w:hAnsi="Times New Roman"/>
      <w:kern w:val="2"/>
      <w:sz w:val="24"/>
    </w:rPr>
  </w:style>
  <w:style w:type="paragraph" w:customStyle="1" w:styleId="181">
    <w:name w:val="正文1"/>
    <w:basedOn w:val="1"/>
    <w:link w:val="180"/>
    <w:qFormat/>
    <w:uiPriority w:val="0"/>
    <w:pPr>
      <w:tabs>
        <w:tab w:val="left" w:pos="720"/>
        <w:tab w:val="right" w:pos="1191"/>
      </w:tabs>
      <w:spacing w:line="360" w:lineRule="auto"/>
      <w:ind w:left="720" w:hanging="360"/>
    </w:pPr>
    <w:rPr>
      <w:sz w:val="24"/>
      <w:szCs w:val="20"/>
    </w:rPr>
  </w:style>
  <w:style w:type="character" w:customStyle="1" w:styleId="182">
    <w:name w:val="HTML 预设格式 字符"/>
    <w:basedOn w:val="76"/>
    <w:link w:val="68"/>
    <w:qFormat/>
    <w:uiPriority w:val="99"/>
    <w:rPr>
      <w:rFonts w:ascii="Arial" w:hAnsi="Arial"/>
      <w:sz w:val="21"/>
      <w:szCs w:val="21"/>
    </w:rPr>
  </w:style>
  <w:style w:type="character" w:customStyle="1" w:styleId="183">
    <w:name w:val="批注框文本 字符"/>
    <w:basedOn w:val="76"/>
    <w:link w:val="48"/>
    <w:qFormat/>
    <w:uiPriority w:val="0"/>
    <w:rPr>
      <w:rFonts w:ascii="Times New Roman" w:hAnsi="Times New Roman" w:eastAsia="宋体" w:cs="Times New Roman"/>
      <w:sz w:val="18"/>
      <w:szCs w:val="18"/>
    </w:rPr>
  </w:style>
  <w:style w:type="character" w:customStyle="1" w:styleId="184">
    <w:name w:val="正文1 Char Char"/>
    <w:qFormat/>
    <w:uiPriority w:val="0"/>
    <w:rPr>
      <w:rFonts w:ascii="宋体" w:hAnsi="宋体"/>
      <w:kern w:val="10"/>
      <w:sz w:val="21"/>
      <w:szCs w:val="24"/>
    </w:rPr>
  </w:style>
  <w:style w:type="character" w:customStyle="1" w:styleId="185">
    <w:name w:val="页脚 字符"/>
    <w:basedOn w:val="76"/>
    <w:link w:val="49"/>
    <w:qFormat/>
    <w:uiPriority w:val="99"/>
    <w:rPr>
      <w:rFonts w:ascii="Times New Roman" w:hAnsi="Times New Roman"/>
      <w:kern w:val="2"/>
      <w:sz w:val="18"/>
      <w:szCs w:val="18"/>
    </w:rPr>
  </w:style>
  <w:style w:type="character" w:customStyle="1" w:styleId="186">
    <w:name w:val="列表框2 Char Char"/>
    <w:qFormat/>
    <w:uiPriority w:val="0"/>
    <w:rPr>
      <w:snapToGrid/>
      <w:color w:val="7030A0"/>
      <w:spacing w:val="10"/>
      <w:sz w:val="24"/>
      <w:szCs w:val="24"/>
    </w:rPr>
  </w:style>
  <w:style w:type="character" w:customStyle="1" w:styleId="187">
    <w:name w:val="标题3 Char Char"/>
    <w:qFormat/>
    <w:uiPriority w:val="0"/>
    <w:rPr>
      <w:rFonts w:ascii="宋体" w:hAnsi="宋体"/>
      <w:b/>
      <w:bCs/>
      <w:color w:val="92D050"/>
      <w:kern w:val="44"/>
      <w:sz w:val="24"/>
      <w:szCs w:val="21"/>
    </w:rPr>
  </w:style>
  <w:style w:type="character" w:customStyle="1" w:styleId="188">
    <w:name w:val="标题 3 字符"/>
    <w:basedOn w:val="76"/>
    <w:link w:val="7"/>
    <w:qFormat/>
    <w:uiPriority w:val="0"/>
    <w:rPr>
      <w:rFonts w:ascii="Times New Roman" w:hAnsi="Times New Roman"/>
      <w:b/>
      <w:bCs/>
      <w:kern w:val="2"/>
      <w:sz w:val="32"/>
      <w:szCs w:val="32"/>
    </w:rPr>
  </w:style>
  <w:style w:type="character" w:customStyle="1" w:styleId="189">
    <w:name w:val="标题 1 字符"/>
    <w:basedOn w:val="76"/>
    <w:link w:val="5"/>
    <w:qFormat/>
    <w:uiPriority w:val="0"/>
    <w:rPr>
      <w:rFonts w:ascii="Times New Roman" w:hAnsi="Times New Roman"/>
      <w:b/>
      <w:bCs/>
      <w:kern w:val="44"/>
      <w:sz w:val="44"/>
      <w:szCs w:val="44"/>
    </w:rPr>
  </w:style>
  <w:style w:type="character" w:customStyle="1" w:styleId="190">
    <w:name w:val="标题 6 字符"/>
    <w:basedOn w:val="76"/>
    <w:link w:val="10"/>
    <w:qFormat/>
    <w:uiPriority w:val="0"/>
    <w:rPr>
      <w:rFonts w:ascii="Arial" w:hAnsi="Arial" w:eastAsia="黑体"/>
      <w:b/>
      <w:kern w:val="2"/>
      <w:sz w:val="24"/>
    </w:rPr>
  </w:style>
  <w:style w:type="character" w:customStyle="1" w:styleId="191">
    <w:name w:val="文档结构图 字符"/>
    <w:basedOn w:val="76"/>
    <w:link w:val="24"/>
    <w:qFormat/>
    <w:uiPriority w:val="0"/>
    <w:rPr>
      <w:rFonts w:ascii="宋体" w:hAnsi="Times New Roman" w:eastAsia="宋体" w:cs="Times New Roman"/>
      <w:sz w:val="18"/>
      <w:szCs w:val="18"/>
    </w:rPr>
  </w:style>
  <w:style w:type="character" w:customStyle="1" w:styleId="192">
    <w:name w:val="样式 宋体 行距: 固定值 24 磅 Char Char"/>
    <w:qFormat/>
    <w:uiPriority w:val="0"/>
    <w:rPr>
      <w:rFonts w:ascii="宋体" w:cs="宋体"/>
      <w:color w:val="7030A0"/>
      <w:kern w:val="2"/>
      <w:sz w:val="28"/>
    </w:rPr>
  </w:style>
  <w:style w:type="character" w:customStyle="1" w:styleId="193">
    <w:name w:val="样式 Char Char"/>
    <w:link w:val="194"/>
    <w:qFormat/>
    <w:uiPriority w:val="0"/>
    <w:rPr>
      <w:rFonts w:ascii="宋体" w:hAnsi="宋体" w:cs="宋体"/>
      <w:sz w:val="24"/>
      <w:szCs w:val="24"/>
      <w:lang w:val="en-US" w:eastAsia="zh-CN" w:bidi="ar-SA"/>
    </w:rPr>
  </w:style>
  <w:style w:type="paragraph" w:customStyle="1" w:styleId="194">
    <w:name w:val="样式"/>
    <w:link w:val="19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5">
    <w:name w:val="无编号正文 Char Char"/>
    <w:link w:val="196"/>
    <w:qFormat/>
    <w:uiPriority w:val="0"/>
    <w:rPr>
      <w:rFonts w:ascii="宋体" w:hAnsi="宋体"/>
      <w:sz w:val="24"/>
      <w:szCs w:val="24"/>
    </w:rPr>
  </w:style>
  <w:style w:type="paragraph" w:customStyle="1" w:styleId="196">
    <w:name w:val="无编号正文"/>
    <w:basedOn w:val="31"/>
    <w:next w:val="1"/>
    <w:link w:val="195"/>
    <w:qFormat/>
    <w:uiPriority w:val="0"/>
    <w:pPr>
      <w:ind w:left="200" w:leftChars="200" w:firstLine="200" w:firstLineChars="200"/>
    </w:pPr>
    <w:rPr>
      <w:rFonts w:ascii="宋体" w:hAnsi="宋体"/>
      <w:kern w:val="0"/>
      <w:szCs w:val="24"/>
    </w:rPr>
  </w:style>
  <w:style w:type="character" w:customStyle="1" w:styleId="197">
    <w:name w:val="表图名称 Char Char"/>
    <w:link w:val="198"/>
    <w:qFormat/>
    <w:uiPriority w:val="0"/>
    <w:rPr>
      <w:rFonts w:ascii="黑体" w:hAnsi="宋体" w:eastAsia="黑体"/>
      <w:kern w:val="2"/>
      <w:sz w:val="24"/>
      <w:szCs w:val="24"/>
      <w:lang w:val="en-US" w:eastAsia="zh-CN" w:bidi="ar-SA"/>
    </w:rPr>
  </w:style>
  <w:style w:type="paragraph" w:customStyle="1" w:styleId="198">
    <w:name w:val="表图名称"/>
    <w:link w:val="197"/>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99">
    <w:name w:val="列表框1 Char Char"/>
    <w:qFormat/>
    <w:uiPriority w:val="0"/>
    <w:rPr>
      <w:rFonts w:ascii="Arial" w:hAnsi="Arial" w:eastAsia="楷体_GB2312" w:cs="Arial"/>
      <w:spacing w:val="10"/>
      <w:sz w:val="21"/>
      <w:lang w:val="en-US" w:eastAsia="zh-CN" w:bidi="ar-SA"/>
    </w:rPr>
  </w:style>
  <w:style w:type="character" w:customStyle="1" w:styleId="200">
    <w:name w:val="表格文字图表文字 Char"/>
    <w:link w:val="201"/>
    <w:qFormat/>
    <w:uiPriority w:val="0"/>
    <w:rPr>
      <w:rFonts w:ascii="Times New Roman" w:hAnsi="Times New Roman"/>
      <w:color w:val="7030A0"/>
      <w:kern w:val="2"/>
      <w:sz w:val="21"/>
    </w:rPr>
  </w:style>
  <w:style w:type="paragraph" w:customStyle="1" w:styleId="201">
    <w:name w:val="表格文字图表文字"/>
    <w:basedOn w:val="1"/>
    <w:link w:val="200"/>
    <w:qFormat/>
    <w:uiPriority w:val="0"/>
    <w:pPr>
      <w:snapToGrid w:val="0"/>
      <w:ind w:firstLine="200" w:firstLineChars="200"/>
      <w:jc w:val="center"/>
    </w:pPr>
    <w:rPr>
      <w:color w:val="7030A0"/>
      <w:szCs w:val="20"/>
    </w:rPr>
  </w:style>
  <w:style w:type="character" w:customStyle="1" w:styleId="202">
    <w:name w:val="批注文字 Char1"/>
    <w:semiHidden/>
    <w:qFormat/>
    <w:uiPriority w:val="0"/>
    <w:rPr>
      <w:kern w:val="2"/>
      <w:sz w:val="24"/>
      <w:szCs w:val="24"/>
    </w:rPr>
  </w:style>
  <w:style w:type="paragraph" w:customStyle="1" w:styleId="203">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04">
    <w:name w:val="通用"/>
    <w:basedOn w:val="1"/>
    <w:qFormat/>
    <w:uiPriority w:val="0"/>
    <w:pPr>
      <w:spacing w:line="360" w:lineRule="auto"/>
      <w:ind w:left="840" w:leftChars="400"/>
    </w:pPr>
    <w:rPr>
      <w:rFonts w:ascii="宋体" w:hAnsi="宋体"/>
      <w:szCs w:val="20"/>
    </w:rPr>
  </w:style>
  <w:style w:type="paragraph" w:customStyle="1" w:styleId="205">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206">
    <w:name w:val="1"/>
    <w:basedOn w:val="1"/>
    <w:next w:val="66"/>
    <w:qFormat/>
    <w:uiPriority w:val="0"/>
    <w:pPr>
      <w:spacing w:after="120" w:line="480" w:lineRule="auto"/>
      <w:ind w:firstLine="200" w:firstLineChars="200"/>
      <w:jc w:val="left"/>
    </w:pPr>
    <w:rPr>
      <w:color w:val="7030A0"/>
    </w:rPr>
  </w:style>
  <w:style w:type="paragraph" w:customStyle="1" w:styleId="20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08">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09">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210">
    <w:name w:val="样式 宋体 行距: 1.5 倍行距"/>
    <w:basedOn w:val="1"/>
    <w:qFormat/>
    <w:uiPriority w:val="0"/>
    <w:pPr>
      <w:ind w:firstLine="200" w:firstLineChars="200"/>
      <w:jc w:val="left"/>
    </w:pPr>
    <w:rPr>
      <w:rFonts w:ascii="宋体" w:hAnsi="宋体"/>
      <w:color w:val="7030A0"/>
      <w:szCs w:val="20"/>
    </w:rPr>
  </w:style>
  <w:style w:type="paragraph" w:customStyle="1" w:styleId="211">
    <w:name w:val="样式 左侧:  2 字符 段前: 0.5 行"/>
    <w:basedOn w:val="1"/>
    <w:qFormat/>
    <w:uiPriority w:val="0"/>
    <w:pPr>
      <w:spacing w:beforeLines="50"/>
      <w:ind w:firstLine="200" w:firstLineChars="200"/>
    </w:pPr>
    <w:rPr>
      <w:rFonts w:ascii="宋体" w:cs="宋体"/>
      <w:sz w:val="24"/>
      <w:szCs w:val="20"/>
    </w:rPr>
  </w:style>
  <w:style w:type="paragraph" w:customStyle="1" w:styleId="212">
    <w:name w:val="八级正文格式"/>
    <w:basedOn w:val="162"/>
    <w:qFormat/>
    <w:uiPriority w:val="0"/>
    <w:pPr>
      <w:spacing w:after="120"/>
      <w:ind w:firstLine="0" w:firstLineChars="0"/>
    </w:pPr>
  </w:style>
  <w:style w:type="paragraph" w:customStyle="1" w:styleId="2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14">
    <w:name w:val="样式 样式 列表框 Char Char Char Char Char + 段后: 0.5 行 + 左侧:  6 字符 首行缩进..."/>
    <w:basedOn w:val="215"/>
    <w:qFormat/>
    <w:uiPriority w:val="0"/>
    <w:pPr>
      <w:tabs>
        <w:tab w:val="left" w:pos="420"/>
        <w:tab w:val="left" w:pos="2297"/>
      </w:tabs>
      <w:ind w:left="2297" w:leftChars="0" w:hanging="420" w:firstLineChars="0"/>
    </w:pPr>
  </w:style>
  <w:style w:type="paragraph" w:customStyle="1" w:styleId="215">
    <w:name w:val="样式 列表框 Char Char Char Char Char + 段后: 0.5 行"/>
    <w:basedOn w:val="216"/>
    <w:qFormat/>
    <w:uiPriority w:val="0"/>
    <w:pPr>
      <w:tabs>
        <w:tab w:val="left" w:pos="420"/>
      </w:tabs>
      <w:spacing w:after="156"/>
    </w:pPr>
    <w:rPr>
      <w:szCs w:val="20"/>
    </w:rPr>
  </w:style>
  <w:style w:type="paragraph" w:customStyle="1" w:styleId="216">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8">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20">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22">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23">
    <w:name w:val="批注框文本1"/>
    <w:basedOn w:val="1"/>
    <w:qFormat/>
    <w:uiPriority w:val="0"/>
    <w:rPr>
      <w:sz w:val="16"/>
      <w:szCs w:val="16"/>
    </w:rPr>
  </w:style>
  <w:style w:type="paragraph" w:customStyle="1" w:styleId="224">
    <w:name w:val="*"/>
    <w:basedOn w:val="1"/>
    <w:qFormat/>
    <w:uiPriority w:val="0"/>
    <w:pPr>
      <w:spacing w:line="360" w:lineRule="auto"/>
    </w:pPr>
    <w:rPr>
      <w:rFonts w:ascii="宋体" w:hAnsi="宋体"/>
      <w:kern w:val="0"/>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26">
    <w:name w:val="表格标题"/>
    <w:basedOn w:val="9"/>
    <w:qFormat/>
    <w:uiPriority w:val="0"/>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27">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22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29">
    <w:name w:val="表格文字"/>
    <w:basedOn w:val="201"/>
    <w:qFormat/>
    <w:uiPriority w:val="0"/>
  </w:style>
  <w:style w:type="paragraph" w:customStyle="1" w:styleId="230">
    <w:name w:val="二级标题格式"/>
    <w:basedOn w:val="6"/>
    <w:qFormat/>
    <w:uiPriority w:val="0"/>
    <w:pPr>
      <w:keepNext w:val="0"/>
      <w:keepLines w:val="0"/>
      <w:spacing w:before="0" w:afterLines="100" w:line="240" w:lineRule="auto"/>
      <w:jc w:val="left"/>
    </w:pPr>
    <w:rPr>
      <w:rFonts w:ascii="Times New Roman" w:hAnsi="Times New Roman"/>
      <w:b w:val="0"/>
      <w:color w:val="C00000"/>
      <w:sz w:val="28"/>
      <w:szCs w:val="28"/>
    </w:rPr>
  </w:style>
  <w:style w:type="paragraph" w:customStyle="1" w:styleId="231">
    <w:name w:val="样式 标题 1标题 1 1编号标题1标题1 + 宋体 加粗"/>
    <w:basedOn w:val="5"/>
    <w:qFormat/>
    <w:uiPriority w:val="0"/>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32">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3">
    <w:name w:val="列表框 Char Char Char Char Char"/>
    <w:basedOn w:val="216"/>
    <w:next w:val="216"/>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3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7">
    <w:name w:val="Sprechblasentext"/>
    <w:basedOn w:val="1"/>
    <w:qFormat/>
    <w:uiPriority w:val="0"/>
    <w:pPr>
      <w:spacing w:line="300" w:lineRule="atLeast"/>
      <w:ind w:firstLine="709"/>
    </w:pPr>
    <w:rPr>
      <w:rFonts w:ascii="Tahoma" w:hAnsi="Tahoma" w:cs="Tahoma"/>
      <w:sz w:val="16"/>
      <w:szCs w:val="16"/>
    </w:rPr>
  </w:style>
  <w:style w:type="paragraph" w:customStyle="1" w:styleId="238">
    <w:name w:val="p0"/>
    <w:basedOn w:val="1"/>
    <w:qFormat/>
    <w:uiPriority w:val="0"/>
    <w:pPr>
      <w:widowControl/>
    </w:pPr>
    <w:rPr>
      <w:kern w:val="0"/>
      <w:szCs w:val="21"/>
    </w:rPr>
  </w:style>
  <w:style w:type="paragraph" w:customStyle="1" w:styleId="239">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240">
    <w:name w:val="表格正文"/>
    <w:basedOn w:val="1"/>
    <w:next w:val="1"/>
    <w:qFormat/>
    <w:uiPriority w:val="0"/>
    <w:pPr>
      <w:adjustRightInd w:val="0"/>
      <w:snapToGrid w:val="0"/>
      <w:jc w:val="center"/>
    </w:pPr>
    <w:rPr>
      <w:color w:val="548DD4"/>
    </w:rPr>
  </w:style>
  <w:style w:type="paragraph" w:customStyle="1" w:styleId="241">
    <w:name w:val="样式1"/>
    <w:basedOn w:val="51"/>
    <w:next w:val="1"/>
    <w:qFormat/>
    <w:uiPriority w:val="0"/>
    <w:pPr>
      <w:jc w:val="left"/>
    </w:pPr>
  </w:style>
  <w:style w:type="paragraph" w:customStyle="1" w:styleId="242">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45">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24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48">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49">
    <w:name w:val="默认段落字体 Para Char Char Char Char Char Char Char"/>
    <w:basedOn w:val="1"/>
    <w:qFormat/>
    <w:uiPriority w:val="0"/>
    <w:pPr>
      <w:tabs>
        <w:tab w:val="left" w:pos="4665"/>
        <w:tab w:val="left" w:pos="8970"/>
      </w:tabs>
      <w:ind w:firstLine="400"/>
    </w:pPr>
    <w:rPr>
      <w:szCs w:val="20"/>
    </w:rPr>
  </w:style>
  <w:style w:type="paragraph" w:customStyle="1" w:styleId="250">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51">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52">
    <w:name w:val="招标文件》"/>
    <w:basedOn w:val="253"/>
    <w:qFormat/>
    <w:uiPriority w:val="0"/>
    <w:pPr>
      <w:tabs>
        <w:tab w:val="left" w:pos="560"/>
      </w:tabs>
      <w:ind w:left="200" w:firstLine="0" w:firstLineChars="0"/>
    </w:pPr>
  </w:style>
  <w:style w:type="paragraph" w:customStyle="1" w:styleId="25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54">
    <w:name w:val="Numbered List"/>
    <w:basedOn w:val="51"/>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5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56">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57">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8">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59">
    <w:name w:val="Char1 Char Char1 Char Char Char Char Char Char"/>
    <w:basedOn w:val="1"/>
    <w:qFormat/>
    <w:uiPriority w:val="0"/>
  </w:style>
  <w:style w:type="paragraph" w:customStyle="1" w:styleId="260">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1">
    <w:name w:val="样式 标题 5 + 右侧:  -0.18 字符"/>
    <w:basedOn w:val="1"/>
    <w:qFormat/>
    <w:uiPriority w:val="0"/>
    <w:pPr>
      <w:tabs>
        <w:tab w:val="left" w:pos="1008"/>
      </w:tabs>
      <w:ind w:left="1134" w:hanging="1134"/>
    </w:pPr>
  </w:style>
  <w:style w:type="paragraph" w:customStyle="1" w:styleId="262">
    <w:name w:val="xl24"/>
    <w:basedOn w:val="1"/>
    <w:qFormat/>
    <w:uiPriority w:val="0"/>
    <w:pPr>
      <w:widowControl/>
      <w:spacing w:before="100" w:beforeAutospacing="1" w:after="100" w:afterAutospacing="1"/>
      <w:jc w:val="left"/>
    </w:pPr>
    <w:rPr>
      <w:kern w:val="0"/>
      <w:sz w:val="24"/>
    </w:rPr>
  </w:style>
  <w:style w:type="paragraph" w:customStyle="1" w:styleId="263">
    <w:name w:val="xl28"/>
    <w:basedOn w:val="1"/>
    <w:qFormat/>
    <w:uiPriority w:val="0"/>
    <w:pPr>
      <w:widowControl/>
      <w:spacing w:before="100" w:beforeAutospacing="1" w:after="100" w:afterAutospacing="1"/>
      <w:jc w:val="center"/>
    </w:pPr>
    <w:rPr>
      <w:kern w:val="0"/>
      <w:sz w:val="24"/>
    </w:rPr>
  </w:style>
  <w:style w:type="paragraph" w:customStyle="1" w:styleId="264">
    <w:name w:val="默认段落字体 Para Char Char Char Char"/>
    <w:basedOn w:val="1"/>
    <w:qFormat/>
    <w:uiPriority w:val="0"/>
    <w:rPr>
      <w:szCs w:val="20"/>
    </w:rPr>
  </w:style>
  <w:style w:type="paragraph" w:customStyle="1" w:styleId="265">
    <w:name w:val="註解方塊文字"/>
    <w:basedOn w:val="1"/>
    <w:qFormat/>
    <w:uiPriority w:val="0"/>
    <w:pPr>
      <w:widowControl/>
      <w:jc w:val="left"/>
    </w:pPr>
    <w:rPr>
      <w:rFonts w:ascii="Arial" w:hAnsi="Arial" w:eastAsia="PMingLiU"/>
      <w:kern w:val="0"/>
      <w:sz w:val="18"/>
      <w:szCs w:val="18"/>
      <w:lang w:eastAsia="zh-HK"/>
    </w:rPr>
  </w:style>
  <w:style w:type="paragraph" w:customStyle="1" w:styleId="266">
    <w:name w:val="标题四"/>
    <w:basedOn w:val="267"/>
    <w:semiHidden/>
    <w:qFormat/>
    <w:uiPriority w:val="0"/>
    <w:pPr>
      <w:tabs>
        <w:tab w:val="left" w:pos="0"/>
      </w:tabs>
      <w:spacing w:line="360" w:lineRule="auto"/>
      <w:ind w:left="0"/>
    </w:pPr>
    <w:rPr>
      <w:rFonts w:ascii="Tahoma" w:hAnsi="Tahoma"/>
      <w:sz w:val="24"/>
      <w:szCs w:val="24"/>
    </w:rPr>
  </w:style>
  <w:style w:type="paragraph" w:customStyle="1" w:styleId="267">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68">
    <w:name w:val="font5"/>
    <w:basedOn w:val="1"/>
    <w:qFormat/>
    <w:uiPriority w:val="0"/>
    <w:pPr>
      <w:widowControl/>
      <w:spacing w:before="100" w:beforeAutospacing="1" w:after="100" w:afterAutospacing="1"/>
      <w:jc w:val="left"/>
    </w:pPr>
    <w:rPr>
      <w:b/>
      <w:bCs/>
      <w:kern w:val="0"/>
      <w:sz w:val="22"/>
      <w:szCs w:val="22"/>
    </w:rPr>
  </w:style>
  <w:style w:type="paragraph" w:customStyle="1" w:styleId="269">
    <w:name w:val="Char Char Char Char Char"/>
    <w:basedOn w:val="1"/>
    <w:qFormat/>
    <w:uiPriority w:val="0"/>
    <w:pPr>
      <w:ind w:firstLine="200" w:firstLineChars="200"/>
      <w:jc w:val="left"/>
    </w:pPr>
    <w:rPr>
      <w:rFonts w:ascii="Tahoma" w:hAnsi="Tahoma"/>
      <w:color w:val="7030A0"/>
      <w:sz w:val="24"/>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71">
    <w:name w:val="样式 标题 4 + 段前: 自动"/>
    <w:basedOn w:val="8"/>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72">
    <w:name w:val="顺序编号-zlb"/>
    <w:basedOn w:val="273"/>
    <w:qFormat/>
    <w:uiPriority w:val="0"/>
    <w:pPr>
      <w:tabs>
        <w:tab w:val="left" w:pos="0"/>
      </w:tabs>
      <w:ind w:firstLine="425"/>
      <w:outlineLvl w:val="8"/>
    </w:pPr>
  </w:style>
  <w:style w:type="paragraph" w:customStyle="1" w:styleId="273">
    <w:name w:val="级别4"/>
    <w:basedOn w:val="274"/>
    <w:qFormat/>
    <w:uiPriority w:val="0"/>
    <w:pPr>
      <w:tabs>
        <w:tab w:val="left" w:pos="0"/>
      </w:tabs>
      <w:outlineLvl w:val="3"/>
    </w:pPr>
    <w:rPr>
      <w:b w:val="0"/>
      <w:kern w:val="0"/>
    </w:rPr>
  </w:style>
  <w:style w:type="paragraph" w:customStyle="1" w:styleId="274">
    <w:name w:val="级别2"/>
    <w:basedOn w:val="5"/>
    <w:qFormat/>
    <w:uiPriority w:val="0"/>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7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6">
    <w:name w:val="专用"/>
    <w:basedOn w:val="1"/>
    <w:qFormat/>
    <w:uiPriority w:val="0"/>
    <w:pPr>
      <w:spacing w:afterLines="100"/>
      <w:ind w:left="838" w:hanging="838" w:hangingChars="262"/>
    </w:pPr>
    <w:rPr>
      <w:rFonts w:ascii="宋体"/>
      <w:b/>
      <w:color w:val="000000"/>
      <w:sz w:val="32"/>
      <w:szCs w:val="20"/>
    </w:rPr>
  </w:style>
  <w:style w:type="paragraph" w:customStyle="1" w:styleId="277">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8">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79">
    <w:name w:val="Sub title 1"/>
    <w:basedOn w:val="260"/>
    <w:qFormat/>
    <w:uiPriority w:val="0"/>
    <w:pPr>
      <w:tabs>
        <w:tab w:val="left" w:pos="1304"/>
      </w:tabs>
      <w:ind w:left="1304" w:hanging="170"/>
    </w:pPr>
    <w:rPr>
      <w:color w:val="auto"/>
    </w:rPr>
  </w:style>
  <w:style w:type="paragraph" w:customStyle="1" w:styleId="280">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1">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82">
    <w:name w:val="正缩2字符"/>
    <w:basedOn w:val="1"/>
    <w:qFormat/>
    <w:uiPriority w:val="0"/>
    <w:pPr>
      <w:spacing w:line="480" w:lineRule="exact"/>
      <w:ind w:firstLine="200" w:firstLineChars="200"/>
    </w:pPr>
    <w:rPr>
      <w:sz w:val="24"/>
    </w:rPr>
  </w:style>
  <w:style w:type="paragraph" w:customStyle="1" w:styleId="283">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84">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85">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级别3"/>
    <w:basedOn w:val="274"/>
    <w:qFormat/>
    <w:uiPriority w:val="0"/>
    <w:pPr>
      <w:ind w:firstLine="425"/>
      <w:outlineLvl w:val="2"/>
    </w:pPr>
    <w:rPr>
      <w:b w:val="0"/>
    </w:rPr>
  </w:style>
  <w:style w:type="paragraph" w:customStyle="1" w:styleId="288">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89">
    <w:name w:val="样式 标题 3列表编号33 bulletb23 bullet1b1213 bullet2b2223 bul...2"/>
    <w:basedOn w:val="1"/>
    <w:qFormat/>
    <w:uiPriority w:val="0"/>
    <w:pPr>
      <w:ind w:left="1320" w:hanging="420" w:firstLineChars="200"/>
      <w:jc w:val="left"/>
    </w:pPr>
    <w:rPr>
      <w:color w:val="7030A0"/>
    </w:rPr>
  </w:style>
  <w:style w:type="paragraph" w:customStyle="1" w:styleId="290">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1">
    <w:name w:val="附图 BJ8"/>
    <w:basedOn w:val="1"/>
    <w:qFormat/>
    <w:uiPriority w:val="0"/>
    <w:pPr>
      <w:adjustRightInd w:val="0"/>
      <w:snapToGrid w:val="0"/>
      <w:ind w:firstLine="200" w:firstLineChars="200"/>
      <w:jc w:val="center"/>
    </w:pPr>
    <w:rPr>
      <w:rFonts w:hAnsi="Arial"/>
      <w:color w:val="7030A0"/>
      <w:kern w:val="0"/>
    </w:rPr>
  </w:style>
  <w:style w:type="paragraph" w:customStyle="1" w:styleId="292">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3">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94">
    <w:name w:val="Report Level 1"/>
    <w:basedOn w:val="1"/>
    <w:next w:val="295"/>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95">
    <w:name w:val="Report Text"/>
    <w:basedOn w:val="1"/>
    <w:qFormat/>
    <w:uiPriority w:val="0"/>
    <w:pPr>
      <w:widowControl/>
      <w:spacing w:after="138"/>
      <w:ind w:left="1080" w:firstLine="200" w:firstLineChars="200"/>
      <w:jc w:val="left"/>
    </w:pPr>
    <w:rPr>
      <w:color w:val="7030A0"/>
      <w:kern w:val="0"/>
      <w:sz w:val="22"/>
      <w:szCs w:val="20"/>
      <w:lang w:val="en-GB" w:eastAsia="en-US"/>
    </w:rPr>
  </w:style>
  <w:style w:type="paragraph" w:customStyle="1" w:styleId="296">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7">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9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99">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0">
    <w:name w:val="级别5"/>
    <w:basedOn w:val="273"/>
    <w:qFormat/>
    <w:uiPriority w:val="0"/>
    <w:pPr>
      <w:outlineLvl w:val="4"/>
    </w:pPr>
  </w:style>
  <w:style w:type="paragraph" w:customStyle="1" w:styleId="30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02">
    <w:name w:val="级别1"/>
    <w:basedOn w:val="5"/>
    <w:qFormat/>
    <w:uiPriority w:val="0"/>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03">
    <w:name w:val="纯文本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04">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5">
    <w:name w:val="标准"/>
    <w:basedOn w:val="1"/>
    <w:qFormat/>
    <w:uiPriority w:val="0"/>
    <w:pPr>
      <w:adjustRightInd w:val="0"/>
      <w:spacing w:line="312" w:lineRule="atLeast"/>
      <w:jc w:val="center"/>
      <w:textAlignment w:val="baseline"/>
    </w:pPr>
    <w:rPr>
      <w:kern w:val="24"/>
      <w:sz w:val="24"/>
    </w:rPr>
  </w:style>
  <w:style w:type="paragraph" w:customStyle="1" w:styleId="306">
    <w:name w:val="1.1"/>
    <w:basedOn w:val="6"/>
    <w:qFormat/>
    <w:uiPriority w:val="0"/>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07">
    <w:name w:val="Char Char Char Char"/>
    <w:basedOn w:val="24"/>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08">
    <w:name w:val="标题2 Char"/>
    <w:basedOn w:val="6"/>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09">
    <w:name w:val="样式 标题2 + 字距调整8 磅"/>
    <w:basedOn w:val="308"/>
    <w:qFormat/>
    <w:uiPriority w:val="0"/>
    <w:pPr>
      <w:tabs>
        <w:tab w:val="clear" w:pos="709"/>
      </w:tabs>
    </w:pPr>
    <w:rPr>
      <w:kern w:val="16"/>
    </w:rPr>
  </w:style>
  <w:style w:type="paragraph" w:customStyle="1" w:styleId="310">
    <w:name w:val="Char Char Char Char Char Char1 Char Char Char Char"/>
    <w:basedOn w:val="1"/>
    <w:qFormat/>
    <w:uiPriority w:val="0"/>
    <w:rPr>
      <w:rFonts w:ascii="仿宋_GB2312" w:eastAsia="仿宋_GB2312"/>
      <w:b/>
      <w:sz w:val="32"/>
      <w:szCs w:val="32"/>
    </w:rPr>
  </w:style>
  <w:style w:type="paragraph" w:customStyle="1" w:styleId="311">
    <w:name w:val="xl32"/>
    <w:basedOn w:val="1"/>
    <w:qFormat/>
    <w:uiPriority w:val="0"/>
    <w:pPr>
      <w:widowControl/>
      <w:spacing w:before="100" w:beforeAutospacing="1" w:after="100" w:afterAutospacing="1"/>
      <w:jc w:val="center"/>
    </w:pPr>
    <w:rPr>
      <w:b/>
      <w:bCs/>
      <w:kern w:val="0"/>
      <w:sz w:val="24"/>
      <w:u w:val="single"/>
    </w:rPr>
  </w:style>
  <w:style w:type="paragraph" w:customStyle="1" w:styleId="3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1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15">
    <w:name w:val="级别6"/>
    <w:basedOn w:val="300"/>
    <w:qFormat/>
    <w:uiPriority w:val="0"/>
    <w:pPr>
      <w:tabs>
        <w:tab w:val="left" w:pos="405"/>
        <w:tab w:val="clear" w:pos="0"/>
      </w:tabs>
      <w:ind w:left="409" w:hanging="23"/>
      <w:outlineLvl w:val="5"/>
    </w:pPr>
  </w:style>
  <w:style w:type="paragraph" w:customStyle="1" w:styleId="316">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17">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8">
    <w:name w:val="样式 标题 2标题 1.1head:2#2 headlinehheadlineS&amp;R2ERMH2Head 2 +..."/>
    <w:basedOn w:val="6"/>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3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0">
    <w:name w:val="样式4"/>
    <w:basedOn w:val="1"/>
    <w:next w:val="6"/>
    <w:qFormat/>
    <w:uiPriority w:val="0"/>
    <w:pPr>
      <w:tabs>
        <w:tab w:val="left" w:pos="360"/>
      </w:tabs>
      <w:spacing w:line="360" w:lineRule="auto"/>
      <w:ind w:left="360" w:hanging="360"/>
    </w:pPr>
    <w:rPr>
      <w:rFonts w:ascii="宋体" w:hAnsi="宋体"/>
      <w:b/>
      <w:sz w:val="28"/>
      <w:szCs w:val="20"/>
    </w:rPr>
  </w:style>
  <w:style w:type="paragraph" w:customStyle="1" w:styleId="321">
    <w:name w:val="一"/>
    <w:basedOn w:val="5"/>
    <w:qFormat/>
    <w:uiPriority w:val="0"/>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3">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25">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6">
    <w:name w:val="三点段 Char"/>
    <w:basedOn w:val="1"/>
    <w:qFormat/>
    <w:uiPriority w:val="0"/>
    <w:pPr>
      <w:spacing w:line="360" w:lineRule="auto"/>
      <w:ind w:left="1200" w:hanging="1200" w:hangingChars="500"/>
    </w:pPr>
    <w:rPr>
      <w:rFonts w:hint="eastAsia" w:ascii="宋体"/>
      <w:sz w:val="24"/>
    </w:rPr>
  </w:style>
  <w:style w:type="paragraph" w:customStyle="1" w:styleId="327">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328">
    <w:name w:val="小标题一"/>
    <w:basedOn w:val="1"/>
    <w:next w:val="1"/>
    <w:qFormat/>
    <w:uiPriority w:val="0"/>
    <w:pPr>
      <w:tabs>
        <w:tab w:val="left" w:pos="1080"/>
      </w:tabs>
      <w:spacing w:line="500" w:lineRule="exact"/>
      <w:ind w:left="1080" w:hanging="1080"/>
    </w:pPr>
    <w:rPr>
      <w:sz w:val="28"/>
      <w:szCs w:val="20"/>
    </w:rPr>
  </w:style>
  <w:style w:type="paragraph" w:customStyle="1" w:styleId="329">
    <w:name w:val="Char"/>
    <w:basedOn w:val="1"/>
    <w:qFormat/>
    <w:uiPriority w:val="0"/>
    <w:rPr>
      <w:rFonts w:ascii="仿宋_GB2312" w:eastAsia="仿宋_GB2312"/>
      <w:b/>
      <w:sz w:val="32"/>
      <w:szCs w:val="32"/>
    </w:rPr>
  </w:style>
  <w:style w:type="paragraph" w:customStyle="1" w:styleId="330">
    <w:name w:val="文档正文"/>
    <w:basedOn w:val="1"/>
    <w:qFormat/>
    <w:uiPriority w:val="0"/>
    <w:pPr>
      <w:spacing w:line="360" w:lineRule="auto"/>
      <w:ind w:firstLine="200" w:firstLineChars="200"/>
    </w:pPr>
    <w:rPr>
      <w:rFonts w:ascii="宋体" w:hAnsi="宋体"/>
      <w:sz w:val="24"/>
    </w:rPr>
  </w:style>
  <w:style w:type="paragraph" w:customStyle="1" w:styleId="331">
    <w:name w:val="标题1"/>
    <w:basedOn w:val="5"/>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32">
    <w:name w:val="合同书"/>
    <w:basedOn w:val="1"/>
    <w:qFormat/>
    <w:uiPriority w:val="0"/>
    <w:pPr>
      <w:spacing w:afterLines="100"/>
      <w:jc w:val="center"/>
    </w:pPr>
    <w:rPr>
      <w:rFonts w:hAnsi="宋体"/>
      <w:b/>
      <w:color w:val="000000"/>
      <w:sz w:val="44"/>
      <w:szCs w:val="44"/>
    </w:rPr>
  </w:style>
  <w:style w:type="paragraph" w:customStyle="1" w:styleId="333">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3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3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36">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7">
    <w:name w:val="Char Char Char Char Char Char Char"/>
    <w:basedOn w:val="1"/>
    <w:qFormat/>
    <w:uiPriority w:val="0"/>
    <w:rPr>
      <w:rFonts w:ascii="仿宋_GB2312" w:eastAsia="仿宋_GB2312"/>
      <w:b/>
      <w:sz w:val="32"/>
      <w:szCs w:val="32"/>
    </w:rPr>
  </w:style>
  <w:style w:type="paragraph" w:customStyle="1" w:styleId="338">
    <w:name w:val="样式 目录 1 + 左侧:  3 字符"/>
    <w:basedOn w:val="52"/>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339">
    <w:name w:val="章节标题 BJ8"/>
    <w:basedOn w:val="176"/>
    <w:next w:val="176"/>
    <w:qFormat/>
    <w:uiPriority w:val="0"/>
    <w:pPr>
      <w:ind w:firstLine="0" w:firstLineChars="0"/>
      <w:jc w:val="center"/>
    </w:pPr>
    <w:rPr>
      <w:rFonts w:eastAsia="黑体"/>
      <w:b/>
      <w:sz w:val="44"/>
      <w:szCs w:val="84"/>
    </w:rPr>
  </w:style>
  <w:style w:type="paragraph" w:customStyle="1" w:styleId="340">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41">
    <w:name w:val="表格"/>
    <w:basedOn w:val="1"/>
    <w:qFormat/>
    <w:uiPriority w:val="0"/>
    <w:pPr>
      <w:widowControl/>
      <w:snapToGrid w:val="0"/>
      <w:spacing w:before="60" w:after="60"/>
      <w:jc w:val="left"/>
    </w:pPr>
    <w:rPr>
      <w:rFonts w:ascii="宋体"/>
      <w:sz w:val="20"/>
      <w:szCs w:val="20"/>
    </w:rPr>
  </w:style>
  <w:style w:type="paragraph" w:customStyle="1" w:styleId="34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5">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46">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47">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48">
    <w:name w:val="青岛正文"/>
    <w:basedOn w:val="1"/>
    <w:qFormat/>
    <w:uiPriority w:val="0"/>
    <w:pPr>
      <w:spacing w:line="360" w:lineRule="auto"/>
    </w:pPr>
    <w:rPr>
      <w:sz w:val="28"/>
    </w:rPr>
  </w:style>
  <w:style w:type="paragraph" w:customStyle="1" w:styleId="349">
    <w:name w:val="样式 样式 列表框 Char Char Char Char Char + 右侧:  -0.05 字符 段后: 0.5 行 + 右..."/>
    <w:basedOn w:val="350"/>
    <w:qFormat/>
    <w:uiPriority w:val="0"/>
    <w:pPr>
      <w:tabs>
        <w:tab w:val="left" w:pos="375"/>
        <w:tab w:val="left" w:pos="630"/>
      </w:tabs>
    </w:pPr>
  </w:style>
  <w:style w:type="paragraph" w:customStyle="1" w:styleId="350">
    <w:name w:val="样式 列表框 Char Char Char Char Char + 右侧:  -0.05 字符 段后: 0.5 行"/>
    <w:basedOn w:val="233"/>
    <w:qFormat/>
    <w:uiPriority w:val="0"/>
    <w:pPr>
      <w:tabs>
        <w:tab w:val="left" w:pos="375"/>
        <w:tab w:val="clear" w:pos="450"/>
        <w:tab w:val="clear" w:pos="874"/>
      </w:tabs>
      <w:ind w:left="0" w:firstLine="0"/>
    </w:pPr>
    <w:rPr>
      <w:szCs w:val="20"/>
    </w:rPr>
  </w:style>
  <w:style w:type="paragraph" w:customStyle="1" w:styleId="351">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52">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3">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3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5">
    <w:name w:val="修订1"/>
    <w:qFormat/>
    <w:uiPriority w:val="0"/>
    <w:rPr>
      <w:rFonts w:ascii="Times New Roman" w:hAnsi="Times New Roman" w:eastAsia="宋体" w:cs="Times New Roman"/>
      <w:kern w:val="2"/>
      <w:sz w:val="21"/>
      <w:lang w:val="en-US" w:eastAsia="zh-CN" w:bidi="ar-SA"/>
    </w:rPr>
  </w:style>
  <w:style w:type="paragraph" w:customStyle="1" w:styleId="356">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57">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8">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59">
    <w:name w:val="样式 标题 2标题 1.1编号标题2head:2#2 headlinehheadlineS&amp;R2ERMH2He..."/>
    <w:basedOn w:val="6"/>
    <w:qFormat/>
    <w:uiPriority w:val="0"/>
    <w:pPr>
      <w:keepNext w:val="0"/>
      <w:keepLines w:val="0"/>
      <w:spacing w:before="120" w:after="120" w:line="500" w:lineRule="exact"/>
      <w:jc w:val="left"/>
    </w:pPr>
    <w:rPr>
      <w:rFonts w:cs="宋体"/>
      <w:color w:val="C00000"/>
      <w:kern w:val="44"/>
      <w:sz w:val="28"/>
      <w:szCs w:val="20"/>
    </w:rPr>
  </w:style>
  <w:style w:type="paragraph" w:customStyle="1" w:styleId="360">
    <w:name w:val="章节标题 QD3"/>
    <w:basedOn w:val="174"/>
    <w:next w:val="174"/>
    <w:qFormat/>
    <w:uiPriority w:val="0"/>
    <w:pPr>
      <w:ind w:firstLine="0" w:firstLineChars="0"/>
      <w:jc w:val="center"/>
    </w:pPr>
    <w:rPr>
      <w:rFonts w:eastAsia="黑体"/>
      <w:b/>
      <w:sz w:val="44"/>
      <w:szCs w:val="84"/>
    </w:rPr>
  </w:style>
  <w:style w:type="paragraph" w:customStyle="1" w:styleId="361">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62">
    <w:name w:val="xiao b"/>
    <w:basedOn w:val="1"/>
    <w:qFormat/>
    <w:uiPriority w:val="0"/>
    <w:pPr>
      <w:ind w:firstLine="200" w:firstLineChars="200"/>
      <w:jc w:val="center"/>
    </w:pPr>
    <w:rPr>
      <w:rFonts w:eastAsia="黑体"/>
      <w:color w:val="7030A0"/>
      <w:sz w:val="24"/>
      <w:szCs w:val="20"/>
    </w:rPr>
  </w:style>
  <w:style w:type="paragraph" w:customStyle="1" w:styleId="363">
    <w:name w:val="样式 标题 4 + 加粗"/>
    <w:basedOn w:val="8"/>
    <w:qFormat/>
    <w:uiPriority w:val="0"/>
    <w:pPr>
      <w:keepNext w:val="0"/>
      <w:keepLines w:val="0"/>
      <w:spacing w:before="120" w:after="0" w:line="240" w:lineRule="auto"/>
      <w:jc w:val="left"/>
    </w:pPr>
    <w:rPr>
      <w:rFonts w:ascii="Times New Roman" w:hAnsi="Times New Roman"/>
      <w:b w:val="0"/>
      <w:color w:val="00B050"/>
      <w:sz w:val="24"/>
    </w:rPr>
  </w:style>
  <w:style w:type="paragraph" w:customStyle="1" w:styleId="364">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5">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66">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7">
    <w:name w:val="正文2"/>
    <w:basedOn w:val="31"/>
    <w:qFormat/>
    <w:uiPriority w:val="0"/>
    <w:pPr>
      <w:ind w:firstLine="480" w:firstLineChars="200"/>
      <w:jc w:val="left"/>
    </w:pPr>
    <w:rPr>
      <w:rFonts w:ascii="宋体"/>
      <w:color w:val="7030A0"/>
      <w:szCs w:val="24"/>
    </w:rPr>
  </w:style>
  <w:style w:type="paragraph" w:customStyle="1" w:styleId="368">
    <w:name w:val="列表框1"/>
    <w:basedOn w:val="304"/>
    <w:next w:val="304"/>
    <w:qFormat/>
    <w:uiPriority w:val="0"/>
    <w:pPr>
      <w:tabs>
        <w:tab w:val="left" w:pos="960"/>
        <w:tab w:val="left" w:pos="1314"/>
      </w:tabs>
      <w:snapToGrid w:val="0"/>
      <w:ind w:left="1328" w:leftChars="397" w:hanging="375" w:hangingChars="163"/>
    </w:pPr>
    <w:rPr>
      <w:rFonts w:cs="Arial"/>
    </w:rPr>
  </w:style>
  <w:style w:type="paragraph" w:customStyle="1" w:styleId="369">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70">
    <w:name w:val="五级"/>
    <w:basedOn w:val="6"/>
    <w:qFormat/>
    <w:uiPriority w:val="0"/>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371">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72">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3">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74">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75">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76">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7">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78">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379">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80">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81">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82">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83">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84">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5">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6">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7">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8">
    <w:name w:val="样式 目录 1"/>
    <w:basedOn w:val="52"/>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89">
    <w:name w:val="A-12"/>
    <w:basedOn w:val="1"/>
    <w:qFormat/>
    <w:uiPriority w:val="0"/>
    <w:pPr>
      <w:widowControl/>
      <w:ind w:firstLine="200" w:firstLineChars="200"/>
      <w:jc w:val="left"/>
    </w:pPr>
    <w:rPr>
      <w:rFonts w:ascii="Arial" w:hAnsi="Arial"/>
      <w:color w:val="7030A0"/>
      <w:kern w:val="0"/>
      <w:sz w:val="24"/>
      <w:szCs w:val="20"/>
      <w:lang w:val="en-GB"/>
    </w:rPr>
  </w:style>
  <w:style w:type="paragraph" w:customStyle="1" w:styleId="390">
    <w:name w:val="样式 样式 样式 宋体 小四 左侧:  1.85 厘米 段前: 11.15 磅 段后: 11.15 磅 + 图案: 清除 (白色..."/>
    <w:basedOn w:val="284"/>
    <w:qFormat/>
    <w:uiPriority w:val="0"/>
    <w:pPr>
      <w:spacing w:beforeLines="50" w:afterLines="50"/>
      <w:ind w:left="318"/>
    </w:pPr>
    <w:rPr>
      <w:szCs w:val="20"/>
    </w:rPr>
  </w:style>
  <w:style w:type="paragraph" w:customStyle="1" w:styleId="391">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92">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93">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94">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95">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96">
    <w:name w:val="三级条标题"/>
    <w:basedOn w:val="397"/>
    <w:next w:val="1"/>
    <w:qFormat/>
    <w:uiPriority w:val="0"/>
    <w:pPr>
      <w:tabs>
        <w:tab w:val="left" w:pos="425"/>
      </w:tabs>
      <w:outlineLvl w:val="4"/>
    </w:pPr>
  </w:style>
  <w:style w:type="paragraph" w:customStyle="1" w:styleId="397">
    <w:name w:val="二级条标题"/>
    <w:basedOn w:val="393"/>
    <w:next w:val="1"/>
    <w:qFormat/>
    <w:uiPriority w:val="0"/>
    <w:pPr>
      <w:tabs>
        <w:tab w:val="clear" w:pos="525"/>
      </w:tabs>
      <w:ind w:firstLine="0" w:firstLineChars="0"/>
      <w:outlineLvl w:val="3"/>
    </w:pPr>
  </w:style>
  <w:style w:type="paragraph" w:customStyle="1" w:styleId="398">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99">
    <w:name w:val="四级条标题"/>
    <w:basedOn w:val="396"/>
    <w:next w:val="1"/>
    <w:qFormat/>
    <w:uiPriority w:val="0"/>
    <w:pPr>
      <w:outlineLvl w:val="5"/>
    </w:pPr>
  </w:style>
  <w:style w:type="paragraph" w:customStyle="1" w:styleId="400">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01">
    <w:name w:val="附图 BJ15"/>
    <w:basedOn w:val="1"/>
    <w:qFormat/>
    <w:uiPriority w:val="0"/>
    <w:pPr>
      <w:adjustRightInd w:val="0"/>
      <w:snapToGrid w:val="0"/>
      <w:ind w:firstLine="200" w:firstLineChars="200"/>
      <w:jc w:val="center"/>
    </w:pPr>
    <w:rPr>
      <w:rFonts w:hAnsi="Arial"/>
      <w:color w:val="7030A0"/>
      <w:kern w:val="0"/>
    </w:rPr>
  </w:style>
  <w:style w:type="paragraph" w:customStyle="1" w:styleId="402">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3">
    <w:name w:val="TOC 标题1"/>
    <w:basedOn w:val="5"/>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04">
    <w:name w:val="Report Level 2"/>
    <w:basedOn w:val="294"/>
    <w:next w:val="295"/>
    <w:qFormat/>
    <w:uiPriority w:val="0"/>
    <w:pPr>
      <w:tabs>
        <w:tab w:val="left" w:pos="1500"/>
        <w:tab w:val="clear" w:pos="1080"/>
      </w:tabs>
      <w:ind w:left="1500"/>
      <w:outlineLvl w:val="1"/>
    </w:pPr>
    <w:rPr>
      <w:caps w:val="0"/>
    </w:rPr>
  </w:style>
  <w:style w:type="paragraph" w:customStyle="1" w:styleId="405">
    <w:name w:val="Report Level 3"/>
    <w:basedOn w:val="294"/>
    <w:next w:val="295"/>
    <w:qFormat/>
    <w:uiPriority w:val="0"/>
    <w:pPr>
      <w:tabs>
        <w:tab w:val="left" w:pos="1889"/>
        <w:tab w:val="clear" w:pos="1080"/>
      </w:tabs>
      <w:spacing w:before="120"/>
      <w:ind w:left="1889" w:hanging="420"/>
      <w:outlineLvl w:val="2"/>
    </w:pPr>
    <w:rPr>
      <w:caps w:val="0"/>
      <w:sz w:val="20"/>
    </w:rPr>
  </w:style>
  <w:style w:type="paragraph" w:customStyle="1" w:styleId="406">
    <w:name w:val="Report Level 4"/>
    <w:basedOn w:val="405"/>
    <w:next w:val="295"/>
    <w:qFormat/>
    <w:uiPriority w:val="0"/>
    <w:pPr>
      <w:tabs>
        <w:tab w:val="left" w:pos="720"/>
        <w:tab w:val="left" w:pos="2309"/>
        <w:tab w:val="clear" w:pos="1889"/>
      </w:tabs>
      <w:ind w:left="720" w:hanging="720"/>
      <w:outlineLvl w:val="3"/>
    </w:pPr>
    <w:rPr>
      <w:rFonts w:ascii="Times New Roman" w:hAnsi="Times New Roman"/>
    </w:rPr>
  </w:style>
  <w:style w:type="paragraph" w:customStyle="1" w:styleId="407">
    <w:name w:val="样式3"/>
    <w:basedOn w:val="7"/>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08">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409">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410">
    <w:name w:val="表格文字格式"/>
    <w:basedOn w:val="1"/>
    <w:qFormat/>
    <w:uiPriority w:val="0"/>
    <w:pPr>
      <w:snapToGrid w:val="0"/>
      <w:jc w:val="center"/>
    </w:pPr>
    <w:rPr>
      <w:rFonts w:cs="宋体"/>
      <w:szCs w:val="20"/>
    </w:rPr>
  </w:style>
  <w:style w:type="paragraph" w:customStyle="1" w:styleId="411">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2">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413">
    <w:name w:val="五级条标题"/>
    <w:basedOn w:val="399"/>
    <w:next w:val="1"/>
    <w:qFormat/>
    <w:uiPriority w:val="0"/>
    <w:pPr>
      <w:outlineLvl w:val="6"/>
    </w:pPr>
  </w:style>
  <w:style w:type="paragraph" w:customStyle="1" w:styleId="414">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15">
    <w:name w:val="註解方塊文字2"/>
    <w:basedOn w:val="1"/>
    <w:semiHidden/>
    <w:qFormat/>
    <w:uiPriority w:val="0"/>
    <w:rPr>
      <w:rFonts w:ascii="Arial" w:hAnsi="Arial" w:eastAsia="PMingLiU"/>
      <w:color w:val="7030A0"/>
      <w:sz w:val="18"/>
      <w:szCs w:val="18"/>
    </w:rPr>
  </w:style>
  <w:style w:type="paragraph" w:customStyle="1" w:styleId="416">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17">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18">
    <w:name w:val="三级标题格式"/>
    <w:basedOn w:val="7"/>
    <w:qFormat/>
    <w:uiPriority w:val="0"/>
    <w:pPr>
      <w:keepNext w:val="0"/>
      <w:keepLines w:val="0"/>
      <w:spacing w:before="0" w:afterLines="100" w:line="240" w:lineRule="auto"/>
      <w:jc w:val="left"/>
    </w:pPr>
    <w:rPr>
      <w:rFonts w:eastAsia="黑体"/>
      <w:b w:val="0"/>
      <w:sz w:val="28"/>
      <w:szCs w:val="28"/>
    </w:rPr>
  </w:style>
  <w:style w:type="table" w:customStyle="1" w:styleId="419">
    <w:name w:val="样式-表格"/>
    <w:basedOn w:val="74"/>
    <w:qFormat/>
    <w:uiPriority w:val="0"/>
    <w:rPr>
      <w:sz w:val="21"/>
    </w:rPr>
    <w:tblPr>
      <w:jc w:val="center"/>
    </w:tblPr>
    <w:trPr>
      <w:jc w:val="center"/>
    </w:trPr>
    <w:tcPr>
      <w:vAlign w:val="center"/>
    </w:tcPr>
  </w:style>
  <w:style w:type="character" w:customStyle="1" w:styleId="420">
    <w:name w:val="正文缩进 Char Char"/>
    <w:link w:val="421"/>
    <w:qFormat/>
    <w:uiPriority w:val="0"/>
    <w:rPr>
      <w:kern w:val="2"/>
      <w:sz w:val="21"/>
      <w:szCs w:val="24"/>
    </w:rPr>
  </w:style>
  <w:style w:type="paragraph" w:customStyle="1" w:styleId="421">
    <w:name w:val="正文缩进1"/>
    <w:basedOn w:val="1"/>
    <w:link w:val="420"/>
    <w:qFormat/>
    <w:uiPriority w:val="0"/>
    <w:pPr>
      <w:spacing w:line="360" w:lineRule="auto"/>
      <w:ind w:firstLine="420"/>
    </w:pPr>
  </w:style>
  <w:style w:type="paragraph" w:customStyle="1" w:styleId="422">
    <w:name w:val="图文"/>
    <w:basedOn w:val="1"/>
    <w:qFormat/>
    <w:uiPriority w:val="0"/>
    <w:pPr>
      <w:adjustRightInd w:val="0"/>
      <w:snapToGrid w:val="0"/>
      <w:spacing w:after="50" w:line="360" w:lineRule="auto"/>
    </w:pPr>
    <w:rPr>
      <w:sz w:val="24"/>
    </w:rPr>
  </w:style>
  <w:style w:type="paragraph" w:styleId="423">
    <w:name w:val="List Paragraph"/>
    <w:basedOn w:val="1"/>
    <w:unhideWhenUsed/>
    <w:qFormat/>
    <w:uiPriority w:val="34"/>
    <w:pPr>
      <w:ind w:firstLine="420" w:firstLineChars="200"/>
    </w:pPr>
  </w:style>
  <w:style w:type="character" w:customStyle="1" w:styleId="424">
    <w:name w:val="Char Char"/>
    <w:basedOn w:val="76"/>
    <w:qFormat/>
    <w:uiPriority w:val="0"/>
    <w:rPr>
      <w:rFonts w:ascii="Arial" w:hAnsi="Arial" w:eastAsia="黑体"/>
      <w:b/>
      <w:bCs/>
      <w:kern w:val="2"/>
      <w:sz w:val="32"/>
      <w:szCs w:val="32"/>
      <w:lang w:val="en-US" w:eastAsia="zh-CN" w:bidi="ar-SA"/>
    </w:rPr>
  </w:style>
  <w:style w:type="character" w:customStyle="1" w:styleId="425">
    <w:name w:val="font161"/>
    <w:basedOn w:val="76"/>
    <w:qFormat/>
    <w:uiPriority w:val="0"/>
    <w:rPr>
      <w:b/>
      <w:bCs/>
      <w:sz w:val="32"/>
      <w:szCs w:val="32"/>
    </w:rPr>
  </w:style>
  <w:style w:type="character" w:customStyle="1" w:styleId="426">
    <w:name w:val="Char Char7"/>
    <w:basedOn w:val="76"/>
    <w:qFormat/>
    <w:uiPriority w:val="0"/>
    <w:rPr>
      <w:rFonts w:ascii="Arial" w:hAnsi="Arial" w:eastAsia="黑体"/>
      <w:b/>
      <w:bCs/>
      <w:kern w:val="2"/>
      <w:sz w:val="32"/>
      <w:szCs w:val="32"/>
      <w:lang w:val="en-US" w:eastAsia="zh-CN" w:bidi="ar-SA"/>
    </w:rPr>
  </w:style>
  <w:style w:type="paragraph" w:customStyle="1" w:styleId="42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8">
    <w:name w:val="样式 标题 1 + 黑体 三号 非加粗 居中 段前: 6 磅 段后: 6 磅 行距: 固定值 20 磅"/>
    <w:basedOn w:val="5"/>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429">
    <w:name w:val="样式 标题 3 + (中文) 黑体 小四 非加粗 段前: 7.8 磅 段后: 0 磅 行距: 固定值 20 磅"/>
    <w:basedOn w:val="7"/>
    <w:link w:val="431"/>
    <w:qFormat/>
    <w:uiPriority w:val="0"/>
    <w:pPr>
      <w:spacing w:before="0" w:after="0" w:line="400" w:lineRule="exact"/>
    </w:pPr>
    <w:rPr>
      <w:rFonts w:eastAsia="黑体" w:cs="宋体"/>
      <w:b w:val="0"/>
      <w:bCs w:val="0"/>
      <w:sz w:val="24"/>
      <w:szCs w:val="20"/>
    </w:rPr>
  </w:style>
  <w:style w:type="paragraph" w:customStyle="1" w:styleId="430">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character" w:customStyle="1" w:styleId="431">
    <w:name w:val="样式 标题 3 + (中文) 黑体 小四 非加粗 段前: 7.8 磅 段后: 0 磅 行距: 固定值 20 磅 Char Char"/>
    <w:link w:val="429"/>
    <w:qFormat/>
    <w:uiPriority w:val="0"/>
    <w:rPr>
      <w:rFonts w:eastAsia="黑体" w:cs="宋体"/>
      <w:kern w:val="2"/>
      <w:sz w:val="24"/>
    </w:rPr>
  </w:style>
  <w:style w:type="character" w:customStyle="1" w:styleId="432">
    <w:name w:val="明显参考1"/>
    <w:basedOn w:val="76"/>
    <w:qFormat/>
    <w:uiPriority w:val="32"/>
    <w:rPr>
      <w:b/>
      <w:bCs/>
      <w:smallCaps/>
      <w:color w:val="C0504D" w:themeColor="accent2"/>
      <w:spacing w:val="5"/>
      <w:u w:val="single"/>
      <w14:textFill>
        <w14:solidFill>
          <w14:schemeClr w14:val="accent2"/>
        </w14:solidFill>
      </w14:textFill>
    </w:rPr>
  </w:style>
  <w:style w:type="table" w:customStyle="1" w:styleId="433">
    <w:name w:val="Table Normal"/>
    <w:semiHidden/>
    <w:unhideWhenUsed/>
    <w:qFormat/>
    <w:uiPriority w:val="0"/>
    <w:tblPr>
      <w:tblCellMar>
        <w:top w:w="0" w:type="dxa"/>
        <w:left w:w="0" w:type="dxa"/>
        <w:bottom w:w="0" w:type="dxa"/>
        <w:right w:w="0" w:type="dxa"/>
      </w:tblCellMar>
    </w:tblPr>
  </w:style>
  <w:style w:type="paragraph" w:customStyle="1" w:styleId="43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72863-3BD8-4D96-B877-BF091DB5831C}">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65</Pages>
  <Words>27343</Words>
  <Characters>28585</Characters>
  <Lines>174</Lines>
  <Paragraphs>49</Paragraphs>
  <TotalTime>58</TotalTime>
  <ScaleCrop>false</ScaleCrop>
  <LinksUpToDate>false</LinksUpToDate>
  <CharactersWithSpaces>29918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2018-11-02T02:36:00Z</dcterms:created>
  <dc:creator>wmq</dc:creator>
  <cp:lastModifiedBy>Administrator</cp:lastModifiedBy>
  <cp:lastPrinted>2024-08-01T07:15:00Z</cp:lastPrinted>
  <dcterms:modified xsi:type="dcterms:W3CDTF">2026-01-27T02:17:51Z</dcterms:modified>
  <dc:title>适用一般货物采购/非建筑设备货物采购含安装等伴随服务</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CD56A835DF084A84A66926A499B3FF2A_13</vt:lpwstr>
  </property>
  <property fmtid="{D5CDD505-2E9C-101B-9397-08002B2CF9AE}" pid="4" name="KSOTemplateDocerSaveRecord">
    <vt:lpwstr>eyJoZGlkIjoiMDg5NDM2Y2E1OWNhZDRlMzU2NWU1OTNhZmYzM2I5N2QiLCJ1c2VySWQiOiIxMTIwMDIyOTU1In0=</vt:lpwstr>
  </property>
</Properties>
</file>