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E9781">
      <w:pPr>
        <w:spacing w:before="120" w:beforeLines="50" w:after="120" w:afterLines="50" w:line="520" w:lineRule="exact"/>
        <w:jc w:val="center"/>
        <w:rPr>
          <w:rFonts w:hint="eastAsia" w:ascii="宋体" w:hAnsi="宋体" w:cs="宋体"/>
          <w:b/>
          <w:bCs/>
          <w:kern w:val="36"/>
          <w:sz w:val="40"/>
          <w:szCs w:val="40"/>
          <w:lang w:eastAsia="zh-CN"/>
        </w:rPr>
      </w:pPr>
      <w:r>
        <w:rPr>
          <w:rFonts w:hint="eastAsia" w:ascii="宋体" w:hAnsi="宋体" w:cs="宋体"/>
          <w:b/>
          <w:bCs/>
          <w:kern w:val="36"/>
          <w:sz w:val="40"/>
          <w:szCs w:val="40"/>
          <w:lang w:eastAsia="zh-CN"/>
        </w:rPr>
        <w:t>六安市叶集区人民医院（六安市第六人民医院）磁共振线圈采购项目</w:t>
      </w:r>
    </w:p>
    <w:p w14:paraId="4970AFA0">
      <w:pPr>
        <w:pStyle w:val="3"/>
      </w:pPr>
    </w:p>
    <w:p w14:paraId="0C7EE422">
      <w:pPr>
        <w:spacing w:line="760" w:lineRule="exact"/>
        <w:jc w:val="center"/>
        <w:rPr>
          <w:rFonts w:hint="eastAsia" w:ascii="宋体" w:hAnsi="宋体"/>
          <w:b/>
          <w:sz w:val="44"/>
          <w:szCs w:val="44"/>
          <w:lang w:val="en-US" w:eastAsia="zh-CN"/>
        </w:rPr>
      </w:pPr>
      <w:r>
        <w:rPr>
          <w:rFonts w:hint="eastAsia" w:ascii="宋体" w:hAnsi="宋体"/>
          <w:b/>
          <w:sz w:val="44"/>
          <w:szCs w:val="44"/>
          <w:lang w:val="en-US" w:eastAsia="zh-CN"/>
        </w:rPr>
        <w:t>货</w:t>
      </w:r>
    </w:p>
    <w:p w14:paraId="43D38B8A">
      <w:pPr>
        <w:spacing w:line="760" w:lineRule="exact"/>
        <w:jc w:val="center"/>
        <w:rPr>
          <w:rFonts w:ascii="宋体" w:hAnsi="宋体"/>
          <w:b/>
          <w:sz w:val="44"/>
          <w:szCs w:val="44"/>
        </w:rPr>
      </w:pPr>
      <w:r>
        <w:rPr>
          <w:rFonts w:hint="eastAsia" w:ascii="宋体" w:hAnsi="宋体"/>
          <w:b/>
          <w:sz w:val="44"/>
          <w:szCs w:val="44"/>
          <w:lang w:val="en-US" w:eastAsia="zh-CN"/>
        </w:rPr>
        <w:t>物</w:t>
      </w:r>
    </w:p>
    <w:p w14:paraId="016DDBD3">
      <w:pPr>
        <w:spacing w:line="760" w:lineRule="exact"/>
        <w:jc w:val="center"/>
        <w:rPr>
          <w:rFonts w:ascii="宋体" w:hAnsi="宋体"/>
          <w:b/>
          <w:sz w:val="44"/>
          <w:szCs w:val="44"/>
        </w:rPr>
      </w:pPr>
      <w:r>
        <w:rPr>
          <w:rFonts w:hint="eastAsia" w:ascii="宋体" w:hAnsi="宋体"/>
          <w:b/>
          <w:sz w:val="44"/>
          <w:szCs w:val="44"/>
        </w:rPr>
        <w:t>类</w:t>
      </w:r>
    </w:p>
    <w:p w14:paraId="7533074E">
      <w:pPr>
        <w:spacing w:line="760" w:lineRule="exact"/>
        <w:jc w:val="center"/>
        <w:rPr>
          <w:rFonts w:ascii="宋体" w:hAnsi="宋体"/>
          <w:b/>
          <w:sz w:val="44"/>
          <w:szCs w:val="44"/>
        </w:rPr>
      </w:pPr>
      <w:r>
        <w:rPr>
          <w:rFonts w:hint="eastAsia" w:ascii="宋体" w:hAnsi="宋体"/>
          <w:b/>
          <w:sz w:val="44"/>
          <w:szCs w:val="44"/>
        </w:rPr>
        <w:t>单</w:t>
      </w:r>
    </w:p>
    <w:p w14:paraId="06ED707A">
      <w:pPr>
        <w:spacing w:line="760" w:lineRule="exact"/>
        <w:jc w:val="center"/>
        <w:rPr>
          <w:rFonts w:ascii="宋体" w:hAnsi="宋体"/>
          <w:b/>
          <w:sz w:val="44"/>
          <w:szCs w:val="44"/>
        </w:rPr>
      </w:pPr>
      <w:r>
        <w:rPr>
          <w:rFonts w:hint="eastAsia" w:ascii="宋体" w:hAnsi="宋体"/>
          <w:b/>
          <w:sz w:val="44"/>
          <w:szCs w:val="44"/>
        </w:rPr>
        <w:t>一</w:t>
      </w:r>
    </w:p>
    <w:p w14:paraId="76352D62">
      <w:pPr>
        <w:spacing w:line="760" w:lineRule="exact"/>
        <w:jc w:val="center"/>
        <w:rPr>
          <w:rFonts w:ascii="宋体" w:hAnsi="宋体"/>
          <w:b/>
          <w:sz w:val="44"/>
          <w:szCs w:val="44"/>
        </w:rPr>
      </w:pPr>
      <w:r>
        <w:rPr>
          <w:rFonts w:hint="eastAsia" w:ascii="宋体" w:hAnsi="宋体"/>
          <w:b/>
          <w:sz w:val="44"/>
          <w:szCs w:val="44"/>
        </w:rPr>
        <w:t>来</w:t>
      </w:r>
    </w:p>
    <w:p w14:paraId="427C0CDB">
      <w:pPr>
        <w:spacing w:line="760" w:lineRule="exact"/>
        <w:jc w:val="center"/>
        <w:rPr>
          <w:rFonts w:ascii="宋体" w:hAnsi="宋体"/>
          <w:b/>
          <w:sz w:val="44"/>
          <w:szCs w:val="44"/>
        </w:rPr>
      </w:pPr>
      <w:r>
        <w:rPr>
          <w:rFonts w:hint="eastAsia" w:ascii="宋体" w:hAnsi="宋体"/>
          <w:b/>
          <w:sz w:val="44"/>
          <w:szCs w:val="44"/>
        </w:rPr>
        <w:t>源</w:t>
      </w:r>
    </w:p>
    <w:p w14:paraId="69538D6D">
      <w:pPr>
        <w:spacing w:line="760" w:lineRule="exact"/>
        <w:jc w:val="center"/>
        <w:rPr>
          <w:rFonts w:ascii="宋体" w:hAnsi="宋体"/>
          <w:b/>
          <w:sz w:val="44"/>
          <w:szCs w:val="44"/>
        </w:rPr>
      </w:pPr>
      <w:r>
        <w:rPr>
          <w:rFonts w:hint="eastAsia" w:ascii="宋体" w:hAnsi="宋体"/>
          <w:b/>
          <w:sz w:val="44"/>
          <w:szCs w:val="44"/>
        </w:rPr>
        <w:t>采</w:t>
      </w:r>
    </w:p>
    <w:p w14:paraId="2AE77EFC">
      <w:pPr>
        <w:spacing w:line="760" w:lineRule="exact"/>
        <w:jc w:val="center"/>
        <w:rPr>
          <w:rFonts w:ascii="宋体" w:hAnsi="宋体"/>
          <w:b/>
          <w:sz w:val="44"/>
          <w:szCs w:val="44"/>
        </w:rPr>
      </w:pPr>
      <w:r>
        <w:rPr>
          <w:rFonts w:hint="eastAsia" w:ascii="宋体" w:hAnsi="宋体"/>
          <w:b/>
          <w:sz w:val="44"/>
          <w:szCs w:val="44"/>
        </w:rPr>
        <w:t>购</w:t>
      </w:r>
    </w:p>
    <w:p w14:paraId="6A2A32CB">
      <w:pPr>
        <w:spacing w:line="760" w:lineRule="exact"/>
        <w:jc w:val="center"/>
        <w:rPr>
          <w:rFonts w:ascii="宋体" w:hAnsi="宋体"/>
          <w:b/>
          <w:sz w:val="44"/>
          <w:szCs w:val="44"/>
        </w:rPr>
      </w:pPr>
      <w:r>
        <w:rPr>
          <w:rFonts w:hint="eastAsia" w:ascii="宋体" w:hAnsi="宋体"/>
          <w:b/>
          <w:sz w:val="44"/>
          <w:szCs w:val="44"/>
        </w:rPr>
        <w:t>文</w:t>
      </w:r>
    </w:p>
    <w:p w14:paraId="4E86508B">
      <w:pPr>
        <w:spacing w:line="760" w:lineRule="exact"/>
        <w:jc w:val="center"/>
        <w:rPr>
          <w:rFonts w:ascii="宋体" w:hAnsi="宋体"/>
          <w:b/>
          <w:sz w:val="56"/>
          <w:szCs w:val="56"/>
        </w:rPr>
      </w:pPr>
      <w:r>
        <w:rPr>
          <w:rFonts w:hint="eastAsia" w:ascii="宋体" w:hAnsi="宋体"/>
          <w:b/>
          <w:sz w:val="44"/>
          <w:szCs w:val="44"/>
        </w:rPr>
        <w:t>件</w:t>
      </w:r>
    </w:p>
    <w:p w14:paraId="60642187">
      <w:pPr>
        <w:rPr>
          <w:rFonts w:ascii="宋体" w:hAnsi="宋体"/>
          <w:b/>
          <w:sz w:val="32"/>
          <w:szCs w:val="32"/>
        </w:rPr>
      </w:pPr>
    </w:p>
    <w:p w14:paraId="5607E3AD">
      <w:pPr>
        <w:ind w:firstLine="1680" w:firstLineChars="600"/>
        <w:jc w:val="center"/>
        <w:rPr>
          <w:rFonts w:ascii="黑体" w:hAnsi="宋体" w:eastAsia="黑体"/>
          <w:sz w:val="28"/>
          <w:szCs w:val="28"/>
        </w:rPr>
      </w:pPr>
    </w:p>
    <w:p w14:paraId="1C38B1DB">
      <w:pPr>
        <w:spacing w:line="360" w:lineRule="auto"/>
        <w:ind w:firstLine="840" w:firstLineChars="300"/>
        <w:rPr>
          <w:rFonts w:hint="eastAsia" w:ascii="黑体" w:hAnsi="宋体" w:eastAsia="黑体"/>
          <w:sz w:val="28"/>
          <w:szCs w:val="28"/>
        </w:rPr>
      </w:pPr>
    </w:p>
    <w:p w14:paraId="64C365D3">
      <w:pPr>
        <w:spacing w:line="360" w:lineRule="auto"/>
        <w:ind w:firstLine="840" w:firstLineChars="300"/>
        <w:rPr>
          <w:rFonts w:ascii="黑体" w:hAnsi="宋体" w:eastAsia="黑体"/>
          <w:sz w:val="28"/>
          <w:szCs w:val="28"/>
        </w:rPr>
      </w:pPr>
      <w:r>
        <w:rPr>
          <w:rFonts w:hint="eastAsia" w:ascii="黑体" w:hAnsi="宋体" w:eastAsia="黑体"/>
          <w:sz w:val="28"/>
          <w:szCs w:val="28"/>
        </w:rPr>
        <w:t>项目单位：</w:t>
      </w:r>
      <w:r>
        <w:rPr>
          <w:rFonts w:hint="eastAsia" w:ascii="黑体" w:hAnsi="宋体" w:eastAsia="黑体"/>
          <w:sz w:val="28"/>
          <w:szCs w:val="28"/>
          <w:lang w:val="en-US" w:eastAsia="zh-CN"/>
        </w:rPr>
        <w:t>六安市叶集区人民医院（六安市第六人民医院）</w:t>
      </w:r>
      <w:r>
        <w:rPr>
          <w:rFonts w:hint="eastAsia" w:ascii="黑体" w:hAnsi="宋体" w:eastAsia="黑体"/>
          <w:sz w:val="28"/>
          <w:szCs w:val="28"/>
        </w:rPr>
        <w:t xml:space="preserve">                 </w:t>
      </w:r>
    </w:p>
    <w:p w14:paraId="45061B9E">
      <w:pPr>
        <w:spacing w:line="360" w:lineRule="auto"/>
        <w:ind w:firstLine="2240" w:firstLineChars="800"/>
        <w:rPr>
          <w:rFonts w:ascii="黑体" w:hAnsi="宋体" w:eastAsia="黑体"/>
          <w:sz w:val="28"/>
          <w:szCs w:val="28"/>
        </w:rPr>
      </w:pPr>
      <w:r>
        <w:rPr>
          <w:rFonts w:hint="eastAsia" w:ascii="黑体" w:hAnsi="宋体" w:eastAsia="黑体"/>
          <w:sz w:val="28"/>
          <w:szCs w:val="28"/>
        </w:rPr>
        <w:t>代理机构：安徽同方工程咨询有限公司</w:t>
      </w:r>
      <w:r>
        <w:rPr>
          <w:rFonts w:ascii="黑体" w:hAnsi="宋体" w:eastAsia="黑体"/>
          <w:sz w:val="28"/>
          <w:szCs w:val="28"/>
        </w:rPr>
        <w:t xml:space="preserve"> </w:t>
      </w:r>
    </w:p>
    <w:p w14:paraId="5969594A">
      <w:pPr>
        <w:jc w:val="center"/>
        <w:rPr>
          <w:rFonts w:ascii="黑体" w:hAnsi="宋体" w:eastAsia="黑体"/>
          <w:sz w:val="28"/>
          <w:szCs w:val="28"/>
        </w:rPr>
      </w:pPr>
      <w:r>
        <w:rPr>
          <w:rFonts w:hint="eastAsia" w:ascii="黑体" w:hAnsi="宋体" w:eastAsia="黑体"/>
          <w:sz w:val="28"/>
          <w:szCs w:val="28"/>
          <w:lang w:val="en-US" w:eastAsia="zh-CN"/>
        </w:rPr>
        <w:t>2026</w:t>
      </w:r>
      <w:r>
        <w:rPr>
          <w:rFonts w:hint="eastAsia" w:ascii="黑体" w:hAnsi="宋体" w:eastAsia="黑体"/>
          <w:sz w:val="28"/>
          <w:szCs w:val="28"/>
        </w:rPr>
        <w:t>年</w:t>
      </w:r>
      <w:r>
        <w:rPr>
          <w:rFonts w:hint="eastAsia" w:ascii="黑体" w:hAnsi="宋体" w:eastAsia="黑体"/>
          <w:sz w:val="28"/>
          <w:szCs w:val="28"/>
          <w:lang w:val="en-US" w:eastAsia="zh-CN"/>
        </w:rPr>
        <w:t>1</w:t>
      </w:r>
      <w:r>
        <w:rPr>
          <w:rFonts w:hint="eastAsia" w:ascii="黑体" w:hAnsi="宋体" w:eastAsia="黑体"/>
          <w:sz w:val="28"/>
          <w:szCs w:val="28"/>
        </w:rPr>
        <w:t>月</w:t>
      </w:r>
      <w:bookmarkStart w:id="0" w:name="_Toc18671549"/>
    </w:p>
    <w:p w14:paraId="692D7676">
      <w:pPr>
        <w:jc w:val="left"/>
      </w:pPr>
      <w:r>
        <w:rPr>
          <w:rFonts w:hint="eastAsia" w:ascii="黑体" w:hAnsi="宋体" w:eastAsia="黑体"/>
          <w:sz w:val="28"/>
          <w:szCs w:val="28"/>
        </w:rPr>
        <w:br w:type="page"/>
      </w:r>
    </w:p>
    <w:sdt>
      <w:sdtPr>
        <w:rPr>
          <w:rFonts w:hint="eastAsia" w:ascii="黑体" w:hAnsi="黑体" w:eastAsia="黑体" w:cs="黑体"/>
          <w:b/>
          <w:bCs/>
          <w:sz w:val="40"/>
          <w:szCs w:val="48"/>
        </w:rPr>
        <w:id w:val="147458712"/>
      </w:sdtPr>
      <w:sdtEndPr>
        <w:rPr>
          <w:rFonts w:hint="eastAsia" w:ascii="宋体" w:hAnsi="宋体" w:eastAsia="宋体" w:cs="宋体"/>
          <w:b/>
          <w:bCs/>
          <w:sz w:val="21"/>
          <w:szCs w:val="32"/>
        </w:rPr>
      </w:sdtEndPr>
      <w:sdtContent>
        <w:p w14:paraId="00ACAD80">
          <w:pPr>
            <w:jc w:val="center"/>
            <w:rPr>
              <w:rFonts w:ascii="黑体" w:hAnsi="黑体" w:eastAsia="黑体" w:cs="黑体"/>
              <w:b/>
              <w:bCs/>
              <w:sz w:val="40"/>
              <w:szCs w:val="48"/>
            </w:rPr>
          </w:pPr>
        </w:p>
        <w:p w14:paraId="01F18E67">
          <w:pPr>
            <w:jc w:val="center"/>
            <w:rPr>
              <w:rFonts w:ascii="黑体" w:hAnsi="黑体" w:eastAsia="黑体" w:cs="黑体"/>
              <w:b/>
              <w:bCs/>
              <w:sz w:val="40"/>
              <w:szCs w:val="48"/>
            </w:rPr>
          </w:pPr>
          <w:r>
            <w:rPr>
              <w:rFonts w:hint="eastAsia" w:ascii="黑体" w:hAnsi="黑体" w:eastAsia="黑体" w:cs="黑体"/>
              <w:b/>
              <w:bCs/>
              <w:sz w:val="40"/>
              <w:szCs w:val="48"/>
            </w:rPr>
            <w:t>目   录</w:t>
          </w:r>
        </w:p>
        <w:p w14:paraId="3B797ACC">
          <w:pPr>
            <w:jc w:val="center"/>
            <w:rPr>
              <w:rFonts w:ascii="黑体" w:hAnsi="黑体" w:eastAsia="黑体" w:cs="黑体"/>
              <w:b/>
              <w:bCs/>
              <w:sz w:val="36"/>
              <w:szCs w:val="44"/>
            </w:rPr>
          </w:pPr>
        </w:p>
        <w:p w14:paraId="5A12CF4A">
          <w:pPr>
            <w:pStyle w:val="13"/>
            <w:tabs>
              <w:tab w:val="right" w:leader="dot" w:pos="8888"/>
            </w:tabs>
            <w:spacing w:line="480" w:lineRule="exact"/>
            <w:ind w:left="0" w:leftChars="0"/>
          </w:pPr>
          <w:r>
            <w:rPr>
              <w:rFonts w:hint="eastAsia" w:ascii="宋体" w:hAnsi="宋体" w:eastAsia="宋体" w:cs="宋体"/>
              <w:bCs/>
              <w:szCs w:val="24"/>
            </w:rPr>
            <w:fldChar w:fldCharType="begin"/>
          </w:r>
          <w:r>
            <w:rPr>
              <w:rFonts w:hint="eastAsia" w:ascii="宋体" w:hAnsi="宋体" w:eastAsia="宋体" w:cs="宋体"/>
              <w:bCs/>
              <w:szCs w:val="24"/>
            </w:rPr>
            <w:instrText xml:space="preserve">TOC \o "1-3" \h \u </w:instrText>
          </w:r>
          <w:r>
            <w:rPr>
              <w:rFonts w:hint="eastAsia" w:ascii="宋体" w:hAnsi="宋体" w:eastAsia="宋体" w:cs="宋体"/>
              <w:bCs/>
              <w:szCs w:val="24"/>
            </w:rPr>
            <w:fldChar w:fldCharType="separate"/>
          </w:r>
          <w:r>
            <w:fldChar w:fldCharType="begin"/>
          </w:r>
          <w:r>
            <w:instrText xml:space="preserve"> HYPERLINK \l "_Toc18747" </w:instrText>
          </w:r>
          <w:r>
            <w:fldChar w:fldCharType="separate"/>
          </w:r>
          <w:r>
            <w:rPr>
              <w:rFonts w:hint="eastAsia" w:ascii="宋体" w:hAnsi="宋体" w:eastAsia="宋体" w:cs="宋体"/>
              <w:szCs w:val="28"/>
            </w:rPr>
            <w:t>单一来源方式采购的公示</w:t>
          </w:r>
          <w:r>
            <w:tab/>
          </w:r>
          <w:r>
            <w:fldChar w:fldCharType="begin"/>
          </w:r>
          <w:r>
            <w:instrText xml:space="preserve"> PAGEREF _Toc18747 \h </w:instrText>
          </w:r>
          <w:r>
            <w:fldChar w:fldCharType="separate"/>
          </w:r>
          <w:r>
            <w:rPr>
              <w:rFonts w:hint="eastAsia"/>
              <w:lang w:val="en-US" w:eastAsia="zh-CN"/>
            </w:rPr>
            <w:t>1</w:t>
          </w:r>
          <w:r>
            <w:fldChar w:fldCharType="end"/>
          </w:r>
          <w:r>
            <w:fldChar w:fldCharType="end"/>
          </w:r>
        </w:p>
        <w:p w14:paraId="7BA0B804">
          <w:pPr>
            <w:pStyle w:val="13"/>
            <w:tabs>
              <w:tab w:val="right" w:leader="dot" w:pos="8888"/>
            </w:tabs>
            <w:spacing w:line="480" w:lineRule="exact"/>
            <w:ind w:left="0" w:leftChars="0"/>
          </w:pPr>
          <w:r>
            <w:fldChar w:fldCharType="begin"/>
          </w:r>
          <w:r>
            <w:instrText xml:space="preserve"> HYPERLINK \l "_Toc30348" </w:instrText>
          </w:r>
          <w:r>
            <w:fldChar w:fldCharType="separate"/>
          </w:r>
          <w:r>
            <w:rPr>
              <w:rFonts w:hint="eastAsia" w:ascii="宋体" w:hAnsi="宋体" w:eastAsia="宋体" w:cs="宋体"/>
              <w:szCs w:val="24"/>
            </w:rPr>
            <w:t>第一章  单一来源采购邀请书</w:t>
          </w:r>
          <w:r>
            <w:tab/>
          </w:r>
          <w:r>
            <w:rPr>
              <w:rFonts w:hint="eastAsia"/>
              <w:lang w:val="en-US" w:eastAsia="zh-CN"/>
            </w:rPr>
            <w:t>4</w:t>
          </w:r>
          <w:r>
            <w:fldChar w:fldCharType="end"/>
          </w:r>
        </w:p>
        <w:p w14:paraId="31EE742A">
          <w:pPr>
            <w:pStyle w:val="13"/>
            <w:tabs>
              <w:tab w:val="right" w:leader="dot" w:pos="8888"/>
            </w:tabs>
            <w:spacing w:line="480" w:lineRule="exact"/>
            <w:ind w:left="0" w:leftChars="0"/>
          </w:pPr>
          <w:r>
            <w:fldChar w:fldCharType="begin"/>
          </w:r>
          <w:r>
            <w:instrText xml:space="preserve"> HYPERLINK \l "_Toc25424" </w:instrText>
          </w:r>
          <w:r>
            <w:fldChar w:fldCharType="separate"/>
          </w:r>
          <w:r>
            <w:rPr>
              <w:rFonts w:hint="eastAsia" w:ascii="宋体" w:hAnsi="宋体" w:eastAsia="宋体" w:cs="宋体"/>
              <w:szCs w:val="24"/>
            </w:rPr>
            <w:t>第二章  供应商须知前附表</w:t>
          </w:r>
          <w:r>
            <w:tab/>
          </w:r>
          <w:r>
            <w:rPr>
              <w:rFonts w:hint="eastAsia"/>
              <w:lang w:val="en-US" w:eastAsia="zh-CN"/>
            </w:rPr>
            <w:t>5</w:t>
          </w:r>
          <w:r>
            <w:fldChar w:fldCharType="end"/>
          </w:r>
        </w:p>
        <w:p w14:paraId="44889951">
          <w:pPr>
            <w:pStyle w:val="13"/>
            <w:tabs>
              <w:tab w:val="right" w:leader="dot" w:pos="8888"/>
            </w:tabs>
            <w:spacing w:line="480" w:lineRule="exact"/>
            <w:ind w:left="0" w:leftChars="0"/>
          </w:pPr>
          <w:r>
            <w:fldChar w:fldCharType="begin"/>
          </w:r>
          <w:r>
            <w:instrText xml:space="preserve"> HYPERLINK \l "_Toc11917" </w:instrText>
          </w:r>
          <w:r>
            <w:fldChar w:fldCharType="separate"/>
          </w:r>
          <w:r>
            <w:rPr>
              <w:rFonts w:hint="eastAsia" w:ascii="宋体" w:hAnsi="宋体" w:eastAsia="宋体" w:cs="宋体"/>
              <w:szCs w:val="24"/>
            </w:rPr>
            <w:t>第三章  供应商须知</w:t>
          </w:r>
          <w:r>
            <w:tab/>
          </w:r>
          <w:r>
            <w:rPr>
              <w:rFonts w:hint="eastAsia"/>
              <w:lang w:val="en-US" w:eastAsia="zh-CN"/>
            </w:rPr>
            <w:t>8</w:t>
          </w:r>
          <w:r>
            <w:fldChar w:fldCharType="end"/>
          </w:r>
        </w:p>
        <w:p w14:paraId="0323CB43">
          <w:pPr>
            <w:pStyle w:val="13"/>
            <w:tabs>
              <w:tab w:val="right" w:leader="dot" w:pos="8888"/>
            </w:tabs>
            <w:spacing w:line="480" w:lineRule="exact"/>
            <w:ind w:left="0" w:leftChars="0"/>
            <w:rPr>
              <w:rFonts w:hint="eastAsia" w:eastAsia="仿宋_GB2312"/>
              <w:lang w:val="en-US" w:eastAsia="zh-CN"/>
            </w:rPr>
          </w:pPr>
          <w:r>
            <w:fldChar w:fldCharType="begin"/>
          </w:r>
          <w:r>
            <w:instrText xml:space="preserve"> HYPERLINK \l "_Toc2581" </w:instrText>
          </w:r>
          <w:r>
            <w:fldChar w:fldCharType="separate"/>
          </w:r>
          <w:r>
            <w:rPr>
              <w:rFonts w:hint="eastAsia" w:ascii="宋体" w:hAnsi="宋体" w:eastAsia="宋体" w:cs="宋体"/>
              <w:szCs w:val="24"/>
            </w:rPr>
            <w:t>第四章</w:t>
          </w:r>
          <w:r>
            <w:rPr>
              <w:rFonts w:hint="eastAsia" w:ascii="宋体" w:hAnsi="宋体" w:cs="宋体"/>
              <w:szCs w:val="24"/>
            </w:rPr>
            <w:t xml:space="preserve">  </w:t>
          </w:r>
          <w:r>
            <w:rPr>
              <w:rFonts w:hint="eastAsia" w:ascii="宋体" w:hAnsi="宋体" w:eastAsia="宋体" w:cs="宋体"/>
              <w:szCs w:val="24"/>
            </w:rPr>
            <w:t>采购需求</w:t>
          </w:r>
          <w:r>
            <w:tab/>
          </w:r>
          <w:r>
            <w:rPr>
              <w:rFonts w:hint="eastAsia"/>
              <w:lang w:val="en-US" w:eastAsia="zh-CN"/>
            </w:rPr>
            <w:t>1</w:t>
          </w:r>
          <w:r>
            <w:fldChar w:fldCharType="end"/>
          </w:r>
          <w:r>
            <w:rPr>
              <w:rFonts w:hint="eastAsia"/>
              <w:lang w:val="en-US" w:eastAsia="zh-CN"/>
            </w:rPr>
            <w:t>6</w:t>
          </w:r>
        </w:p>
        <w:p w14:paraId="524FC5DD">
          <w:pPr>
            <w:pStyle w:val="13"/>
            <w:tabs>
              <w:tab w:val="right" w:leader="dot" w:pos="8888"/>
            </w:tabs>
            <w:spacing w:line="480" w:lineRule="exact"/>
            <w:ind w:left="0" w:leftChars="0"/>
            <w:rPr>
              <w:rFonts w:hint="eastAsia" w:eastAsia="仿宋_GB2312"/>
              <w:lang w:val="en-US" w:eastAsia="zh-CN"/>
            </w:rPr>
          </w:pPr>
          <w:r>
            <w:fldChar w:fldCharType="begin"/>
          </w:r>
          <w:r>
            <w:instrText xml:space="preserve"> HYPERLINK \l "_Toc20436" </w:instrText>
          </w:r>
          <w:r>
            <w:fldChar w:fldCharType="separate"/>
          </w:r>
          <w:r>
            <w:rPr>
              <w:rFonts w:hint="eastAsia" w:ascii="宋体" w:hAnsi="宋体" w:eastAsia="宋体" w:cs="宋体"/>
              <w:bCs/>
              <w:szCs w:val="24"/>
            </w:rPr>
            <w:t>第五章  单一来源响应文件</w:t>
          </w:r>
          <w:r>
            <w:tab/>
          </w:r>
          <w:r>
            <w:rPr>
              <w:rFonts w:hint="eastAsia"/>
              <w:lang w:val="en-US" w:eastAsia="zh-CN"/>
            </w:rPr>
            <w:t>1</w:t>
          </w:r>
          <w:r>
            <w:fldChar w:fldCharType="end"/>
          </w:r>
          <w:r>
            <w:rPr>
              <w:rFonts w:hint="eastAsia"/>
              <w:lang w:val="en-US" w:eastAsia="zh-CN"/>
            </w:rPr>
            <w:t>8</w:t>
          </w:r>
        </w:p>
        <w:p w14:paraId="54ECB041">
          <w:pPr>
            <w:pStyle w:val="13"/>
            <w:tabs>
              <w:tab w:val="right" w:leader="dot" w:pos="8888"/>
            </w:tabs>
            <w:spacing w:line="480" w:lineRule="exact"/>
            <w:ind w:left="0" w:leftChars="0"/>
          </w:pPr>
        </w:p>
        <w:p w14:paraId="32F474A9">
          <w:pPr>
            <w:spacing w:line="440" w:lineRule="exact"/>
          </w:pPr>
          <w:r>
            <w:rPr>
              <w:rFonts w:hint="eastAsia" w:ascii="宋体" w:hAnsi="宋体" w:cs="宋体"/>
              <w:bCs/>
            </w:rPr>
            <w:fldChar w:fldCharType="end"/>
          </w:r>
        </w:p>
      </w:sdtContent>
    </w:sdt>
    <w:p w14:paraId="45F16A5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cs="宋体"/>
          <w:b/>
          <w:bCs/>
          <w:sz w:val="40"/>
          <w:szCs w:val="40"/>
          <w:lang w:eastAsia="zh-CN"/>
        </w:rPr>
        <w:sectPr>
          <w:footerReference r:id="rId3" w:type="default"/>
          <w:pgSz w:w="11907" w:h="16839"/>
          <w:pgMar w:top="1118" w:right="1769" w:bottom="1233" w:left="1771" w:header="877" w:footer="982" w:gutter="0"/>
          <w:pgNumType w:fmt="decimal"/>
          <w:cols w:space="720" w:num="1"/>
        </w:sectPr>
      </w:pPr>
      <w:bookmarkStart w:id="1" w:name="_Toc30348"/>
    </w:p>
    <w:p w14:paraId="6DDDAB9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0"/>
        </w:rPr>
      </w:pPr>
      <w:r>
        <w:rPr>
          <w:rFonts w:hint="eastAsia" w:ascii="宋体" w:hAnsi="宋体" w:cs="宋体"/>
          <w:b/>
          <w:bCs/>
          <w:sz w:val="40"/>
          <w:szCs w:val="40"/>
          <w:lang w:eastAsia="zh-CN"/>
        </w:rPr>
        <w:t>六安市叶集区人民医院（六安市第六人民医院）磁共振线圈采购项目</w:t>
      </w:r>
      <w:r>
        <w:rPr>
          <w:rFonts w:hint="eastAsia" w:ascii="宋体" w:hAnsi="宋体" w:eastAsia="宋体" w:cs="宋体"/>
          <w:b/>
          <w:bCs/>
          <w:sz w:val="40"/>
          <w:szCs w:val="40"/>
        </w:rPr>
        <w:t>单一来源方式采购的公示</w:t>
      </w:r>
    </w:p>
    <w:p w14:paraId="2A400B0C">
      <w:pPr>
        <w:pStyle w:val="3"/>
        <w:keepNext w:val="0"/>
        <w:keepLines w:val="0"/>
        <w:pageBreakBefore w:val="0"/>
        <w:widowControl w:val="0"/>
        <w:kinsoku/>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z w:val="28"/>
          <w:szCs w:val="28"/>
          <w:lang w:val="en-US" w:eastAsia="zh-CN"/>
        </w:rPr>
      </w:pPr>
    </w:p>
    <w:p w14:paraId="197A7C82">
      <w:pPr>
        <w:pStyle w:val="3"/>
        <w:keepNext w:val="0"/>
        <w:keepLines w:val="0"/>
        <w:pageBreakBefore w:val="0"/>
        <w:widowControl w:val="0"/>
        <w:kinsoku/>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根据《中华人民共和国政府采购法》、《政府采购非招标方式管理办法》（财政部令第74号）等相关法律规定，现就本项目拟采取单一来源方式采购予以公示。</w:t>
      </w:r>
    </w:p>
    <w:p w14:paraId="36EDBABF">
      <w:pPr>
        <w:pStyle w:val="3"/>
        <w:keepNext w:val="0"/>
        <w:keepLines w:val="0"/>
        <w:pageBreakBefore w:val="0"/>
        <w:widowControl w:val="0"/>
        <w:kinsoku/>
        <w:overflowPunct/>
        <w:topLinePunct w:val="0"/>
        <w:autoSpaceDE/>
        <w:autoSpaceDN/>
        <w:bidi w:val="0"/>
        <w:adjustRightInd/>
        <w:snapToGrid/>
        <w:spacing w:after="0" w:line="360" w:lineRule="auto"/>
        <w:ind w:left="559" w:leftChars="266" w:firstLine="0" w:firstLineChars="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一、采购人名称：</w:t>
      </w:r>
      <w:r>
        <w:rPr>
          <w:rFonts w:hint="eastAsia" w:ascii="仿宋" w:hAnsi="仿宋" w:eastAsia="仿宋" w:cs="仿宋"/>
          <w:sz w:val="28"/>
          <w:szCs w:val="28"/>
          <w:lang w:val="en-US" w:eastAsia="zh-CN"/>
        </w:rPr>
        <w:t>六安市叶集区人民医院（六安市第六人民医院）</w:t>
      </w:r>
      <w:r>
        <w:rPr>
          <w:rFonts w:hint="eastAsia" w:ascii="仿宋" w:hAnsi="仿宋" w:eastAsia="仿宋" w:cs="仿宋"/>
          <w:b/>
          <w:bCs/>
          <w:sz w:val="28"/>
          <w:szCs w:val="28"/>
          <w:lang w:val="en-US" w:eastAsia="zh-CN"/>
        </w:rPr>
        <w:t>二、采购人地址：</w:t>
      </w:r>
      <w:r>
        <w:rPr>
          <w:rFonts w:hint="eastAsia" w:ascii="仿宋" w:hAnsi="仿宋" w:eastAsia="仿宋" w:cs="仿宋"/>
          <w:sz w:val="28"/>
          <w:szCs w:val="28"/>
          <w:lang w:val="en-US" w:eastAsia="zh-CN"/>
        </w:rPr>
        <w:t>六安市叶集区民强北路与兴叶大道交叉口</w:t>
      </w:r>
    </w:p>
    <w:p w14:paraId="5DE5D80B">
      <w:pPr>
        <w:pStyle w:val="3"/>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lang w:val="en-US" w:eastAsia="zh-CN"/>
        </w:rPr>
        <w:t>三、采购</w:t>
      </w:r>
      <w:r>
        <w:rPr>
          <w:rFonts w:hint="eastAsia" w:ascii="仿宋" w:hAnsi="仿宋" w:eastAsia="仿宋" w:cs="仿宋"/>
          <w:b/>
          <w:bCs/>
          <w:sz w:val="28"/>
          <w:szCs w:val="28"/>
          <w:highlight w:val="none"/>
        </w:rPr>
        <w:t>项目名称：</w:t>
      </w:r>
      <w:r>
        <w:rPr>
          <w:rFonts w:hint="eastAsia" w:ascii="仿宋" w:hAnsi="仿宋" w:eastAsia="仿宋" w:cs="仿宋"/>
          <w:b w:val="0"/>
          <w:bCs w:val="0"/>
          <w:sz w:val="28"/>
          <w:szCs w:val="28"/>
          <w:highlight w:val="none"/>
          <w:lang w:eastAsia="zh-CN"/>
        </w:rPr>
        <w:t>六安市叶集区人民医院（六安市第六人民医院）磁共振线圈采购项目</w:t>
      </w: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AHTF-2026010H</w:t>
      </w:r>
      <w:r>
        <w:rPr>
          <w:rFonts w:hint="eastAsia" w:ascii="仿宋" w:hAnsi="仿宋" w:eastAsia="仿宋" w:cs="仿宋"/>
          <w:color w:val="000000" w:themeColor="text1"/>
          <w:sz w:val="28"/>
          <w:szCs w:val="28"/>
          <w:highlight w:val="none"/>
          <w14:textFill>
            <w14:solidFill>
              <w14:schemeClr w14:val="tx1"/>
            </w14:solidFill>
          </w14:textFill>
        </w:rPr>
        <w:t>）</w:t>
      </w:r>
    </w:p>
    <w:p w14:paraId="1BDBC687">
      <w:pPr>
        <w:pStyle w:val="3"/>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项目类型：</w:t>
      </w:r>
      <w:r>
        <w:rPr>
          <w:rFonts w:hint="eastAsia" w:ascii="仿宋" w:hAnsi="仿宋" w:eastAsia="仿宋" w:cs="仿宋"/>
          <w:sz w:val="28"/>
          <w:szCs w:val="28"/>
          <w:highlight w:val="none"/>
          <w:lang w:val="en-US" w:eastAsia="zh-CN"/>
        </w:rPr>
        <w:t>货物</w:t>
      </w:r>
      <w:r>
        <w:rPr>
          <w:rFonts w:hint="eastAsia" w:ascii="仿宋" w:hAnsi="仿宋" w:eastAsia="仿宋" w:cs="仿宋"/>
          <w:sz w:val="28"/>
          <w:szCs w:val="28"/>
          <w:highlight w:val="none"/>
        </w:rPr>
        <w:t>类</w:t>
      </w:r>
    </w:p>
    <w:p w14:paraId="79B71AEB">
      <w:pPr>
        <w:pStyle w:val="3"/>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rPr>
        <w:t>拟采购</w:t>
      </w:r>
      <w:r>
        <w:rPr>
          <w:rFonts w:hint="eastAsia" w:ascii="仿宋" w:hAnsi="仿宋" w:eastAsia="仿宋" w:cs="仿宋"/>
          <w:b/>
          <w:bCs/>
          <w:sz w:val="28"/>
          <w:szCs w:val="28"/>
          <w:highlight w:val="none"/>
          <w:lang w:val="en-US" w:eastAsia="zh-CN"/>
        </w:rPr>
        <w:t>货物</w:t>
      </w:r>
      <w:r>
        <w:rPr>
          <w:rFonts w:hint="eastAsia" w:ascii="仿宋" w:hAnsi="仿宋" w:eastAsia="仿宋" w:cs="仿宋"/>
          <w:b/>
          <w:bCs/>
          <w:sz w:val="28"/>
          <w:szCs w:val="28"/>
          <w:highlight w:val="none"/>
        </w:rPr>
        <w:t>的说明：</w:t>
      </w:r>
      <w:r>
        <w:rPr>
          <w:rFonts w:hint="eastAsia" w:ascii="仿宋" w:hAnsi="仿宋" w:eastAsia="仿宋" w:cs="仿宋"/>
          <w:b w:val="0"/>
          <w:bCs w:val="0"/>
          <w:sz w:val="28"/>
          <w:szCs w:val="28"/>
          <w:highlight w:val="none"/>
        </w:rPr>
        <w:t>为确保本次采购的磁共振专用线圈与我院现有设备完全兼容并保障影像检查质量与安全</w:t>
      </w:r>
      <w:r>
        <w:rPr>
          <w:rFonts w:hint="eastAsia" w:ascii="仿宋" w:hAnsi="仿宋" w:eastAsia="仿宋" w:cs="仿宋"/>
          <w:b w:val="0"/>
          <w:bCs w:val="0"/>
          <w:sz w:val="28"/>
          <w:szCs w:val="28"/>
          <w:highlight w:val="none"/>
          <w:lang w:eastAsia="zh-CN"/>
        </w:rPr>
        <w:t>，拟采用单一来源采购方式向设备原厂—上海联影医疗科技股份有限公司采购肩关节与膝关节线圈。</w:t>
      </w:r>
    </w:p>
    <w:p w14:paraId="6429FD7C">
      <w:pPr>
        <w:pStyle w:val="3"/>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拟采购货物的预算金额：</w:t>
      </w:r>
      <w:r>
        <w:rPr>
          <w:rFonts w:hint="eastAsia" w:ascii="仿宋" w:hAnsi="仿宋" w:eastAsia="仿宋" w:cs="仿宋"/>
          <w:color w:val="000000" w:themeColor="text1"/>
          <w:sz w:val="28"/>
          <w:szCs w:val="28"/>
          <w:highlight w:val="none"/>
          <w:lang w:val="en-US" w:eastAsia="zh-CN"/>
          <w14:textFill>
            <w14:solidFill>
              <w14:schemeClr w14:val="tx1"/>
            </w14:solidFill>
          </w14:textFill>
        </w:rPr>
        <w:t>23</w:t>
      </w:r>
      <w:r>
        <w:rPr>
          <w:rFonts w:hint="eastAsia" w:ascii="仿宋" w:hAnsi="仿宋" w:eastAsia="仿宋" w:cs="仿宋"/>
          <w:color w:val="000000" w:themeColor="text1"/>
          <w:sz w:val="28"/>
          <w:szCs w:val="28"/>
          <w:highlight w:val="none"/>
          <w14:textFill>
            <w14:solidFill>
              <w14:schemeClr w14:val="tx1"/>
            </w14:solidFill>
          </w14:textFill>
        </w:rPr>
        <w:t>万元</w:t>
      </w:r>
    </w:p>
    <w:p w14:paraId="64F8168C">
      <w:pPr>
        <w:keepNext w:val="0"/>
        <w:keepLines w:val="0"/>
        <w:pageBreakBefore w:val="0"/>
        <w:widowControl w:val="0"/>
        <w:kinsoku/>
        <w:wordWrap w:val="0"/>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color w:val="000000" w:themeColor="text1"/>
          <w:sz w:val="28"/>
          <w:szCs w:val="28"/>
          <w:highlight w:val="none"/>
          <w14:textFill>
            <w14:solidFill>
              <w14:schemeClr w14:val="tx1"/>
            </w14:solidFill>
          </w14:textFill>
        </w:rPr>
        <w:t>采用单一来源采购方式的原因及说明：</w:t>
      </w:r>
    </w:p>
    <w:p w14:paraId="0498869A">
      <w:pPr>
        <w:pStyle w:val="49"/>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1、确保设备兼容性与成像性能稳定：</w:t>
      </w:r>
      <w:r>
        <w:rPr>
          <w:rFonts w:hint="eastAsia" w:ascii="仿宋" w:hAnsi="仿宋" w:eastAsia="仿宋" w:cs="仿宋"/>
          <w:color w:val="000000" w:themeColor="text1"/>
          <w:kern w:val="2"/>
          <w:sz w:val="28"/>
          <w:szCs w:val="28"/>
          <w:lang w:val="en-US" w:eastAsia="zh-CN" w:bidi="ar-SA"/>
          <w14:textFill>
            <w14:solidFill>
              <w14:schemeClr w14:val="tx1"/>
            </w14:solidFill>
          </w14:textFill>
        </w:rPr>
        <w:t>我院现有上海联影uMR580型磁共振设备为核心影像诊断设备，其专用线圈具有特殊技术参数、专利结构及接口设计，必须采用原厂配套线圈才能保证电气兼容、信号传输稳定及图像质量符合临床诊断标准。非原厂线圈可能存在接口不匹配、成像伪影、信号衰减等问题，影响检查结果准确性，甚至可能对设备正常运行造成风险。</w:t>
      </w:r>
    </w:p>
    <w:p w14:paraId="444AC131">
      <w:pPr>
        <w:pStyle w:val="49"/>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2、保障设备安全与系统可靠性：</w:t>
      </w:r>
      <w:r>
        <w:rPr>
          <w:rFonts w:hint="eastAsia" w:ascii="仿宋" w:hAnsi="仿宋" w:eastAsia="仿宋" w:cs="仿宋"/>
          <w:color w:val="000000" w:themeColor="text1"/>
          <w:kern w:val="2"/>
          <w:sz w:val="28"/>
          <w:szCs w:val="28"/>
          <w:lang w:val="en-US" w:eastAsia="zh-CN" w:bidi="ar-SA"/>
          <w14:textFill>
            <w14:solidFill>
              <w14:schemeClr w14:val="tx1"/>
            </w14:solidFill>
          </w14:textFill>
        </w:rPr>
        <w:t>大型医疗设备的核心配件与其整机系统在硬件与软件层面深度融合。原厂线圈在研发阶段即与主机进行协同优化与安全验证，可确保在使用过程中不会因兼容性问题导致设备故障或数据异常，同时符合厂家设定的安全规范与质控要求，最大限度降低临床使用风险。</w:t>
      </w:r>
    </w:p>
    <w:p w14:paraId="42DFEB89">
      <w:pPr>
        <w:pStyle w:val="49"/>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eastAsiaTheme="minorEastAsia"/>
          <w:lang w:eastAsia="zh-CN"/>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3、保持技术延续与服务支持的一致：</w:t>
      </w:r>
      <w:r>
        <w:rPr>
          <w:rFonts w:hint="eastAsia" w:ascii="仿宋" w:hAnsi="仿宋" w:eastAsia="仿宋" w:cs="仿宋"/>
          <w:color w:val="000000" w:themeColor="text1"/>
          <w:kern w:val="2"/>
          <w:sz w:val="28"/>
          <w:szCs w:val="28"/>
          <w:lang w:val="en-US" w:eastAsia="zh-CN" w:bidi="ar-SA"/>
          <w14:textFill>
            <w14:solidFill>
              <w14:schemeClr w14:val="tx1"/>
            </w14:solidFill>
          </w14:textFill>
        </w:rPr>
        <w:t>上海联影医疗科技股份有限公司作为该设备的研发与生产单位，能够提供与整机系统完全一致的技术支持、质量保证及售后服务。使用原厂线圈有利于保障设备整体维保责任的统一，避免因使用第三方配件导致的服务中断等问题，符合医院设备全生命周期管理要求。</w:t>
      </w:r>
      <w:r>
        <w:rPr>
          <w:rFonts w:hint="eastAsia" w:ascii="仿宋" w:hAnsi="仿宋" w:eastAsia="仿宋" w:cs="仿宋"/>
          <w:color w:val="000000" w:themeColor="text1"/>
          <w:sz w:val="28"/>
          <w:szCs w:val="28"/>
          <w:highlight w:val="green"/>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综上，为保障设备性能、检查质量、系统安全及服务连续性，本项目必须采用原厂配套线圈。根据《中华人民共和国政府采购法》第三十一条中“必须保证原有采购项目一致性或者服务配套的要求，需要继续从原供应商处添购”的规定，建议采用单一来源采购方式，由上海联影医疗科技股份有限公司承担本次线圈供应工作。</w:t>
      </w:r>
    </w:p>
    <w:p w14:paraId="7E6A1263">
      <w:pPr>
        <w:keepNext w:val="0"/>
        <w:keepLines w:val="0"/>
        <w:pageBreakBefore w:val="0"/>
        <w:widowControl w:val="0"/>
        <w:kinsoku/>
        <w:wordWrap w:val="0"/>
        <w:overflowPunct/>
        <w:topLinePunct w:val="0"/>
        <w:autoSpaceDE/>
        <w:autoSpaceDN/>
        <w:bidi w:val="0"/>
        <w:adjustRightInd/>
        <w:snapToGrid/>
        <w:spacing w:line="360" w:lineRule="auto"/>
        <w:ind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bCs/>
          <w:color w:val="000000" w:themeColor="text1"/>
          <w:sz w:val="28"/>
          <w:szCs w:val="28"/>
          <w:highlight w:val="none"/>
          <w14:textFill>
            <w14:solidFill>
              <w14:schemeClr w14:val="tx1"/>
            </w14:solidFill>
          </w14:textFill>
        </w:rPr>
        <w:t>拟定供应商信息：</w:t>
      </w:r>
      <w:r>
        <w:rPr>
          <w:rFonts w:hint="eastAsia" w:ascii="仿宋" w:hAnsi="仿宋" w:eastAsia="仿宋" w:cs="仿宋"/>
          <w:b w:val="0"/>
          <w:bCs w:val="0"/>
          <w:color w:val="000000" w:themeColor="text1"/>
          <w:sz w:val="28"/>
          <w:szCs w:val="28"/>
          <w:highlight w:val="none"/>
          <w14:textFill>
            <w14:solidFill>
              <w14:schemeClr w14:val="tx1"/>
            </w14:solidFill>
          </w14:textFill>
        </w:rPr>
        <w:t>上海联影医疗科技股份有限公司</w:t>
      </w:r>
    </w:p>
    <w:p w14:paraId="4815594E">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九、拟定唯一供应商地址：</w:t>
      </w:r>
      <w:r>
        <w:rPr>
          <w:rFonts w:hint="eastAsia" w:ascii="仿宋" w:hAnsi="仿宋" w:eastAsia="仿宋" w:cs="仿宋"/>
          <w:color w:val="000000" w:themeColor="text1"/>
          <w:sz w:val="28"/>
          <w:szCs w:val="28"/>
          <w14:textFill>
            <w14:solidFill>
              <w14:schemeClr w14:val="tx1"/>
            </w14:solidFill>
          </w14:textFill>
        </w:rPr>
        <w:t>上海市嘉定区城北路2258号</w:t>
      </w:r>
    </w:p>
    <w:p w14:paraId="210436FC">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黑体" w:hAnsi="黑体" w:eastAsia="黑体" w:cs="黑体"/>
          <w:sz w:val="28"/>
          <w:szCs w:val="28"/>
          <w:vertAlign w:val="baseline"/>
        </w:rPr>
      </w:pPr>
      <w:r>
        <w:rPr>
          <w:rFonts w:hint="eastAsia" w:ascii="仿宋" w:hAnsi="仿宋" w:eastAsia="仿宋" w:cs="仿宋"/>
          <w:b/>
          <w:bCs/>
          <w:color w:val="000000" w:themeColor="text1"/>
          <w:sz w:val="28"/>
          <w:szCs w:val="28"/>
          <w:lang w:val="en-US" w:eastAsia="zh-CN"/>
          <w14:textFill>
            <w14:solidFill>
              <w14:schemeClr w14:val="tx1"/>
            </w14:solidFill>
          </w14:textFill>
        </w:rPr>
        <w:t>十、</w:t>
      </w:r>
      <w:r>
        <w:rPr>
          <w:rFonts w:hint="eastAsia" w:ascii="仿宋" w:hAnsi="仿宋" w:eastAsia="仿宋" w:cs="仿宋"/>
          <w:color w:val="000000" w:themeColor="text1"/>
          <w:sz w:val="28"/>
          <w:szCs w:val="28"/>
          <w:lang w:val="en-US" w:eastAsia="zh-CN"/>
          <w14:textFill>
            <w14:solidFill>
              <w14:schemeClr w14:val="tx1"/>
            </w14:solidFill>
          </w14:textFill>
        </w:rPr>
        <w:t>专业人员对相关供应商因必须保证原有采购项目一致性或者服务配套的要求，需要继续从原供应商处添购等原因的具体论证意见：本项目符合单一来源采购的相关要求，建议采用单一来源方式进行采购。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638"/>
        <w:gridCol w:w="1963"/>
      </w:tblGrid>
      <w:tr w14:paraId="3AF0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2964AC18">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4638" w:type="dxa"/>
            <w:vAlign w:val="top"/>
          </w:tcPr>
          <w:p w14:paraId="172ECCE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工作单位</w:t>
            </w:r>
          </w:p>
        </w:tc>
        <w:tc>
          <w:tcPr>
            <w:tcW w:w="1963" w:type="dxa"/>
            <w:vAlign w:val="top"/>
          </w:tcPr>
          <w:p w14:paraId="52C68FA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职称/职务</w:t>
            </w:r>
          </w:p>
        </w:tc>
      </w:tr>
      <w:tr w14:paraId="22E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71F3B2D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丁美琪</w:t>
            </w:r>
          </w:p>
        </w:tc>
        <w:tc>
          <w:tcPr>
            <w:tcW w:w="4638" w:type="dxa"/>
            <w:vAlign w:val="center"/>
          </w:tcPr>
          <w:p w14:paraId="5675095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 xml:space="preserve"> 六安市人民医院</w:t>
            </w:r>
          </w:p>
        </w:tc>
        <w:tc>
          <w:tcPr>
            <w:tcW w:w="1963" w:type="dxa"/>
            <w:vAlign w:val="center"/>
          </w:tcPr>
          <w:p w14:paraId="7F2CDA1F">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主任医师</w:t>
            </w:r>
          </w:p>
        </w:tc>
      </w:tr>
      <w:tr w14:paraId="1B4C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1C810299">
            <w:pPr>
              <w:keepNext w:val="0"/>
              <w:keepLines w:val="0"/>
              <w:pageBreakBefore w:val="0"/>
              <w:widowControl w:val="0"/>
              <w:tabs>
                <w:tab w:val="left" w:pos="593"/>
              </w:tabs>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 xml:space="preserve"> 范玉珍</w:t>
            </w:r>
          </w:p>
        </w:tc>
        <w:tc>
          <w:tcPr>
            <w:tcW w:w="4638" w:type="dxa"/>
            <w:vAlign w:val="center"/>
          </w:tcPr>
          <w:p w14:paraId="7E6FDEFA">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 xml:space="preserve"> 六安市疾病预防控制中心</w:t>
            </w:r>
          </w:p>
        </w:tc>
        <w:tc>
          <w:tcPr>
            <w:tcW w:w="1963" w:type="dxa"/>
            <w:vAlign w:val="center"/>
          </w:tcPr>
          <w:p w14:paraId="3AAA9CA1">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副高</w:t>
            </w:r>
          </w:p>
        </w:tc>
      </w:tr>
      <w:tr w14:paraId="0E49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3930AB8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 xml:space="preserve"> 张新芹</w:t>
            </w:r>
          </w:p>
        </w:tc>
        <w:tc>
          <w:tcPr>
            <w:tcW w:w="4638" w:type="dxa"/>
            <w:vAlign w:val="center"/>
          </w:tcPr>
          <w:p w14:paraId="6EB9B2F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六安市市场监管综合行政执法支队</w:t>
            </w:r>
          </w:p>
        </w:tc>
        <w:tc>
          <w:tcPr>
            <w:tcW w:w="1963" w:type="dxa"/>
            <w:vAlign w:val="center"/>
          </w:tcPr>
          <w:p w14:paraId="1E65F0B2">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主任药师</w:t>
            </w:r>
          </w:p>
        </w:tc>
      </w:tr>
    </w:tbl>
    <w:p w14:paraId="565C06BB">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color w:val="000000" w:themeColor="text1"/>
          <w:sz w:val="28"/>
          <w:szCs w:val="28"/>
          <w:lang w:val="en-US" w:eastAsia="zh-CN"/>
          <w14:textFill>
            <w14:solidFill>
              <w14:schemeClr w14:val="tx1"/>
            </w14:solidFill>
          </w14:textFill>
        </w:rPr>
        <w:t>十一、</w:t>
      </w:r>
      <w:r>
        <w:rPr>
          <w:rFonts w:hint="eastAsia" w:ascii="仿宋" w:hAnsi="仿宋" w:eastAsia="仿宋" w:cs="仿宋"/>
          <w:b/>
          <w:bCs/>
          <w:sz w:val="28"/>
          <w:szCs w:val="28"/>
        </w:rPr>
        <w:t>公示期限：</w:t>
      </w: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22</w:t>
      </w:r>
      <w:r>
        <w:rPr>
          <w:rFonts w:hint="eastAsia" w:ascii="仿宋" w:hAnsi="仿宋" w:eastAsia="仿宋" w:cs="仿宋"/>
          <w:color w:val="000000" w:themeColor="text1"/>
          <w:sz w:val="28"/>
          <w:szCs w:val="28"/>
          <w14:textFill>
            <w14:solidFill>
              <w14:schemeClr w14:val="tx1"/>
            </w14:solidFill>
          </w14:textFill>
        </w:rPr>
        <w:t>日至202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26</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sz w:val="28"/>
          <w:szCs w:val="28"/>
        </w:rPr>
        <w:t>。任何供应商、单位或个人对采用单一来源采购方式有异议的，可以在公示期内以书面形式向采购人反映。如无异议，公示结束后将采用</w:t>
      </w:r>
      <w:bookmarkStart w:id="66" w:name="_GoBack"/>
      <w:bookmarkEnd w:id="66"/>
      <w:r>
        <w:rPr>
          <w:rFonts w:hint="eastAsia" w:ascii="仿宋" w:hAnsi="仿宋" w:eastAsia="仿宋" w:cs="仿宋"/>
          <w:sz w:val="28"/>
          <w:szCs w:val="28"/>
        </w:rPr>
        <w:t>单一来源采购方式采购。</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十二、协商时间及方式：</w:t>
      </w:r>
      <w:r>
        <w:rPr>
          <w:rFonts w:hint="eastAsia" w:ascii="仿宋" w:hAnsi="仿宋" w:eastAsia="仿宋" w:cs="仿宋"/>
          <w:b/>
          <w:bCs/>
          <w:color w:val="000000" w:themeColor="text1"/>
          <w:sz w:val="28"/>
          <w:szCs w:val="28"/>
          <w:lang w:val="en-US" w:eastAsia="zh-CN"/>
          <w14:textFill>
            <w14:solidFill>
              <w14:schemeClr w14:val="tx1"/>
            </w14:solidFill>
          </w14:textFill>
        </w:rPr>
        <w:br w:type="textWrapping"/>
      </w:r>
      <w:r>
        <w:rPr>
          <w:rFonts w:hint="eastAsia" w:ascii="仿宋" w:hAnsi="仿宋" w:eastAsia="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sz w:val="28"/>
          <w:szCs w:val="28"/>
          <w:lang w:val="en-US" w:eastAsia="zh-CN"/>
        </w:rPr>
        <w:t>1、协商时间：</w:t>
      </w:r>
      <w:r>
        <w:rPr>
          <w:rFonts w:hint="eastAsia" w:ascii="仿宋" w:hAnsi="仿宋" w:eastAsia="仿宋" w:cs="仿宋"/>
          <w:color w:val="000000" w:themeColor="text1"/>
          <w:sz w:val="28"/>
          <w:szCs w:val="28"/>
          <w:lang w:val="en-US" w:eastAsia="zh-CN"/>
          <w14:textFill>
            <w14:solidFill>
              <w14:schemeClr w14:val="tx1"/>
            </w14:solidFill>
          </w14:textFill>
        </w:rPr>
        <w:t>2026年1月27日下午15时整</w:t>
      </w:r>
    </w:p>
    <w:p w14:paraId="79A1E090">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2、协商方式：现场协商</w:t>
      </w:r>
    </w:p>
    <w:p w14:paraId="2341A319">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3、协商地点：六安市叶集区人民医院10楼会议室。</w:t>
      </w:r>
    </w:p>
    <w:p w14:paraId="60A3571B">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十三、</w:t>
      </w:r>
      <w:r>
        <w:rPr>
          <w:rFonts w:hint="eastAsia" w:ascii="仿宋" w:hAnsi="仿宋" w:eastAsia="仿宋" w:cs="仿宋"/>
          <w:b/>
          <w:bCs/>
          <w:sz w:val="28"/>
          <w:szCs w:val="28"/>
        </w:rPr>
        <w:t>联系方式</w:t>
      </w:r>
    </w:p>
    <w:p w14:paraId="051997D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采购人：六安市叶集区人民医院（六安市第六人民医院）</w:t>
      </w:r>
    </w:p>
    <w:p w14:paraId="4B74F9E5">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联系地址：六安市叶集区兴叶大道与民强北路交叉口</w:t>
      </w:r>
    </w:p>
    <w:p w14:paraId="7B3F1D5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联系电话：0564-6488025 </w:t>
      </w:r>
    </w:p>
    <w:p w14:paraId="7C511467">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 xml:space="preserve">采购代理机构：安徽同方工程咨询有限公司 </w:t>
      </w:r>
    </w:p>
    <w:p w14:paraId="3BB2FE2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胡</w:t>
      </w:r>
      <w:r>
        <w:rPr>
          <w:rFonts w:hint="eastAsia" w:ascii="仿宋" w:hAnsi="仿宋" w:eastAsia="仿宋" w:cs="仿宋"/>
          <w:sz w:val="28"/>
          <w:szCs w:val="28"/>
        </w:rPr>
        <w:t>工</w:t>
      </w:r>
    </w:p>
    <w:p w14:paraId="493EFC3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联系地址：六安市东城路上东阳光城6号楼5楼</w:t>
      </w:r>
    </w:p>
    <w:p w14:paraId="5EED877A">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联系电话：0564-3284233</w:t>
      </w:r>
    </w:p>
    <w:p w14:paraId="333D8C02">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lang w:val="en-US" w:eastAsia="zh-CN"/>
        </w:rPr>
      </w:pPr>
    </w:p>
    <w:p w14:paraId="6E8BCACF">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2026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22</w:t>
      </w:r>
      <w:r>
        <w:rPr>
          <w:rFonts w:hint="eastAsia" w:ascii="仿宋" w:hAnsi="仿宋" w:eastAsia="仿宋" w:cs="仿宋"/>
          <w:color w:val="000000" w:themeColor="text1"/>
          <w:sz w:val="28"/>
          <w:szCs w:val="28"/>
          <w14:textFill>
            <w14:solidFill>
              <w14:schemeClr w14:val="tx1"/>
            </w14:solidFill>
          </w14:textFill>
        </w:rPr>
        <w:t>日</w:t>
      </w:r>
    </w:p>
    <w:p w14:paraId="4650C371"/>
    <w:p w14:paraId="6C8611EB">
      <w:pPr>
        <w:rPr>
          <w:rFonts w:ascii="宋体" w:hAnsi="宋体" w:cs="宋体"/>
          <w:sz w:val="24"/>
        </w:rPr>
      </w:pPr>
      <w:r>
        <w:rPr>
          <w:rFonts w:hint="eastAsia" w:ascii="宋体" w:hAnsi="宋体" w:cs="宋体"/>
          <w:sz w:val="24"/>
        </w:rPr>
        <w:br w:type="page"/>
      </w:r>
    </w:p>
    <w:p w14:paraId="03A4B978">
      <w:pPr>
        <w:pStyle w:val="5"/>
        <w:spacing w:before="120" w:beforeLines="50" w:after="120" w:afterLines="50" w:line="560" w:lineRule="exact"/>
        <w:jc w:val="center"/>
        <w:rPr>
          <w:rFonts w:asciiTheme="minorEastAsia" w:hAnsiTheme="minorEastAsia" w:eastAsiaTheme="minorEastAsia" w:cstheme="minorEastAsia"/>
          <w:b/>
          <w:bCs/>
          <w:kern w:val="0"/>
          <w:sz w:val="24"/>
          <w:u w:val="single"/>
        </w:rPr>
      </w:pPr>
      <w:r>
        <w:rPr>
          <w:rFonts w:hint="eastAsia" w:ascii="宋体" w:hAnsi="宋体" w:eastAsia="宋体" w:cs="宋体"/>
          <w:sz w:val="24"/>
          <w:szCs w:val="24"/>
        </w:rPr>
        <w:t>第一章 单一来源采购邀请书</w:t>
      </w:r>
      <w:bookmarkEnd w:id="0"/>
      <w:bookmarkEnd w:id="1"/>
    </w:p>
    <w:p w14:paraId="163CD6C9">
      <w:pPr>
        <w:spacing w:line="80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u w:val="single"/>
        </w:rPr>
        <w:t>上海联影医疗科技股份有限公司</w:t>
      </w:r>
      <w:r>
        <w:rPr>
          <w:rFonts w:hint="eastAsia" w:asciiTheme="minorEastAsia" w:hAnsiTheme="minorEastAsia" w:eastAsiaTheme="minorEastAsia" w:cstheme="minorEastAsia"/>
          <w:b/>
          <w:bCs/>
          <w:kern w:val="0"/>
          <w:sz w:val="24"/>
        </w:rPr>
        <w:t>：</w:t>
      </w:r>
    </w:p>
    <w:p w14:paraId="69AC55B6">
      <w:pPr>
        <w:spacing w:line="8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lang w:val="en-US" w:eastAsia="zh-CN"/>
        </w:rPr>
        <w:t>六安市叶集区人民医院（六安市第六人民医院）磁共振线圈采购项目</w:t>
      </w:r>
      <w:r>
        <w:rPr>
          <w:rFonts w:hint="eastAsia" w:asciiTheme="minorEastAsia" w:hAnsiTheme="minorEastAsia" w:eastAsiaTheme="minorEastAsia" w:cstheme="minorEastAsia"/>
          <w:kern w:val="0"/>
          <w:sz w:val="24"/>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kern w:val="0"/>
          <w:sz w:val="24"/>
          <w:lang w:val="en-US" w:eastAsia="zh-CN"/>
        </w:rPr>
        <w:t>现场</w:t>
      </w:r>
      <w:r>
        <w:rPr>
          <w:rFonts w:hint="eastAsia" w:asciiTheme="minorEastAsia" w:hAnsiTheme="minorEastAsia" w:eastAsiaTheme="minorEastAsia" w:cstheme="minorEastAsia"/>
          <w:kern w:val="0"/>
          <w:sz w:val="24"/>
        </w:rPr>
        <w:t>递交，并就本项目的商务、技术和报价等有关问题，进行进一步的协商。</w:t>
      </w:r>
    </w:p>
    <w:p w14:paraId="5689EB78">
      <w:pPr>
        <w:spacing w:line="800" w:lineRule="exact"/>
        <w:rPr>
          <w:rFonts w:asciiTheme="minorEastAsia" w:hAnsiTheme="minorEastAsia" w:eastAsiaTheme="minorEastAsia" w:cstheme="minorEastAsia"/>
          <w:kern w:val="0"/>
          <w:sz w:val="24"/>
        </w:rPr>
      </w:pPr>
    </w:p>
    <w:p w14:paraId="61EF2811">
      <w:pPr>
        <w:wordWrap w:val="0"/>
        <w:spacing w:line="800" w:lineRule="exact"/>
        <w:ind w:right="480" w:firstLine="3240" w:firstLineChars="1350"/>
        <w:jc w:val="righ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kern w:val="0"/>
          <w:sz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kern w:val="0"/>
          <w:sz w:val="24"/>
          <w14:textFill>
            <w14:solidFill>
              <w14:schemeClr w14:val="tx1"/>
            </w14:solidFill>
          </w14:textFill>
        </w:rPr>
        <w:t>日</w:t>
      </w:r>
    </w:p>
    <w:p w14:paraId="59376D92">
      <w:pPr>
        <w:pStyle w:val="25"/>
        <w:spacing w:before="120" w:beforeLines="50" w:after="120" w:afterLines="50" w:line="5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br w:type="page"/>
      </w:r>
      <w:bookmarkStart w:id="2" w:name="_Toc533314945"/>
      <w:bookmarkStart w:id="3" w:name="_Toc18671550"/>
      <w:bookmarkStart w:id="4" w:name="_Toc25424"/>
      <w:r>
        <w:rPr>
          <w:rStyle w:val="31"/>
          <w:rFonts w:hint="eastAsia" w:ascii="宋体" w:hAnsi="宋体" w:eastAsia="宋体" w:cs="宋体"/>
          <w:b/>
          <w:sz w:val="24"/>
          <w:szCs w:val="24"/>
        </w:rPr>
        <w:t xml:space="preserve">第二章  </w:t>
      </w:r>
      <w:bookmarkEnd w:id="2"/>
      <w:bookmarkStart w:id="5" w:name="_Toc533314946"/>
      <w:bookmarkStart w:id="6" w:name="_Toc272163828"/>
      <w:r>
        <w:rPr>
          <w:rStyle w:val="31"/>
          <w:rFonts w:hint="eastAsia" w:ascii="宋体" w:hAnsi="宋体" w:eastAsia="宋体" w:cs="宋体"/>
          <w:b/>
          <w:sz w:val="24"/>
          <w:szCs w:val="24"/>
        </w:rPr>
        <w:t>供应商须知前附表</w:t>
      </w:r>
      <w:bookmarkEnd w:id="3"/>
      <w:bookmarkEnd w:id="4"/>
    </w:p>
    <w:bookmarkEnd w:id="5"/>
    <w:bookmarkEnd w:id="6"/>
    <w:tbl>
      <w:tblPr>
        <w:tblStyle w:val="16"/>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14:paraId="20B046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14:paraId="3C8757EB">
            <w:pPr>
              <w:spacing w:line="48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8369" w:type="dxa"/>
            <w:gridSpan w:val="2"/>
            <w:vAlign w:val="center"/>
          </w:tcPr>
          <w:p w14:paraId="23AD4989">
            <w:pPr>
              <w:spacing w:line="48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内      容</w:t>
            </w:r>
          </w:p>
        </w:tc>
      </w:tr>
      <w:tr w14:paraId="0DD64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73693044">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8369" w:type="dxa"/>
            <w:gridSpan w:val="2"/>
            <w:vAlign w:val="center"/>
          </w:tcPr>
          <w:p w14:paraId="309BCEAB">
            <w:pPr>
              <w:spacing w:line="480" w:lineRule="exac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六安市叶集区人民医院（六安市第六人民医院）磁共振线圈采购项目</w:t>
            </w:r>
            <w:r>
              <w:rPr>
                <w:rFonts w:hint="eastAsia" w:asciiTheme="minorEastAsia" w:hAnsiTheme="minorEastAsia" w:eastAsiaTheme="minorEastAsia" w:cstheme="minorEastAsia"/>
                <w:sz w:val="24"/>
                <w:highlight w:val="none"/>
              </w:rPr>
              <w:t>项目编号：AHTF-2026010H</w:t>
            </w:r>
          </w:p>
          <w:p w14:paraId="6F2F0E76">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项目预算：</w:t>
            </w:r>
            <w:r>
              <w:rPr>
                <w:rFonts w:hint="eastAsia" w:asciiTheme="minorEastAsia" w:hAnsiTheme="minorEastAsia" w:eastAsiaTheme="minorEastAsia" w:cstheme="minorEastAsia"/>
                <w:sz w:val="24"/>
                <w:highlight w:val="none"/>
                <w:lang w:val="en-US" w:eastAsia="zh-CN"/>
              </w:rPr>
              <w:t>23</w:t>
            </w:r>
            <w:r>
              <w:rPr>
                <w:rFonts w:hint="eastAsia" w:asciiTheme="minorEastAsia" w:hAnsiTheme="minorEastAsia" w:eastAsiaTheme="minorEastAsia" w:cstheme="minorEastAsia"/>
                <w:bCs/>
                <w:sz w:val="24"/>
                <w:highlight w:val="none"/>
              </w:rPr>
              <w:t>万元</w:t>
            </w:r>
          </w:p>
        </w:tc>
      </w:tr>
      <w:tr w14:paraId="01971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0642689B">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8369" w:type="dxa"/>
            <w:gridSpan w:val="2"/>
            <w:vAlign w:val="center"/>
          </w:tcPr>
          <w:p w14:paraId="567BE743">
            <w:pPr>
              <w:spacing w:line="48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Cs/>
                <w:sz w:val="24"/>
              </w:rPr>
              <w:t>采购人名称：</w:t>
            </w:r>
            <w:r>
              <w:rPr>
                <w:rFonts w:hint="eastAsia" w:asciiTheme="minorEastAsia" w:hAnsiTheme="minorEastAsia" w:eastAsiaTheme="minorEastAsia" w:cstheme="minorEastAsia"/>
                <w:bCs/>
                <w:sz w:val="24"/>
                <w:lang w:val="en-US" w:eastAsia="zh-CN"/>
              </w:rPr>
              <w:t>六安市叶集区人民医院（六安市第六人民医院）</w:t>
            </w:r>
          </w:p>
          <w:p w14:paraId="4E4003B5">
            <w:pPr>
              <w:spacing w:line="480" w:lineRule="exact"/>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sz w:val="24"/>
              </w:rPr>
              <w:t>地      址：六安市叶集区兴叶大道与民强北路交叉口</w:t>
            </w:r>
            <w:r>
              <w:rPr>
                <w:rFonts w:hint="eastAsia" w:ascii="宋体" w:hAnsi="宋体" w:cs="宋体"/>
                <w:color w:val="000000" w:themeColor="text1"/>
                <w:sz w:val="24"/>
                <w14:textFill>
                  <w14:solidFill>
                    <w14:schemeClr w14:val="tx1"/>
                  </w14:solidFill>
                </w14:textFill>
              </w:rPr>
              <w:t xml:space="preserve">       </w:t>
            </w:r>
          </w:p>
          <w:p w14:paraId="1E3BF0C3">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联 系 方式：0564-6488025  </w:t>
            </w:r>
          </w:p>
        </w:tc>
      </w:tr>
      <w:tr w14:paraId="54217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73F93F2B">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8369" w:type="dxa"/>
            <w:gridSpan w:val="2"/>
            <w:vAlign w:val="center"/>
          </w:tcPr>
          <w:p w14:paraId="42342B43">
            <w:pPr>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代理机构名称：安徽同方工程咨询有限公司</w:t>
            </w:r>
            <w:r>
              <w:rPr>
                <w:rFonts w:asciiTheme="minorEastAsia" w:hAnsiTheme="minorEastAsia" w:eastAsiaTheme="minorEastAsia" w:cstheme="minorEastAsia"/>
                <w:bCs/>
                <w:sz w:val="24"/>
              </w:rPr>
              <w:t xml:space="preserve"> </w:t>
            </w:r>
          </w:p>
          <w:p w14:paraId="1034226D">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址：六安市东城路上东阳光城6号楼5楼</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xml:space="preserve">          </w:t>
            </w:r>
          </w:p>
          <w:p w14:paraId="48843594">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 系 方 式：0564-3284233</w:t>
            </w:r>
          </w:p>
        </w:tc>
      </w:tr>
      <w:tr w14:paraId="01CC3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7ADEF06C">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4</w:t>
            </w:r>
          </w:p>
        </w:tc>
        <w:tc>
          <w:tcPr>
            <w:tcW w:w="8369" w:type="dxa"/>
            <w:gridSpan w:val="2"/>
            <w:vAlign w:val="center"/>
          </w:tcPr>
          <w:p w14:paraId="62EAFC13">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项目类别：</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类</w:t>
            </w:r>
          </w:p>
        </w:tc>
      </w:tr>
      <w:tr w14:paraId="452E8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59BFFA14">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8369" w:type="dxa"/>
            <w:gridSpan w:val="2"/>
            <w:vAlign w:val="center"/>
          </w:tcPr>
          <w:p w14:paraId="1710A372">
            <w:pPr>
              <w:spacing w:line="480" w:lineRule="exact"/>
              <w:jc w:val="left"/>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供货及安装完成期限</w:t>
            </w:r>
            <w:r>
              <w:rPr>
                <w:rFonts w:hint="eastAsia" w:asciiTheme="minorEastAsia" w:hAnsiTheme="minorEastAsia" w:eastAsiaTheme="minorEastAsia" w:cstheme="minorEastAsia"/>
                <w:sz w:val="24"/>
                <w:highlight w:val="none"/>
              </w:rPr>
              <w:t>：合同签订生效后</w:t>
            </w:r>
            <w:r>
              <w:rPr>
                <w:rFonts w:hint="eastAsia" w:asciiTheme="minorEastAsia" w:hAnsiTheme="minorEastAsia" w:eastAsiaTheme="minorEastAsia" w:cstheme="minorEastAsia"/>
                <w:sz w:val="24"/>
                <w:highlight w:val="none"/>
                <w:lang w:val="en-US" w:eastAsia="zh-CN"/>
              </w:rPr>
              <w:t>30个</w:t>
            </w:r>
            <w:r>
              <w:rPr>
                <w:rFonts w:hint="eastAsia" w:asciiTheme="minorEastAsia" w:hAnsiTheme="minorEastAsia" w:eastAsiaTheme="minorEastAsia" w:cstheme="minorEastAsia"/>
                <w:sz w:val="24"/>
                <w:highlight w:val="none"/>
              </w:rPr>
              <w:t>日历天内</w:t>
            </w:r>
            <w:r>
              <w:rPr>
                <w:rFonts w:hint="eastAsia" w:asciiTheme="minorEastAsia" w:hAnsiTheme="minorEastAsia" w:eastAsiaTheme="minorEastAsia" w:cstheme="minorEastAsia"/>
                <w:sz w:val="24"/>
                <w:highlight w:val="none"/>
                <w:lang w:val="en-US" w:eastAsia="zh-CN"/>
              </w:rPr>
              <w:t>完成安装调试。</w:t>
            </w:r>
          </w:p>
        </w:tc>
      </w:tr>
      <w:tr w14:paraId="188AA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3669AB36">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8369" w:type="dxa"/>
            <w:gridSpan w:val="2"/>
            <w:vAlign w:val="center"/>
          </w:tcPr>
          <w:p w14:paraId="4FE5E001">
            <w:pPr>
              <w:spacing w:line="480" w:lineRule="exact"/>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货物质保期： 线圈质保时间为验收合格1年。</w:t>
            </w:r>
          </w:p>
        </w:tc>
      </w:tr>
      <w:tr w14:paraId="2E8E3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44624BE5">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7</w:t>
            </w:r>
          </w:p>
        </w:tc>
        <w:tc>
          <w:tcPr>
            <w:tcW w:w="1234" w:type="dxa"/>
            <w:vAlign w:val="center"/>
          </w:tcPr>
          <w:p w14:paraId="79FFE8AD">
            <w:pPr>
              <w:spacing w:line="48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付款方式：</w:t>
            </w:r>
          </w:p>
        </w:tc>
        <w:tc>
          <w:tcPr>
            <w:tcW w:w="7135" w:type="dxa"/>
            <w:vAlign w:val="center"/>
          </w:tcPr>
          <w:p w14:paraId="0C8ED945">
            <w:pPr>
              <w:spacing w:line="480" w:lineRule="exac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合同签订发货安装调试后60天内支付合同总价款100%</w:t>
            </w:r>
            <w:r>
              <w:rPr>
                <w:rFonts w:hint="eastAsia" w:asciiTheme="minorEastAsia" w:hAnsiTheme="minorEastAsia" w:eastAsiaTheme="minorEastAsia" w:cstheme="minorEastAsia"/>
                <w:sz w:val="24"/>
                <w:highlight w:val="none"/>
                <w:lang w:val="en-US" w:eastAsia="zh-CN"/>
              </w:rPr>
              <w:br w:type="textWrapping"/>
            </w:r>
            <w:r>
              <w:rPr>
                <w:rFonts w:hint="eastAsia" w:asciiTheme="minorEastAsia" w:hAnsiTheme="minorEastAsia" w:eastAsiaTheme="minorEastAsia" w:cstheme="minorEastAsia"/>
                <w:b/>
                <w:bCs/>
                <w:sz w:val="24"/>
                <w:highlight w:val="none"/>
              </w:rPr>
              <w:t>（供应商提交的响应文件中如有关于付款条件的表述与单一来源文</w:t>
            </w:r>
          </w:p>
          <w:p w14:paraId="308E6858">
            <w:pPr>
              <w:spacing w:line="48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件规定不符，将被视为实质性不响应，将导致响应无效）</w:t>
            </w:r>
          </w:p>
        </w:tc>
      </w:tr>
      <w:tr w14:paraId="0485E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4A149175">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8369" w:type="dxa"/>
            <w:gridSpan w:val="2"/>
            <w:vAlign w:val="center"/>
          </w:tcPr>
          <w:p w14:paraId="16AC5827">
            <w:pPr>
              <w:spacing w:line="48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履约保证金：1、成交供应商在签订合同时应向采购人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提交合同总价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%的履约保证金</w:t>
            </w:r>
            <w:r>
              <w:rPr>
                <w:rFonts w:hint="eastAsia" w:asciiTheme="minorEastAsia" w:hAnsiTheme="minorEastAsia" w:eastAsiaTheme="minorEastAsia" w:cstheme="minorEastAsia"/>
                <w:sz w:val="24"/>
                <w:highlight w:val="none"/>
              </w:rPr>
              <w:t>（最高缴纳比例不得超过合同金额的2.5%）。</w:t>
            </w:r>
          </w:p>
          <w:p w14:paraId="0EDBB988">
            <w:pPr>
              <w:spacing w:line="48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2、成交供应商可以通过转账、网银支付、汇票、支票、保证保险、担保保函、银行履约保函等方式提交履约保证金。</w:t>
            </w:r>
          </w:p>
          <w:p w14:paraId="359F3F50">
            <w:pPr>
              <w:pStyle w:val="2"/>
              <w:spacing w:after="0" w:line="480" w:lineRule="exact"/>
              <w:ind w:firstLine="0"/>
              <w:rPr>
                <w:highlight w:val="none"/>
              </w:rPr>
            </w:pPr>
            <w:r>
              <w:rPr>
                <w:rFonts w:hint="eastAsia"/>
                <w:highlight w:val="none"/>
              </w:rPr>
              <w:t>3、项目验收结束后应及时退还履约保证金。</w:t>
            </w:r>
          </w:p>
        </w:tc>
      </w:tr>
      <w:tr w14:paraId="1FB6D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0CE14431">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8369" w:type="dxa"/>
            <w:gridSpan w:val="2"/>
            <w:vAlign w:val="center"/>
          </w:tcPr>
          <w:p w14:paraId="1B3DB8E0">
            <w:pPr>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响应有效期：公示结束60日内。</w:t>
            </w:r>
          </w:p>
        </w:tc>
      </w:tr>
      <w:tr w14:paraId="24963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4D91CB39">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8369" w:type="dxa"/>
            <w:gridSpan w:val="2"/>
            <w:vAlign w:val="center"/>
          </w:tcPr>
          <w:p w14:paraId="1F5CD20C">
            <w:pPr>
              <w:spacing w:line="480" w:lineRule="exact"/>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z w:val="24"/>
              </w:rPr>
              <w:t>勘察现场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请各供应商联系采购单位自行勘踏。 </w:t>
            </w:r>
          </w:p>
        </w:tc>
      </w:tr>
      <w:tr w14:paraId="1114D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7DF709AD">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8369" w:type="dxa"/>
            <w:gridSpan w:val="2"/>
            <w:vAlign w:val="center"/>
          </w:tcPr>
          <w:p w14:paraId="3B521C26">
            <w:pPr>
              <w:spacing w:line="48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单一来源采购响应文件份数及要求：正本1份、副本</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份，胶装成册、密封</w:t>
            </w:r>
            <w:r>
              <w:rPr>
                <w:rFonts w:hint="eastAsia" w:asciiTheme="minorEastAsia" w:hAnsiTheme="minorEastAsia" w:eastAsiaTheme="minorEastAsia" w:cstheme="minorEastAsia"/>
                <w:sz w:val="24"/>
                <w:lang w:val="en-US" w:eastAsia="zh-CN"/>
              </w:rPr>
              <w:t>递交。</w:t>
            </w:r>
          </w:p>
        </w:tc>
      </w:tr>
      <w:tr w14:paraId="65787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6B52BFD5">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w:t>
            </w:r>
          </w:p>
        </w:tc>
        <w:tc>
          <w:tcPr>
            <w:tcW w:w="8369" w:type="dxa"/>
            <w:gridSpan w:val="2"/>
            <w:vAlign w:val="center"/>
          </w:tcPr>
          <w:p w14:paraId="5922821E">
            <w:pPr>
              <w:pStyle w:val="29"/>
              <w:pBdr>
                <w:bottom w:val="none" w:color="auto" w:sz="0" w:space="0"/>
              </w:pBdr>
              <w:tabs>
                <w:tab w:val="left" w:pos="420"/>
              </w:tabs>
              <w:adjustRightInd/>
              <w:spacing w:line="46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质疑与答疑：1、供应商如果对采购文件内容有相关疑问，可以发邮件向采购代理机构提出（疑问文件以文档形式提供，如WORD文档等）。代理机构邮箱地址为1610920774@qq.com；</w:t>
            </w:r>
          </w:p>
          <w:p w14:paraId="3DDB9B7B">
            <w:pPr>
              <w:spacing w:line="480" w:lineRule="exact"/>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kern w:val="2"/>
                <w:sz w:val="24"/>
                <w:szCs w:val="24"/>
                <w:lang w:val="en-US" w:eastAsia="zh-CN" w:bidi="ar-SA"/>
              </w:rPr>
              <w:t>2、提交成功后疑问文件即传至采购人（采购代理机构），后续答疑以书面形式通知。</w:t>
            </w:r>
          </w:p>
        </w:tc>
      </w:tr>
      <w:tr w14:paraId="71D95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3DD31A94">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w:t>
            </w:r>
          </w:p>
        </w:tc>
        <w:tc>
          <w:tcPr>
            <w:tcW w:w="8369" w:type="dxa"/>
            <w:gridSpan w:val="2"/>
            <w:vAlign w:val="center"/>
          </w:tcPr>
          <w:p w14:paraId="6E4EC9EC">
            <w:pPr>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协商时间及方式：</w:t>
            </w:r>
          </w:p>
          <w:p w14:paraId="5CB7A03B">
            <w:pPr>
              <w:spacing w:line="480" w:lineRule="exact"/>
              <w:rPr>
                <w:rFonts w:hint="default" w:asciiTheme="minorEastAsia" w:hAnsiTheme="minorEastAsia" w:eastAsiaTheme="minorEastAsia" w:cstheme="minorEastAsia"/>
                <w:bCs/>
                <w:color w:val="000000" w:themeColor="text1"/>
                <w:sz w:val="24"/>
                <w:lang w:val="en-US"/>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1、协商时间：</w:t>
            </w:r>
            <w:r>
              <w:rPr>
                <w:rFonts w:hint="eastAsia" w:asciiTheme="minorEastAsia" w:hAnsiTheme="minorEastAsia" w:eastAsiaTheme="minorEastAsia" w:cstheme="minorEastAsia"/>
                <w:bCs/>
                <w:color w:val="000000" w:themeColor="text1"/>
                <w:sz w:val="24"/>
                <w:u w:val="none"/>
                <w:lang w:val="en-US" w:eastAsia="zh-CN"/>
                <w14:textFill>
                  <w14:solidFill>
                    <w14:schemeClr w14:val="tx1"/>
                  </w14:solidFill>
                </w14:textFill>
              </w:rPr>
              <w:t>同公告时间</w:t>
            </w:r>
          </w:p>
          <w:p w14:paraId="7E51BF36">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2、协商方式：</w:t>
            </w:r>
            <w:r>
              <w:rPr>
                <w:rFonts w:hint="eastAsia" w:asciiTheme="minorEastAsia" w:hAnsiTheme="minorEastAsia" w:eastAsiaTheme="minorEastAsia" w:cstheme="minorEastAsia"/>
                <w:bCs/>
                <w:sz w:val="24"/>
                <w:lang w:val="en-US" w:eastAsia="zh-CN"/>
              </w:rPr>
              <w:t>现场</w:t>
            </w:r>
            <w:r>
              <w:rPr>
                <w:rFonts w:hint="eastAsia" w:asciiTheme="minorEastAsia" w:hAnsiTheme="minorEastAsia" w:eastAsiaTheme="minorEastAsia" w:cstheme="minorEastAsia"/>
                <w:bCs/>
                <w:sz w:val="24"/>
              </w:rPr>
              <w:t>协商</w:t>
            </w:r>
          </w:p>
        </w:tc>
      </w:tr>
      <w:tr w14:paraId="4F278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C3BF72B">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w:t>
            </w:r>
          </w:p>
        </w:tc>
        <w:tc>
          <w:tcPr>
            <w:tcW w:w="8369" w:type="dxa"/>
            <w:gridSpan w:val="2"/>
            <w:vAlign w:val="center"/>
          </w:tcPr>
          <w:p w14:paraId="638B13DC">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响应文件递交截止时间：同本项目协商时间。</w:t>
            </w:r>
          </w:p>
        </w:tc>
      </w:tr>
      <w:tr w14:paraId="14F76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E419074">
            <w:pPr>
              <w:spacing w:line="480" w:lineRule="exact"/>
              <w:jc w:val="center"/>
              <w:rPr>
                <w:rFonts w:hint="default" w:asciiTheme="minorEastAsia" w:hAnsiTheme="minorEastAsia" w:eastAsiaTheme="minorEastAsia" w:cstheme="minorEastAsia"/>
                <w:sz w:val="24"/>
                <w:lang w:val="en-US" w:eastAsia="zh-CN"/>
              </w:rPr>
            </w:pPr>
            <w:bookmarkStart w:id="7" w:name="_Hlk450145192"/>
            <w:r>
              <w:rPr>
                <w:rFonts w:hint="eastAsia" w:asciiTheme="minorEastAsia" w:hAnsiTheme="minorEastAsia" w:eastAsiaTheme="minorEastAsia" w:cstheme="minorEastAsia"/>
                <w:sz w:val="24"/>
                <w:lang w:val="en-US" w:eastAsia="zh-CN"/>
              </w:rPr>
              <w:t>15</w:t>
            </w:r>
          </w:p>
        </w:tc>
        <w:tc>
          <w:tcPr>
            <w:tcW w:w="8369" w:type="dxa"/>
            <w:gridSpan w:val="2"/>
            <w:vAlign w:val="center"/>
          </w:tcPr>
          <w:p w14:paraId="3BF9F30C">
            <w:pPr>
              <w:pStyle w:val="29"/>
              <w:numPr>
                <w:ilvl w:val="0"/>
                <w:numId w:val="1"/>
              </w:numPr>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存在以下不良信用记录情形之一的，不得推荐为成交候选供应商：</w:t>
            </w:r>
          </w:p>
          <w:p w14:paraId="733E6535">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44DD1AA9">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91F3D17">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3894F929">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5CDBECE3">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19B99FB8">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6136CFD8">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5FE7829A">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0C4C6C78">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482063F1">
            <w:pPr>
              <w:pStyle w:val="2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p w14:paraId="426127BD">
            <w:pPr>
              <w:spacing w:line="480" w:lineRule="exact"/>
              <w:rPr>
                <w:rFonts w:asciiTheme="minorEastAsia" w:hAnsiTheme="minorEastAsia" w:eastAsiaTheme="minorEastAsia" w:cstheme="minorEastAsia"/>
                <w:sz w:val="24"/>
              </w:rPr>
            </w:pPr>
            <w:r>
              <w:rPr>
                <w:rFonts w:hint="eastAsia" w:ascii="宋体" w:hAnsi="宋体"/>
                <w:bCs/>
                <w:kern w:val="2"/>
                <w:szCs w:val="24"/>
              </w:rPr>
              <w:t>4</w:t>
            </w:r>
            <w:r>
              <w:rPr>
                <w:rFonts w:hint="eastAsia" w:ascii="宋体" w:hAnsi="宋体" w:eastAsia="宋体" w:cs="Times New Roman"/>
                <w:bCs/>
                <w:kern w:val="2"/>
                <w:sz w:val="24"/>
                <w:szCs w:val="24"/>
                <w:lang w:val="en-US" w:eastAsia="zh-CN" w:bidi="ar-SA"/>
              </w:rPr>
              <w:t>、联合体投标的，所有联合体成员均须加盖公章后制成扫描件上传。如有虚假，采购人将取消其成交资格并上报相关监督管理部门按有关规定处理。</w:t>
            </w:r>
          </w:p>
        </w:tc>
      </w:tr>
      <w:tr w14:paraId="24FAE1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D011F32">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8369" w:type="dxa"/>
            <w:gridSpan w:val="2"/>
            <w:vAlign w:val="center"/>
          </w:tcPr>
          <w:p w14:paraId="41AAA45A">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递交响应文件注意事项：响应文件必须在询价截止时间前递交。</w:t>
            </w:r>
          </w:p>
        </w:tc>
      </w:tr>
      <w:tr w14:paraId="578C3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71FA7108">
            <w:pPr>
              <w:tabs>
                <w:tab w:val="left" w:pos="441"/>
              </w:tabs>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17</w:t>
            </w:r>
          </w:p>
        </w:tc>
        <w:tc>
          <w:tcPr>
            <w:tcW w:w="8369" w:type="dxa"/>
            <w:gridSpan w:val="2"/>
            <w:vAlign w:val="center"/>
          </w:tcPr>
          <w:p w14:paraId="079A1092">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1、支付方</w:t>
            </w:r>
            <w:r>
              <w:rPr>
                <w:rFonts w:hint="eastAsia" w:ascii="宋体" w:hAnsi="宋体" w:eastAsia="宋体" w:cs="宋体"/>
                <w:b w:val="0"/>
                <w:bCs w:val="0"/>
                <w:color w:val="auto"/>
                <w:sz w:val="24"/>
                <w:lang w:val="en-US" w:eastAsia="zh-CN"/>
              </w:rPr>
              <w:t>：</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en-US" w:eastAsia="zh-CN"/>
              </w:rPr>
              <w:t xml:space="preserve">采购人  </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en-US" w:eastAsia="zh-CN"/>
              </w:rPr>
              <w:t>成交供应商</w:t>
            </w:r>
          </w:p>
          <w:p w14:paraId="1A586D0E">
            <w:pPr>
              <w:spacing w:line="500" w:lineRule="exact"/>
              <w:jc w:val="left"/>
              <w:rPr>
                <w:rFonts w:ascii="宋体" w:hAnsi="宋体" w:cs="宋体"/>
                <w:sz w:val="24"/>
              </w:rPr>
            </w:pPr>
            <w:r>
              <w:rPr>
                <w:rFonts w:hint="eastAsia" w:ascii="宋体" w:hAnsi="宋体" w:eastAsia="宋体" w:cs="宋体"/>
                <w:b/>
                <w:bCs/>
                <w:color w:val="auto"/>
                <w:sz w:val="24"/>
                <w:lang w:val="en-US" w:eastAsia="zh-CN"/>
              </w:rPr>
              <w:t>2、收费标准：</w:t>
            </w:r>
            <w:r>
              <w:rPr>
                <w:rFonts w:hint="eastAsia" w:ascii="宋体" w:hAnsi="宋体" w:cs="宋体"/>
                <w:b w:val="0"/>
                <w:bCs w:val="0"/>
                <w:color w:val="auto"/>
                <w:sz w:val="24"/>
                <w:lang w:val="en-US" w:eastAsia="zh-CN"/>
              </w:rPr>
              <w:t>专家论证费据实收取（1500.00元），</w:t>
            </w:r>
            <w:r>
              <w:rPr>
                <w:rFonts w:hint="eastAsia" w:ascii="宋体" w:hAnsi="宋体" w:cs="宋体"/>
                <w:sz w:val="24"/>
              </w:rPr>
              <w:t>代理服务费的收取采用差额定率累进计费方式，具体收费标准为下表：</w:t>
            </w:r>
          </w:p>
          <w:tbl>
            <w:tblPr>
              <w:tblStyle w:val="16"/>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0EE5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ign w:val="center"/>
                </w:tcPr>
                <w:p w14:paraId="53B411AF">
                  <w:pPr>
                    <w:widowControl/>
                    <w:jc w:val="left"/>
                    <w:textAlignment w:val="center"/>
                    <w:rPr>
                      <w:b/>
                      <w:bCs/>
                      <w:color w:val="000000"/>
                      <w:sz w:val="20"/>
                    </w:rPr>
                  </w:pPr>
                  <w:r>
                    <w:rPr>
                      <w:rFonts w:hint="eastAsia" w:ascii="Calibri" w:hAnsi="Calibri" w:cs="Calibri"/>
                      <w:b/>
                      <w:bCs/>
                      <w:color w:val="000000"/>
                      <w:kern w:val="0"/>
                      <w:sz w:val="22"/>
                      <w:szCs w:val="22"/>
                    </w:rPr>
                    <w:t>中标（</w:t>
                  </w:r>
                  <w:r>
                    <w:rPr>
                      <w:rFonts w:ascii="Calibri" w:hAnsi="Calibri" w:cs="Calibri"/>
                      <w:b/>
                      <w:bCs/>
                      <w:color w:val="000000"/>
                      <w:kern w:val="0"/>
                      <w:sz w:val="22"/>
                      <w:szCs w:val="22"/>
                    </w:rPr>
                    <w:t>成交</w:t>
                  </w:r>
                  <w:r>
                    <w:rPr>
                      <w:rFonts w:hint="eastAsia" w:ascii="Calibri" w:hAnsi="Calibri" w:cs="Calibri"/>
                      <w:b/>
                      <w:bCs/>
                      <w:color w:val="000000"/>
                      <w:kern w:val="0"/>
                      <w:sz w:val="22"/>
                      <w:szCs w:val="22"/>
                    </w:rPr>
                    <w:t>）</w:t>
                  </w:r>
                  <w:r>
                    <w:rPr>
                      <w:rFonts w:ascii="Calibri" w:hAnsi="Calibri" w:cs="Calibri"/>
                      <w:b/>
                      <w:bCs/>
                      <w:color w:val="000000"/>
                      <w:kern w:val="0"/>
                      <w:sz w:val="22"/>
                      <w:szCs w:val="22"/>
                    </w:rPr>
                    <w:t>金额</w:t>
                  </w:r>
                  <w:r>
                    <w:rPr>
                      <w:rFonts w:hint="eastAsia" w:ascii="Calibri" w:hAnsi="Calibri" w:cs="Calibri"/>
                      <w:b/>
                      <w:bCs/>
                      <w:color w:val="000000"/>
                      <w:kern w:val="0"/>
                      <w:sz w:val="22"/>
                      <w:szCs w:val="22"/>
                    </w:rPr>
                    <w:t>（万元）</w:t>
                  </w:r>
                </w:p>
              </w:tc>
              <w:tc>
                <w:tcPr>
                  <w:tcW w:w="1335" w:type="dxa"/>
                  <w:noWrap/>
                  <w:vAlign w:val="center"/>
                </w:tcPr>
                <w:p w14:paraId="6DF167B7">
                  <w:pPr>
                    <w:widowControl/>
                    <w:jc w:val="left"/>
                    <w:textAlignment w:val="center"/>
                    <w:rPr>
                      <w:b/>
                      <w:bCs/>
                      <w:color w:val="000000"/>
                      <w:sz w:val="20"/>
                    </w:rPr>
                  </w:pPr>
                  <w:r>
                    <w:rPr>
                      <w:rFonts w:ascii="Calibri" w:hAnsi="Calibri" w:cs="Calibri"/>
                      <w:b/>
                      <w:bCs/>
                      <w:color w:val="000000"/>
                      <w:kern w:val="0"/>
                      <w:sz w:val="22"/>
                      <w:szCs w:val="22"/>
                    </w:rPr>
                    <w:t>货物</w:t>
                  </w:r>
                  <w:r>
                    <w:rPr>
                      <w:rFonts w:hint="eastAsia" w:ascii="Calibri" w:hAnsi="Calibri" w:cs="Calibri"/>
                      <w:b/>
                      <w:bCs/>
                      <w:color w:val="000000"/>
                      <w:kern w:val="0"/>
                      <w:sz w:val="22"/>
                      <w:szCs w:val="22"/>
                    </w:rPr>
                    <w:t>类项目</w:t>
                  </w:r>
                </w:p>
              </w:tc>
              <w:tc>
                <w:tcPr>
                  <w:tcW w:w="1275" w:type="dxa"/>
                  <w:noWrap/>
                  <w:vAlign w:val="center"/>
                </w:tcPr>
                <w:p w14:paraId="689DFDC1">
                  <w:pPr>
                    <w:widowControl/>
                    <w:jc w:val="left"/>
                    <w:textAlignment w:val="center"/>
                    <w:rPr>
                      <w:b/>
                      <w:bCs/>
                      <w:color w:val="000000"/>
                      <w:sz w:val="20"/>
                    </w:rPr>
                  </w:pPr>
                  <w:r>
                    <w:rPr>
                      <w:rFonts w:ascii="Calibri" w:hAnsi="Calibri" w:cs="Calibri"/>
                      <w:b/>
                      <w:bCs/>
                      <w:color w:val="000000"/>
                      <w:kern w:val="0"/>
                      <w:sz w:val="22"/>
                      <w:szCs w:val="22"/>
                    </w:rPr>
                    <w:t>服务</w:t>
                  </w:r>
                  <w:r>
                    <w:rPr>
                      <w:rFonts w:hint="eastAsia" w:ascii="Calibri" w:hAnsi="Calibri" w:cs="Calibri"/>
                      <w:b/>
                      <w:bCs/>
                      <w:color w:val="000000"/>
                      <w:kern w:val="0"/>
                      <w:sz w:val="22"/>
                      <w:szCs w:val="22"/>
                    </w:rPr>
                    <w:t>类项目</w:t>
                  </w:r>
                </w:p>
              </w:tc>
              <w:tc>
                <w:tcPr>
                  <w:tcW w:w="1320" w:type="dxa"/>
                  <w:noWrap/>
                  <w:vAlign w:val="center"/>
                </w:tcPr>
                <w:p w14:paraId="6EA59E1A">
                  <w:pPr>
                    <w:widowControl/>
                    <w:jc w:val="left"/>
                    <w:textAlignment w:val="center"/>
                    <w:rPr>
                      <w:b/>
                      <w:bCs/>
                      <w:color w:val="000000"/>
                      <w:sz w:val="20"/>
                    </w:rPr>
                  </w:pPr>
                  <w:r>
                    <w:rPr>
                      <w:rFonts w:ascii="Calibri" w:hAnsi="Calibri" w:cs="Calibri"/>
                      <w:b/>
                      <w:bCs/>
                      <w:color w:val="000000"/>
                      <w:kern w:val="0"/>
                      <w:sz w:val="22"/>
                      <w:szCs w:val="22"/>
                    </w:rPr>
                    <w:t>工程</w:t>
                  </w:r>
                  <w:r>
                    <w:rPr>
                      <w:rFonts w:hint="eastAsia" w:ascii="Calibri" w:hAnsi="Calibri" w:cs="Calibri"/>
                      <w:b/>
                      <w:bCs/>
                      <w:color w:val="000000"/>
                      <w:kern w:val="0"/>
                      <w:sz w:val="22"/>
                      <w:szCs w:val="22"/>
                    </w:rPr>
                    <w:t>类项目</w:t>
                  </w:r>
                </w:p>
              </w:tc>
            </w:tr>
            <w:tr w14:paraId="2E05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5717C19A">
                  <w:pPr>
                    <w:widowControl/>
                    <w:jc w:val="left"/>
                    <w:textAlignment w:val="center"/>
                    <w:rPr>
                      <w:color w:val="000000"/>
                      <w:sz w:val="20"/>
                    </w:rPr>
                  </w:pPr>
                  <w:r>
                    <w:rPr>
                      <w:rFonts w:ascii="Calibri" w:hAnsi="Calibri" w:cs="Calibri"/>
                      <w:color w:val="000000"/>
                      <w:kern w:val="0"/>
                      <w:sz w:val="22"/>
                      <w:szCs w:val="22"/>
                    </w:rPr>
                    <w:t>100 以下</w:t>
                  </w:r>
                </w:p>
              </w:tc>
              <w:tc>
                <w:tcPr>
                  <w:tcW w:w="1335" w:type="dxa"/>
                  <w:noWrap/>
                  <w:vAlign w:val="center"/>
                </w:tcPr>
                <w:p w14:paraId="6DD68F16">
                  <w:pPr>
                    <w:widowControl/>
                    <w:jc w:val="left"/>
                    <w:textAlignment w:val="center"/>
                    <w:rPr>
                      <w:color w:val="000000"/>
                      <w:sz w:val="20"/>
                    </w:rPr>
                  </w:pPr>
                  <w:r>
                    <w:rPr>
                      <w:rFonts w:ascii="Calibri" w:hAnsi="Calibri" w:cs="Calibri"/>
                      <w:color w:val="000000"/>
                      <w:kern w:val="0"/>
                      <w:sz w:val="22"/>
                      <w:szCs w:val="22"/>
                    </w:rPr>
                    <w:t>1.5%</w:t>
                  </w:r>
                </w:p>
              </w:tc>
              <w:tc>
                <w:tcPr>
                  <w:tcW w:w="1275" w:type="dxa"/>
                  <w:noWrap/>
                  <w:vAlign w:val="center"/>
                </w:tcPr>
                <w:p w14:paraId="6A882C83">
                  <w:pPr>
                    <w:widowControl/>
                    <w:jc w:val="left"/>
                    <w:textAlignment w:val="center"/>
                    <w:rPr>
                      <w:color w:val="000000"/>
                      <w:sz w:val="20"/>
                    </w:rPr>
                  </w:pPr>
                  <w:r>
                    <w:rPr>
                      <w:rFonts w:ascii="Calibri" w:hAnsi="Calibri" w:cs="Calibri"/>
                      <w:color w:val="000000"/>
                      <w:kern w:val="0"/>
                      <w:sz w:val="22"/>
                      <w:szCs w:val="22"/>
                    </w:rPr>
                    <w:t>1.5%</w:t>
                  </w:r>
                </w:p>
              </w:tc>
              <w:tc>
                <w:tcPr>
                  <w:tcW w:w="1320" w:type="dxa"/>
                  <w:noWrap/>
                  <w:vAlign w:val="center"/>
                </w:tcPr>
                <w:p w14:paraId="6C27AE97">
                  <w:pPr>
                    <w:widowControl/>
                    <w:jc w:val="left"/>
                    <w:textAlignment w:val="center"/>
                    <w:rPr>
                      <w:color w:val="000000"/>
                      <w:sz w:val="20"/>
                    </w:rPr>
                  </w:pPr>
                  <w:r>
                    <w:rPr>
                      <w:rFonts w:ascii="Calibri" w:hAnsi="Calibri" w:cs="Calibri"/>
                      <w:color w:val="000000"/>
                      <w:kern w:val="0"/>
                      <w:sz w:val="22"/>
                      <w:szCs w:val="22"/>
                    </w:rPr>
                    <w:t>1.0%</w:t>
                  </w:r>
                </w:p>
              </w:tc>
            </w:tr>
            <w:tr w14:paraId="3525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582CF99D">
                  <w:pPr>
                    <w:widowControl/>
                    <w:jc w:val="left"/>
                    <w:textAlignment w:val="center"/>
                    <w:rPr>
                      <w:color w:val="000000"/>
                      <w:sz w:val="20"/>
                    </w:rPr>
                  </w:pPr>
                  <w:r>
                    <w:rPr>
                      <w:rFonts w:ascii="Calibri" w:hAnsi="Calibri" w:cs="Calibri"/>
                      <w:color w:val="000000"/>
                      <w:kern w:val="0"/>
                      <w:sz w:val="22"/>
                      <w:szCs w:val="22"/>
                    </w:rPr>
                    <w:t>100-500</w:t>
                  </w:r>
                </w:p>
              </w:tc>
              <w:tc>
                <w:tcPr>
                  <w:tcW w:w="1335" w:type="dxa"/>
                  <w:noWrap/>
                  <w:vAlign w:val="center"/>
                </w:tcPr>
                <w:p w14:paraId="6818C333">
                  <w:pPr>
                    <w:widowControl/>
                    <w:jc w:val="left"/>
                    <w:textAlignment w:val="center"/>
                    <w:rPr>
                      <w:color w:val="000000"/>
                      <w:sz w:val="20"/>
                    </w:rPr>
                  </w:pPr>
                  <w:r>
                    <w:rPr>
                      <w:rFonts w:ascii="Calibri" w:hAnsi="Calibri" w:cs="Calibri"/>
                      <w:color w:val="000000"/>
                      <w:kern w:val="0"/>
                      <w:sz w:val="22"/>
                      <w:szCs w:val="22"/>
                    </w:rPr>
                    <w:t>1.1%</w:t>
                  </w:r>
                </w:p>
              </w:tc>
              <w:tc>
                <w:tcPr>
                  <w:tcW w:w="1275" w:type="dxa"/>
                  <w:noWrap/>
                  <w:vAlign w:val="center"/>
                </w:tcPr>
                <w:p w14:paraId="69FAA079">
                  <w:pPr>
                    <w:widowControl/>
                    <w:jc w:val="left"/>
                    <w:textAlignment w:val="center"/>
                    <w:rPr>
                      <w:color w:val="000000"/>
                      <w:sz w:val="20"/>
                    </w:rPr>
                  </w:pPr>
                  <w:r>
                    <w:rPr>
                      <w:rFonts w:ascii="Calibri" w:hAnsi="Calibri" w:cs="Calibri"/>
                      <w:color w:val="000000"/>
                      <w:kern w:val="0"/>
                      <w:sz w:val="22"/>
                      <w:szCs w:val="22"/>
                    </w:rPr>
                    <w:t>0.8%</w:t>
                  </w:r>
                </w:p>
              </w:tc>
              <w:tc>
                <w:tcPr>
                  <w:tcW w:w="1320" w:type="dxa"/>
                  <w:noWrap/>
                  <w:vAlign w:val="center"/>
                </w:tcPr>
                <w:p w14:paraId="2C5F9333">
                  <w:pPr>
                    <w:widowControl/>
                    <w:jc w:val="left"/>
                    <w:textAlignment w:val="center"/>
                    <w:rPr>
                      <w:color w:val="000000"/>
                      <w:sz w:val="20"/>
                    </w:rPr>
                  </w:pPr>
                  <w:r>
                    <w:rPr>
                      <w:rFonts w:ascii="Calibri" w:hAnsi="Calibri" w:cs="Calibri"/>
                      <w:color w:val="000000"/>
                      <w:kern w:val="0"/>
                      <w:sz w:val="22"/>
                      <w:szCs w:val="22"/>
                    </w:rPr>
                    <w:t>0.7%</w:t>
                  </w:r>
                </w:p>
              </w:tc>
            </w:tr>
            <w:tr w14:paraId="3E52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3E6D33E7">
                  <w:pPr>
                    <w:widowControl/>
                    <w:jc w:val="left"/>
                    <w:textAlignment w:val="center"/>
                    <w:rPr>
                      <w:color w:val="000000"/>
                      <w:sz w:val="20"/>
                    </w:rPr>
                  </w:pPr>
                  <w:r>
                    <w:rPr>
                      <w:rFonts w:ascii="Calibri" w:hAnsi="Calibri" w:cs="Calibri"/>
                      <w:color w:val="000000"/>
                      <w:kern w:val="0"/>
                      <w:sz w:val="22"/>
                      <w:szCs w:val="22"/>
                    </w:rPr>
                    <w:t>500-1000</w:t>
                  </w:r>
                </w:p>
              </w:tc>
              <w:tc>
                <w:tcPr>
                  <w:tcW w:w="1335" w:type="dxa"/>
                  <w:noWrap/>
                  <w:vAlign w:val="center"/>
                </w:tcPr>
                <w:p w14:paraId="69272293">
                  <w:pPr>
                    <w:widowControl/>
                    <w:jc w:val="left"/>
                    <w:textAlignment w:val="center"/>
                    <w:rPr>
                      <w:color w:val="000000"/>
                      <w:sz w:val="20"/>
                    </w:rPr>
                  </w:pPr>
                  <w:r>
                    <w:rPr>
                      <w:rFonts w:ascii="Calibri" w:hAnsi="Calibri" w:cs="Calibri"/>
                      <w:color w:val="000000"/>
                      <w:kern w:val="0"/>
                      <w:sz w:val="22"/>
                      <w:szCs w:val="22"/>
                    </w:rPr>
                    <w:t>0.8%</w:t>
                  </w:r>
                </w:p>
              </w:tc>
              <w:tc>
                <w:tcPr>
                  <w:tcW w:w="1275" w:type="dxa"/>
                  <w:noWrap/>
                  <w:vAlign w:val="center"/>
                </w:tcPr>
                <w:p w14:paraId="5ED6F738">
                  <w:pPr>
                    <w:widowControl/>
                    <w:jc w:val="left"/>
                    <w:textAlignment w:val="center"/>
                    <w:rPr>
                      <w:color w:val="000000"/>
                      <w:sz w:val="20"/>
                    </w:rPr>
                  </w:pPr>
                  <w:r>
                    <w:rPr>
                      <w:rFonts w:ascii="Calibri" w:hAnsi="Calibri" w:cs="Calibri"/>
                      <w:color w:val="000000"/>
                      <w:kern w:val="0"/>
                      <w:sz w:val="22"/>
                      <w:szCs w:val="22"/>
                    </w:rPr>
                    <w:t>0.45%</w:t>
                  </w:r>
                </w:p>
              </w:tc>
              <w:tc>
                <w:tcPr>
                  <w:tcW w:w="1320" w:type="dxa"/>
                  <w:noWrap/>
                  <w:vAlign w:val="center"/>
                </w:tcPr>
                <w:p w14:paraId="05AEABE7">
                  <w:pPr>
                    <w:widowControl/>
                    <w:jc w:val="left"/>
                    <w:textAlignment w:val="center"/>
                    <w:rPr>
                      <w:color w:val="000000"/>
                      <w:sz w:val="20"/>
                    </w:rPr>
                  </w:pPr>
                  <w:r>
                    <w:rPr>
                      <w:rFonts w:ascii="Calibri" w:hAnsi="Calibri" w:cs="Calibri"/>
                      <w:color w:val="000000"/>
                      <w:kern w:val="0"/>
                      <w:sz w:val="22"/>
                      <w:szCs w:val="22"/>
                    </w:rPr>
                    <w:t>0.55%</w:t>
                  </w:r>
                </w:p>
              </w:tc>
            </w:tr>
            <w:tr w14:paraId="1B9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0D12817B">
                  <w:pPr>
                    <w:widowControl/>
                    <w:jc w:val="left"/>
                    <w:textAlignment w:val="center"/>
                    <w:rPr>
                      <w:color w:val="000000"/>
                      <w:sz w:val="20"/>
                    </w:rPr>
                  </w:pPr>
                  <w:r>
                    <w:rPr>
                      <w:rFonts w:ascii="Calibri" w:hAnsi="Calibri" w:cs="Calibri"/>
                      <w:color w:val="000000"/>
                      <w:kern w:val="0"/>
                      <w:sz w:val="22"/>
                      <w:szCs w:val="22"/>
                    </w:rPr>
                    <w:t>1000-5000</w:t>
                  </w:r>
                </w:p>
              </w:tc>
              <w:tc>
                <w:tcPr>
                  <w:tcW w:w="1335" w:type="dxa"/>
                  <w:noWrap/>
                  <w:vAlign w:val="center"/>
                </w:tcPr>
                <w:p w14:paraId="3117B487">
                  <w:pPr>
                    <w:widowControl/>
                    <w:jc w:val="left"/>
                    <w:textAlignment w:val="center"/>
                    <w:rPr>
                      <w:color w:val="000000"/>
                      <w:sz w:val="20"/>
                    </w:rPr>
                  </w:pPr>
                  <w:r>
                    <w:rPr>
                      <w:rFonts w:ascii="Calibri" w:hAnsi="Calibri" w:cs="Calibri"/>
                      <w:color w:val="000000"/>
                      <w:kern w:val="0"/>
                      <w:sz w:val="22"/>
                      <w:szCs w:val="22"/>
                    </w:rPr>
                    <w:t>0.5%</w:t>
                  </w:r>
                </w:p>
              </w:tc>
              <w:tc>
                <w:tcPr>
                  <w:tcW w:w="1275" w:type="dxa"/>
                  <w:noWrap/>
                  <w:vAlign w:val="center"/>
                </w:tcPr>
                <w:p w14:paraId="65584530">
                  <w:pPr>
                    <w:widowControl/>
                    <w:jc w:val="left"/>
                    <w:textAlignment w:val="center"/>
                    <w:rPr>
                      <w:color w:val="000000"/>
                      <w:sz w:val="20"/>
                    </w:rPr>
                  </w:pPr>
                  <w:r>
                    <w:rPr>
                      <w:rFonts w:ascii="Calibri" w:hAnsi="Calibri" w:cs="Calibri"/>
                      <w:color w:val="000000"/>
                      <w:kern w:val="0"/>
                      <w:sz w:val="22"/>
                      <w:szCs w:val="22"/>
                    </w:rPr>
                    <w:t>0.25%</w:t>
                  </w:r>
                </w:p>
              </w:tc>
              <w:tc>
                <w:tcPr>
                  <w:tcW w:w="1320" w:type="dxa"/>
                  <w:noWrap/>
                  <w:vAlign w:val="center"/>
                </w:tcPr>
                <w:p w14:paraId="1AA82EB0">
                  <w:pPr>
                    <w:widowControl/>
                    <w:jc w:val="left"/>
                    <w:textAlignment w:val="center"/>
                    <w:rPr>
                      <w:color w:val="000000"/>
                      <w:sz w:val="20"/>
                    </w:rPr>
                  </w:pPr>
                  <w:r>
                    <w:rPr>
                      <w:rFonts w:ascii="Calibri" w:hAnsi="Calibri" w:cs="Calibri"/>
                      <w:color w:val="000000"/>
                      <w:kern w:val="0"/>
                      <w:sz w:val="22"/>
                      <w:szCs w:val="22"/>
                    </w:rPr>
                    <w:t>0.35%</w:t>
                  </w:r>
                </w:p>
              </w:tc>
            </w:tr>
            <w:tr w14:paraId="766E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2008739D">
                  <w:pPr>
                    <w:widowControl/>
                    <w:jc w:val="left"/>
                    <w:textAlignment w:val="center"/>
                    <w:rPr>
                      <w:color w:val="000000"/>
                      <w:sz w:val="20"/>
                    </w:rPr>
                  </w:pPr>
                  <w:r>
                    <w:rPr>
                      <w:rFonts w:ascii="Calibri" w:hAnsi="Calibri" w:cs="Calibri"/>
                      <w:color w:val="000000"/>
                      <w:kern w:val="0"/>
                      <w:sz w:val="22"/>
                      <w:szCs w:val="22"/>
                    </w:rPr>
                    <w:t>5000-10000</w:t>
                  </w:r>
                </w:p>
              </w:tc>
              <w:tc>
                <w:tcPr>
                  <w:tcW w:w="1335" w:type="dxa"/>
                  <w:noWrap/>
                  <w:vAlign w:val="center"/>
                </w:tcPr>
                <w:p w14:paraId="6A40802F">
                  <w:pPr>
                    <w:widowControl/>
                    <w:jc w:val="left"/>
                    <w:textAlignment w:val="center"/>
                    <w:rPr>
                      <w:color w:val="000000"/>
                      <w:sz w:val="20"/>
                    </w:rPr>
                  </w:pPr>
                  <w:r>
                    <w:rPr>
                      <w:rFonts w:ascii="Calibri" w:hAnsi="Calibri" w:cs="Calibri"/>
                      <w:color w:val="000000"/>
                      <w:kern w:val="0"/>
                      <w:sz w:val="22"/>
                      <w:szCs w:val="22"/>
                    </w:rPr>
                    <w:t>0.25%</w:t>
                  </w:r>
                </w:p>
              </w:tc>
              <w:tc>
                <w:tcPr>
                  <w:tcW w:w="1275" w:type="dxa"/>
                  <w:noWrap/>
                  <w:vAlign w:val="center"/>
                </w:tcPr>
                <w:p w14:paraId="2AD718FF">
                  <w:pPr>
                    <w:widowControl/>
                    <w:jc w:val="left"/>
                    <w:textAlignment w:val="center"/>
                    <w:rPr>
                      <w:color w:val="000000"/>
                      <w:sz w:val="20"/>
                    </w:rPr>
                  </w:pPr>
                  <w:r>
                    <w:rPr>
                      <w:rFonts w:ascii="Calibri" w:hAnsi="Calibri" w:cs="Calibri"/>
                      <w:color w:val="000000"/>
                      <w:kern w:val="0"/>
                      <w:sz w:val="22"/>
                      <w:szCs w:val="22"/>
                    </w:rPr>
                    <w:t>0.1%</w:t>
                  </w:r>
                </w:p>
              </w:tc>
              <w:tc>
                <w:tcPr>
                  <w:tcW w:w="1320" w:type="dxa"/>
                  <w:noWrap/>
                  <w:vAlign w:val="center"/>
                </w:tcPr>
                <w:p w14:paraId="7FA1253F">
                  <w:pPr>
                    <w:widowControl/>
                    <w:jc w:val="left"/>
                    <w:textAlignment w:val="center"/>
                    <w:rPr>
                      <w:color w:val="000000"/>
                      <w:sz w:val="20"/>
                    </w:rPr>
                  </w:pPr>
                  <w:r>
                    <w:rPr>
                      <w:rFonts w:ascii="Calibri" w:hAnsi="Calibri" w:cs="Calibri"/>
                      <w:color w:val="000000"/>
                      <w:kern w:val="0"/>
                      <w:sz w:val="22"/>
                      <w:szCs w:val="22"/>
                    </w:rPr>
                    <w:t>0.2%</w:t>
                  </w:r>
                </w:p>
              </w:tc>
            </w:tr>
            <w:tr w14:paraId="3BD2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0C38D7CB">
                  <w:pPr>
                    <w:widowControl/>
                    <w:jc w:val="left"/>
                    <w:textAlignment w:val="center"/>
                    <w:rPr>
                      <w:color w:val="000000"/>
                      <w:sz w:val="20"/>
                    </w:rPr>
                  </w:pPr>
                  <w:r>
                    <w:rPr>
                      <w:rFonts w:ascii="Calibri" w:hAnsi="Calibri" w:cs="Calibri"/>
                      <w:color w:val="000000"/>
                      <w:kern w:val="0"/>
                      <w:sz w:val="22"/>
                      <w:szCs w:val="22"/>
                    </w:rPr>
                    <w:t>10000-100000</w:t>
                  </w:r>
                </w:p>
              </w:tc>
              <w:tc>
                <w:tcPr>
                  <w:tcW w:w="1335" w:type="dxa"/>
                  <w:noWrap/>
                  <w:vAlign w:val="center"/>
                </w:tcPr>
                <w:p w14:paraId="741569FE">
                  <w:pPr>
                    <w:widowControl/>
                    <w:jc w:val="left"/>
                    <w:textAlignment w:val="center"/>
                    <w:rPr>
                      <w:color w:val="000000"/>
                      <w:sz w:val="20"/>
                    </w:rPr>
                  </w:pPr>
                  <w:r>
                    <w:rPr>
                      <w:rFonts w:ascii="Calibri" w:hAnsi="Calibri" w:cs="Calibri"/>
                      <w:color w:val="000000"/>
                      <w:kern w:val="0"/>
                      <w:sz w:val="22"/>
                      <w:szCs w:val="22"/>
                    </w:rPr>
                    <w:t>0.05%</w:t>
                  </w:r>
                </w:p>
              </w:tc>
              <w:tc>
                <w:tcPr>
                  <w:tcW w:w="1275" w:type="dxa"/>
                  <w:noWrap/>
                  <w:vAlign w:val="center"/>
                </w:tcPr>
                <w:p w14:paraId="70F64CE6">
                  <w:pPr>
                    <w:widowControl/>
                    <w:jc w:val="left"/>
                    <w:textAlignment w:val="center"/>
                    <w:rPr>
                      <w:color w:val="000000"/>
                      <w:sz w:val="20"/>
                    </w:rPr>
                  </w:pPr>
                  <w:r>
                    <w:rPr>
                      <w:rFonts w:ascii="Calibri" w:hAnsi="Calibri" w:cs="Calibri"/>
                      <w:color w:val="000000"/>
                      <w:kern w:val="0"/>
                      <w:sz w:val="22"/>
                      <w:szCs w:val="22"/>
                    </w:rPr>
                    <w:t>0.05%</w:t>
                  </w:r>
                </w:p>
              </w:tc>
              <w:tc>
                <w:tcPr>
                  <w:tcW w:w="1320" w:type="dxa"/>
                  <w:noWrap/>
                  <w:vAlign w:val="center"/>
                </w:tcPr>
                <w:p w14:paraId="7199E159">
                  <w:pPr>
                    <w:widowControl/>
                    <w:jc w:val="left"/>
                    <w:textAlignment w:val="center"/>
                    <w:rPr>
                      <w:color w:val="000000"/>
                      <w:sz w:val="20"/>
                    </w:rPr>
                  </w:pPr>
                  <w:r>
                    <w:rPr>
                      <w:rFonts w:ascii="Calibri" w:hAnsi="Calibri" w:cs="Calibri"/>
                      <w:color w:val="000000"/>
                      <w:kern w:val="0"/>
                      <w:sz w:val="22"/>
                      <w:szCs w:val="22"/>
                    </w:rPr>
                    <w:t>0.05%</w:t>
                  </w:r>
                </w:p>
              </w:tc>
            </w:tr>
            <w:tr w14:paraId="65D1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6DD2E87B">
                  <w:pPr>
                    <w:widowControl/>
                    <w:jc w:val="left"/>
                    <w:textAlignment w:val="center"/>
                    <w:rPr>
                      <w:color w:val="000000"/>
                      <w:sz w:val="20"/>
                    </w:rPr>
                  </w:pPr>
                  <w:r>
                    <w:rPr>
                      <w:rFonts w:ascii="Calibri" w:hAnsi="Calibri" w:cs="Calibri"/>
                      <w:color w:val="000000"/>
                      <w:kern w:val="0"/>
                      <w:sz w:val="22"/>
                      <w:szCs w:val="22"/>
                    </w:rPr>
                    <w:t>100000 以上</w:t>
                  </w:r>
                </w:p>
              </w:tc>
              <w:tc>
                <w:tcPr>
                  <w:tcW w:w="1335" w:type="dxa"/>
                  <w:noWrap/>
                  <w:vAlign w:val="center"/>
                </w:tcPr>
                <w:p w14:paraId="4FAC0F3F">
                  <w:pPr>
                    <w:widowControl/>
                    <w:jc w:val="left"/>
                    <w:textAlignment w:val="center"/>
                    <w:rPr>
                      <w:color w:val="000000"/>
                      <w:sz w:val="20"/>
                    </w:rPr>
                  </w:pPr>
                  <w:r>
                    <w:rPr>
                      <w:rFonts w:ascii="Calibri" w:hAnsi="Calibri" w:cs="Calibri"/>
                      <w:color w:val="000000"/>
                      <w:kern w:val="0"/>
                      <w:sz w:val="22"/>
                      <w:szCs w:val="22"/>
                    </w:rPr>
                    <w:t>0.01%</w:t>
                  </w:r>
                </w:p>
              </w:tc>
              <w:tc>
                <w:tcPr>
                  <w:tcW w:w="1275" w:type="dxa"/>
                  <w:noWrap/>
                  <w:vAlign w:val="center"/>
                </w:tcPr>
                <w:p w14:paraId="2D41FBB8">
                  <w:pPr>
                    <w:widowControl/>
                    <w:jc w:val="left"/>
                    <w:textAlignment w:val="center"/>
                    <w:rPr>
                      <w:color w:val="000000"/>
                      <w:sz w:val="20"/>
                    </w:rPr>
                  </w:pPr>
                  <w:r>
                    <w:rPr>
                      <w:rFonts w:ascii="Calibri" w:hAnsi="Calibri" w:cs="Calibri"/>
                      <w:color w:val="000000"/>
                      <w:kern w:val="0"/>
                      <w:sz w:val="22"/>
                      <w:szCs w:val="22"/>
                    </w:rPr>
                    <w:t>0.01%</w:t>
                  </w:r>
                </w:p>
              </w:tc>
              <w:tc>
                <w:tcPr>
                  <w:tcW w:w="1320" w:type="dxa"/>
                  <w:noWrap/>
                  <w:vAlign w:val="center"/>
                </w:tcPr>
                <w:p w14:paraId="20F09B29">
                  <w:pPr>
                    <w:widowControl/>
                    <w:jc w:val="left"/>
                    <w:textAlignment w:val="center"/>
                    <w:rPr>
                      <w:color w:val="000000"/>
                      <w:sz w:val="20"/>
                    </w:rPr>
                  </w:pPr>
                  <w:r>
                    <w:rPr>
                      <w:rFonts w:ascii="Calibri" w:hAnsi="Calibri" w:cs="Calibri"/>
                      <w:color w:val="000000"/>
                      <w:kern w:val="0"/>
                      <w:sz w:val="22"/>
                      <w:szCs w:val="22"/>
                    </w:rPr>
                    <w:t>0.01%</w:t>
                  </w:r>
                </w:p>
              </w:tc>
            </w:tr>
          </w:tbl>
          <w:p w14:paraId="51A88F81">
            <w:pPr>
              <w:spacing w:line="500" w:lineRule="exact"/>
              <w:jc w:val="left"/>
              <w:rPr>
                <w:rFonts w:ascii="宋体" w:hAnsi="宋体" w:cs="宋体"/>
                <w:sz w:val="24"/>
              </w:rPr>
            </w:pPr>
            <w:r>
              <w:rPr>
                <w:rFonts w:hint="eastAsia" w:ascii="宋体" w:hAnsi="宋体" w:cs="宋体"/>
                <w:sz w:val="24"/>
              </w:rPr>
              <w:t>注：代理服务费按差额定率累进法计算。</w:t>
            </w:r>
          </w:p>
          <w:p w14:paraId="67BDFF4F">
            <w:pPr>
              <w:spacing w:line="500" w:lineRule="exact"/>
              <w:jc w:val="left"/>
              <w:rPr>
                <w:rFonts w:ascii="宋体" w:hAnsi="宋体" w:cs="宋体"/>
                <w:sz w:val="24"/>
              </w:rPr>
            </w:pPr>
            <w:r>
              <w:rPr>
                <w:rFonts w:hint="eastAsia" w:ascii="宋体" w:hAnsi="宋体" w:cs="宋体"/>
                <w:sz w:val="24"/>
              </w:rPr>
              <w:t>例如：某服务类项目代理业务中标金额为 6000 万元，计算代理服务费如下：100 万元×1.5％＝1.5万元</w:t>
            </w:r>
          </w:p>
          <w:p w14:paraId="204A8AD5">
            <w:pPr>
              <w:spacing w:line="500" w:lineRule="exact"/>
              <w:jc w:val="left"/>
              <w:rPr>
                <w:rFonts w:ascii="宋体" w:hAnsi="宋体" w:cs="宋体"/>
                <w:sz w:val="24"/>
              </w:rPr>
            </w:pPr>
            <w:r>
              <w:rPr>
                <w:rFonts w:hint="eastAsia" w:ascii="宋体" w:hAnsi="宋体" w:cs="宋体"/>
                <w:sz w:val="24"/>
              </w:rPr>
              <w:t>（500－100）万元×0.8％＝3.2万元</w:t>
            </w:r>
          </w:p>
          <w:p w14:paraId="5C0EA43A">
            <w:pPr>
              <w:spacing w:line="500" w:lineRule="exact"/>
              <w:jc w:val="left"/>
              <w:rPr>
                <w:rFonts w:ascii="宋体" w:hAnsi="宋体" w:cs="宋体"/>
                <w:sz w:val="24"/>
              </w:rPr>
            </w:pPr>
            <w:r>
              <w:rPr>
                <w:rFonts w:hint="eastAsia" w:ascii="宋体" w:hAnsi="宋体" w:cs="宋体"/>
                <w:sz w:val="24"/>
              </w:rPr>
              <w:t>（1000－500）万元×0.45％＝2.25 万元</w:t>
            </w:r>
          </w:p>
          <w:p w14:paraId="5010248D">
            <w:pPr>
              <w:spacing w:line="500" w:lineRule="exact"/>
              <w:jc w:val="left"/>
              <w:rPr>
                <w:rFonts w:ascii="宋体" w:hAnsi="宋体" w:cs="宋体"/>
                <w:sz w:val="24"/>
              </w:rPr>
            </w:pPr>
            <w:r>
              <w:rPr>
                <w:rFonts w:hint="eastAsia" w:ascii="宋体" w:hAnsi="宋体" w:cs="宋体"/>
                <w:sz w:val="24"/>
              </w:rPr>
              <w:t>（5000－1000）万元×0.25％＝10万元</w:t>
            </w:r>
          </w:p>
          <w:p w14:paraId="58EF17D9">
            <w:pPr>
              <w:spacing w:line="500" w:lineRule="exact"/>
              <w:jc w:val="left"/>
              <w:rPr>
                <w:rFonts w:ascii="宋体" w:hAnsi="宋体" w:cs="宋体"/>
                <w:sz w:val="24"/>
              </w:rPr>
            </w:pPr>
            <w:r>
              <w:rPr>
                <w:rFonts w:hint="eastAsia" w:ascii="宋体" w:hAnsi="宋体" w:cs="宋体"/>
                <w:sz w:val="24"/>
              </w:rPr>
              <w:t>（6000－5000）万元×0.1％＝1万元</w:t>
            </w:r>
          </w:p>
          <w:p w14:paraId="06B4FC3D">
            <w:pPr>
              <w:spacing w:line="500" w:lineRule="exact"/>
              <w:jc w:val="left"/>
              <w:rPr>
                <w:rFonts w:hint="default" w:ascii="宋体" w:hAnsi="宋体" w:eastAsia="宋体" w:cs="宋体"/>
                <w:b w:val="0"/>
                <w:bCs w:val="0"/>
                <w:color w:val="auto"/>
                <w:sz w:val="24"/>
                <w:lang w:val="en-US" w:eastAsia="zh-CN"/>
              </w:rPr>
            </w:pPr>
            <w:r>
              <w:rPr>
                <w:rFonts w:hint="eastAsia" w:ascii="宋体" w:hAnsi="宋体" w:cs="宋体"/>
                <w:sz w:val="24"/>
              </w:rPr>
              <w:t>合计收费＝1.5＋3.2＋2.25＋10＋1＝17.95(万元)</w:t>
            </w:r>
          </w:p>
          <w:p w14:paraId="3E89107F">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3、收取方式：</w:t>
            </w:r>
            <w:r>
              <w:rPr>
                <w:rFonts w:hint="eastAsia" w:ascii="宋体" w:hAnsi="宋体" w:eastAsia="宋体" w:cs="宋体"/>
                <w:b w:val="0"/>
                <w:bCs w:val="0"/>
                <w:color w:val="auto"/>
                <w:sz w:val="24"/>
                <w:lang w:val="en-US" w:eastAsia="zh-CN"/>
              </w:rPr>
              <w:t>银行转账。</w:t>
            </w:r>
          </w:p>
          <w:p w14:paraId="6A26A041">
            <w:pPr>
              <w:spacing w:line="500" w:lineRule="exact"/>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4、代理服务费缴纳账户：</w:t>
            </w:r>
          </w:p>
          <w:p w14:paraId="11622707">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 xml:space="preserve">户名：安徽同方工程咨询有限公司 </w:t>
            </w:r>
          </w:p>
          <w:p w14:paraId="4AD86D74">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 xml:space="preserve">开户行：徽商银行六安解放路恒源支行 </w:t>
            </w:r>
          </w:p>
          <w:p w14:paraId="2E6D789B">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账号：000000602003900000243</w:t>
            </w:r>
          </w:p>
          <w:p w14:paraId="2E377F3A">
            <w:pPr>
              <w:pStyle w:val="2"/>
              <w:ind w:left="0" w:leftChars="0" w:firstLine="0" w:firstLineChars="0"/>
              <w:rPr>
                <w:rFonts w:hint="eastAsia" w:ascii="Times New Roman" w:hAnsi="Times New Roman"/>
                <w:b w:val="0"/>
                <w:bCs w:val="0"/>
                <w:lang w:val="en-US" w:eastAsia="zh-CN"/>
              </w:rPr>
            </w:pPr>
            <w:r>
              <w:rPr>
                <w:rFonts w:hint="eastAsia" w:ascii="宋体" w:hAnsi="宋体" w:eastAsia="宋体" w:cs="宋体"/>
                <w:b/>
                <w:bCs/>
                <w:color w:val="auto"/>
                <w:sz w:val="24"/>
                <w:lang w:val="en-US" w:eastAsia="zh-CN"/>
              </w:rPr>
              <w:t>5、代理服务费须从成交供应商账户转出，并备注项目名称。</w:t>
            </w:r>
          </w:p>
        </w:tc>
      </w:tr>
    </w:tbl>
    <w:p w14:paraId="145FB7C6">
      <w:pPr>
        <w:pStyle w:val="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8" w:name="_Toc533314947"/>
      <w:bookmarkStart w:id="9" w:name="_Toc272163829"/>
    </w:p>
    <w:p w14:paraId="07126A19">
      <w:pPr>
        <w:pStyle w:val="5"/>
        <w:spacing w:before="240" w:beforeLines="100" w:after="0" w:line="600" w:lineRule="exact"/>
        <w:jc w:val="center"/>
        <w:rPr>
          <w:rFonts w:ascii="宋体" w:hAnsi="宋体" w:eastAsia="宋体" w:cs="宋体"/>
          <w:sz w:val="24"/>
          <w:szCs w:val="24"/>
        </w:rPr>
      </w:pPr>
      <w:bookmarkStart w:id="10" w:name="_Toc18671555"/>
      <w:bookmarkStart w:id="11" w:name="_Toc11917"/>
      <w:r>
        <w:rPr>
          <w:rFonts w:hint="eastAsia" w:ascii="宋体" w:hAnsi="宋体" w:eastAsia="宋体" w:cs="宋体"/>
          <w:sz w:val="24"/>
          <w:szCs w:val="24"/>
        </w:rPr>
        <w:t>第三章  供应商须知</w:t>
      </w:r>
      <w:bookmarkEnd w:id="7"/>
      <w:bookmarkEnd w:id="8"/>
      <w:bookmarkEnd w:id="9"/>
      <w:bookmarkEnd w:id="10"/>
      <w:bookmarkEnd w:id="11"/>
    </w:p>
    <w:p w14:paraId="5A3F7123">
      <w:pPr>
        <w:pStyle w:val="5"/>
        <w:spacing w:before="120" w:beforeLines="50" w:after="120" w:afterLines="50" w:line="500" w:lineRule="exact"/>
        <w:jc w:val="center"/>
        <w:rPr>
          <w:rFonts w:ascii="宋体" w:hAnsi="宋体" w:eastAsia="宋体" w:cs="宋体"/>
          <w:sz w:val="24"/>
          <w:szCs w:val="24"/>
        </w:rPr>
      </w:pPr>
      <w:bookmarkStart w:id="12" w:name="_Toc2350"/>
      <w:bookmarkStart w:id="13" w:name="_Toc18671556"/>
      <w:r>
        <w:rPr>
          <w:rFonts w:hint="eastAsia" w:ascii="宋体" w:hAnsi="宋体" w:eastAsia="宋体" w:cs="宋体"/>
          <w:sz w:val="24"/>
          <w:szCs w:val="24"/>
        </w:rPr>
        <w:t>一、总则</w:t>
      </w:r>
      <w:bookmarkEnd w:id="12"/>
      <w:bookmarkEnd w:id="13"/>
    </w:p>
    <w:p w14:paraId="668C5496">
      <w:pPr>
        <w:spacing w:line="500" w:lineRule="exact"/>
        <w:rPr>
          <w:rFonts w:asciiTheme="minorEastAsia" w:hAnsiTheme="minorEastAsia" w:eastAsiaTheme="minorEastAsia" w:cstheme="minorEastAsia"/>
          <w:b/>
          <w:sz w:val="24"/>
        </w:rPr>
      </w:pPr>
      <w:bookmarkStart w:id="14" w:name="_Toc533314952"/>
      <w:bookmarkStart w:id="15" w:name="_Toc272163834"/>
      <w:r>
        <w:rPr>
          <w:rFonts w:hint="eastAsia" w:asciiTheme="minorEastAsia" w:hAnsiTheme="minorEastAsia" w:eastAsiaTheme="minorEastAsia" w:cstheme="minorEastAsia"/>
          <w:b/>
          <w:sz w:val="24"/>
        </w:rPr>
        <w:t>1、适用范围</w:t>
      </w:r>
    </w:p>
    <w:p w14:paraId="5DDE925F">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1.1本文件是根据《中华人民共和国政府采购法》等相关法律、法规制订。</w:t>
      </w:r>
    </w:p>
    <w:p w14:paraId="25A3EB10">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1.2凡在六安市从事</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类采购单一来源项目，均适用本范本。</w:t>
      </w:r>
    </w:p>
    <w:p w14:paraId="7B66E5B0">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1.3本采购文件的最终解释权归项目单位所有。</w:t>
      </w:r>
    </w:p>
    <w:p w14:paraId="63E156C6">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2、定义</w:t>
      </w:r>
    </w:p>
    <w:p w14:paraId="255EA261">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b/>
          <w:bCs/>
          <w:sz w:val="24"/>
          <w:lang w:val="en-US" w:eastAsia="zh-CN"/>
        </w:rPr>
        <w:t>货物</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rPr>
        <w:t>既是指本范本适用于</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采购。</w:t>
      </w:r>
    </w:p>
    <w:p w14:paraId="0E5FBED7">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b/>
          <w:sz w:val="24"/>
        </w:rPr>
        <w:t>采购人：</w:t>
      </w:r>
      <w:r>
        <w:rPr>
          <w:rFonts w:hint="eastAsia" w:asciiTheme="minorEastAsia" w:hAnsiTheme="minorEastAsia" w:eastAsiaTheme="minorEastAsia" w:cstheme="minorEastAsia"/>
          <w:sz w:val="24"/>
        </w:rPr>
        <w:t>项目单位（采购人）的总称。</w:t>
      </w:r>
    </w:p>
    <w:p w14:paraId="2BE092E5">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3、供应商资格要求：</w:t>
      </w:r>
      <w:r>
        <w:rPr>
          <w:rFonts w:hint="eastAsia" w:asciiTheme="minorEastAsia" w:hAnsiTheme="minorEastAsia" w:eastAsiaTheme="minorEastAsia" w:cstheme="minorEastAsia"/>
          <w:sz w:val="24"/>
        </w:rPr>
        <w:t>符合政府采购法等法律法规的相关规定。</w:t>
      </w:r>
    </w:p>
    <w:p w14:paraId="4DB35D79">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4、供应商参与采购活动的费用</w:t>
      </w:r>
    </w:p>
    <w:p w14:paraId="13BF0E09">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4.1供应商必须自行承担所有与参加采购活动的有关费用。不论结果如何，采购人在任何情况下均无义务和责任承担这些费用。</w:t>
      </w:r>
    </w:p>
    <w:p w14:paraId="6CD461D9">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5、保密</w:t>
      </w:r>
    </w:p>
    <w:p w14:paraId="1BC1E8BD">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参与采购活动的各方主体应对</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类单一来源采购文件和单一来源响应文件中的商业和技术等秘密保密，违者应对由此造成的后果承担法律责任。</w:t>
      </w:r>
    </w:p>
    <w:p w14:paraId="071DFC55">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6、语言文字</w:t>
      </w:r>
    </w:p>
    <w:p w14:paraId="0CDA56DF">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单一来源及其响应文件使用的语言文字</w:t>
      </w:r>
      <w:r>
        <w:rPr>
          <w:rFonts w:hint="eastAsia" w:asciiTheme="minorEastAsia" w:hAnsiTheme="minorEastAsia" w:eastAsiaTheme="minorEastAsia" w:cstheme="minorEastAsia"/>
          <w:sz w:val="24"/>
          <w:lang w:eastAsia="zh-CN"/>
        </w:rPr>
        <w:t>以及</w:t>
      </w:r>
      <w:r>
        <w:rPr>
          <w:rFonts w:hint="eastAsia" w:asciiTheme="minorEastAsia" w:hAnsiTheme="minorEastAsia" w:eastAsiaTheme="minorEastAsia" w:cstheme="minorEastAsia"/>
          <w:sz w:val="24"/>
        </w:rPr>
        <w:t>供应商与采购人就单一来源采购相关事项的所有往来函电均须使用简体中文（部分专用术语需使用外文的除外）。</w:t>
      </w:r>
    </w:p>
    <w:p w14:paraId="5E5E6807">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7、计量单位</w:t>
      </w:r>
    </w:p>
    <w:p w14:paraId="607DA1D6">
      <w:pPr>
        <w:pStyle w:val="27"/>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p>
    <w:p w14:paraId="21C2578A">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8、勘察现场</w:t>
      </w:r>
    </w:p>
    <w:p w14:paraId="7AF041CE">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采购人根据项目的具体情况，可以组织单一来源供应商现场考察。</w:t>
      </w:r>
    </w:p>
    <w:p w14:paraId="292B10FD">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9、偏离</w:t>
      </w:r>
    </w:p>
    <w:p w14:paraId="035DEDD9">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类单一来源采购文件允许响应文件偏离某些要求，偏离应当符合单一来源文件规定的偏离范围和幅度。</w:t>
      </w:r>
    </w:p>
    <w:p w14:paraId="203EAB97">
      <w:pPr>
        <w:pStyle w:val="5"/>
        <w:spacing w:before="120" w:beforeLines="50" w:after="120" w:afterLines="50" w:line="500" w:lineRule="exact"/>
        <w:jc w:val="center"/>
        <w:rPr>
          <w:rFonts w:ascii="宋体" w:hAnsi="宋体" w:eastAsia="宋体" w:cs="宋体"/>
          <w:sz w:val="24"/>
          <w:szCs w:val="24"/>
        </w:rPr>
      </w:pPr>
      <w:bookmarkStart w:id="16" w:name="_Toc18671557"/>
      <w:bookmarkStart w:id="17" w:name="_Toc12653"/>
      <w:r>
        <w:rPr>
          <w:rFonts w:hint="eastAsia" w:ascii="宋体" w:hAnsi="宋体" w:eastAsia="宋体" w:cs="宋体"/>
          <w:sz w:val="24"/>
          <w:szCs w:val="24"/>
        </w:rPr>
        <w:t>二、</w:t>
      </w:r>
      <w:bookmarkEnd w:id="16"/>
      <w:r>
        <w:rPr>
          <w:rFonts w:hint="eastAsia" w:ascii="宋体" w:hAnsi="宋体" w:eastAsia="宋体" w:cs="宋体"/>
          <w:sz w:val="24"/>
          <w:szCs w:val="24"/>
          <w:lang w:val="en-US" w:eastAsia="zh-CN"/>
        </w:rPr>
        <w:t>货物</w:t>
      </w:r>
      <w:r>
        <w:rPr>
          <w:rFonts w:hint="eastAsia" w:ascii="宋体" w:hAnsi="宋体" w:eastAsia="宋体" w:cs="宋体"/>
          <w:sz w:val="24"/>
          <w:szCs w:val="24"/>
        </w:rPr>
        <w:t>类单一来源采购文件</w:t>
      </w:r>
      <w:bookmarkEnd w:id="17"/>
    </w:p>
    <w:p w14:paraId="7B82F8DF">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10采购文件构成</w:t>
      </w:r>
    </w:p>
    <w:p w14:paraId="358D081A">
      <w:pPr>
        <w:tabs>
          <w:tab w:val="left" w:pos="72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10.1采购文件包括：</w:t>
      </w:r>
    </w:p>
    <w:p w14:paraId="11093D66">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单一来源采购邀请书</w:t>
      </w:r>
    </w:p>
    <w:p w14:paraId="1ACC3C48">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供应商须知前附表</w:t>
      </w:r>
    </w:p>
    <w:p w14:paraId="206BD6D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供应商须知</w:t>
      </w:r>
    </w:p>
    <w:p w14:paraId="510939BB">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第四章  采购需求</w:t>
      </w:r>
    </w:p>
    <w:p w14:paraId="1EA654D5">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单一来源响应文件</w:t>
      </w:r>
    </w:p>
    <w:p w14:paraId="5609B582">
      <w:pPr>
        <w:tabs>
          <w:tab w:val="left" w:pos="72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10.2供应商应认真阅读和充分理解货物类单一来源采购文件中所有的内容。如果其单一来源响应文件没有满足</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类单一来源采购文件的有关要求，其风险由供应商自行承担。</w:t>
      </w:r>
    </w:p>
    <w:p w14:paraId="4FFA4F7C">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11、货物类单一来源采购文件的澄清和修改</w:t>
      </w:r>
    </w:p>
    <w:p w14:paraId="53913DCF">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11.1采购人认为</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类单一来源采购文件未表述清楚的，可以进行澄清并书面通知供应商。</w:t>
      </w:r>
    </w:p>
    <w:p w14:paraId="5D194550">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11.2 供应商认为货物类单一来源采购文件表述不清的，可以要求采购人作出解释。 </w:t>
      </w:r>
    </w:p>
    <w:p w14:paraId="0B5A7C38">
      <w:pPr>
        <w:pStyle w:val="5"/>
        <w:spacing w:before="120" w:beforeLines="50" w:after="120" w:afterLines="50" w:line="480" w:lineRule="exact"/>
        <w:jc w:val="center"/>
        <w:rPr>
          <w:rFonts w:ascii="宋体" w:hAnsi="宋体" w:eastAsia="宋体" w:cs="宋体"/>
          <w:sz w:val="24"/>
          <w:szCs w:val="24"/>
        </w:rPr>
      </w:pPr>
      <w:bookmarkStart w:id="18" w:name="_Toc2231"/>
      <w:bookmarkStart w:id="19" w:name="_Toc18671558"/>
      <w:r>
        <w:rPr>
          <w:rFonts w:hint="eastAsia" w:ascii="宋体" w:hAnsi="宋体" w:eastAsia="宋体" w:cs="宋体"/>
          <w:sz w:val="24"/>
          <w:szCs w:val="24"/>
        </w:rPr>
        <w:t>三、单一来源响应文件的编制</w:t>
      </w:r>
      <w:bookmarkEnd w:id="18"/>
      <w:bookmarkEnd w:id="19"/>
    </w:p>
    <w:p w14:paraId="0797F987">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12、单一来源响应文件构成</w:t>
      </w:r>
    </w:p>
    <w:p w14:paraId="7A090E8B">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12.1响应文件必须按照本文件规定的内容和顺序进行编写。</w:t>
      </w:r>
    </w:p>
    <w:p w14:paraId="6D047B8B">
      <w:pPr>
        <w:tabs>
          <w:tab w:val="left" w:pos="72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12.2供应商必须对其响应文件的真实性与准确性负责。供应商一旦成为成交供应商，其响应文件将作为合同的重要组成部分。 </w:t>
      </w:r>
    </w:p>
    <w:p w14:paraId="2B8E77D0">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12.3供应商不得在未征得采购人许可的情况下，擅自对货物类单一来源采购文件条款和技术要求进行修改。</w:t>
      </w:r>
    </w:p>
    <w:p w14:paraId="47799184">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12.4证明供应商合格的资格文件</w:t>
      </w:r>
    </w:p>
    <w:p w14:paraId="1D61A58E">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12.4.1应包括货物类单一来源采购文件要求的证明其有资格参加采购活动</w:t>
      </w:r>
      <w:r>
        <w:rPr>
          <w:rFonts w:hint="eastAsia" w:asciiTheme="minorEastAsia" w:hAnsiTheme="minorEastAsia" w:eastAsiaTheme="minorEastAsia" w:cstheme="minorEastAsia"/>
          <w:sz w:val="24"/>
          <w:lang w:eastAsia="zh-CN"/>
        </w:rPr>
        <w:t>以及</w:t>
      </w:r>
      <w:r>
        <w:rPr>
          <w:rFonts w:hint="eastAsia" w:asciiTheme="minorEastAsia" w:hAnsiTheme="minorEastAsia" w:eastAsiaTheme="minorEastAsia" w:cstheme="minorEastAsia"/>
          <w:sz w:val="24"/>
        </w:rPr>
        <w:t>之后有能力履行合同的证明文件。</w:t>
      </w:r>
    </w:p>
    <w:p w14:paraId="3984F311">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13、单一来源报价</w:t>
      </w:r>
    </w:p>
    <w:p w14:paraId="2445EE70">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13.1本项目只允许一个方案、一个报价。多方案、多报价的响应文件将不被接受。</w:t>
      </w:r>
    </w:p>
    <w:p w14:paraId="24EE4D9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w:t>
      </w:r>
      <w:r>
        <w:rPr>
          <w:rFonts w:hint="eastAsia" w:ascii="宋体" w:hAnsi="宋体" w:cs="宋体"/>
          <w:sz w:val="24"/>
        </w:rPr>
        <w:t>货物类项目适用：响应总报价应包括响应产品以及响应产品产生的采购、运输、人工、安装、售后、税费、专家评审费等所有费用，即为履行合同的最终价格。</w:t>
      </w:r>
    </w:p>
    <w:p w14:paraId="17837371">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13.3供应商响应的货币为人民币。</w:t>
      </w:r>
    </w:p>
    <w:p w14:paraId="1D4E2DF6">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14、响应保证金</w:t>
      </w:r>
    </w:p>
    <w:p w14:paraId="376C50E9">
      <w:pPr>
        <w:tabs>
          <w:tab w:val="left" w:pos="720"/>
        </w:tabs>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本项目无须递交响应保证金</w:t>
      </w:r>
    </w:p>
    <w:p w14:paraId="53EAA29F">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15、响应有效期</w:t>
      </w:r>
    </w:p>
    <w:p w14:paraId="0B46824B">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15.1响应有效期在“供应商须知前附表”中有明确的规定。供应商如未就此提出异议，则视同接受；如承诺的响应有效期短于此规定时间的，将被视为非响应性投标而予以拒绝。</w:t>
      </w:r>
    </w:p>
    <w:p w14:paraId="4C9A53E3">
      <w:pPr>
        <w:pStyle w:val="27"/>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15.2在特殊情况下，采购人可于原</w:t>
      </w:r>
      <w:r>
        <w:rPr>
          <w:rFonts w:hint="eastAsia" w:asciiTheme="minorEastAsia" w:hAnsiTheme="minorEastAsia" w:eastAsiaTheme="minorEastAsia" w:cstheme="minorEastAsia"/>
          <w:sz w:val="24"/>
        </w:rPr>
        <w:t>响应</w:t>
      </w:r>
      <w:r>
        <w:rPr>
          <w:rFonts w:hint="eastAsia" w:asciiTheme="minorEastAsia" w:hAnsiTheme="minorEastAsia" w:eastAsiaTheme="minorEastAsia" w:cstheme="minorEastAsia"/>
          <w:sz w:val="24"/>
          <w:szCs w:val="24"/>
        </w:rPr>
        <w:t>有效期满之前，向供应商提出延长</w:t>
      </w:r>
      <w:r>
        <w:rPr>
          <w:rFonts w:hint="eastAsia" w:asciiTheme="minorEastAsia" w:hAnsiTheme="minorEastAsia" w:eastAsiaTheme="minorEastAsia" w:cstheme="minorEastAsia"/>
          <w:sz w:val="24"/>
        </w:rPr>
        <w:t>响应</w:t>
      </w:r>
      <w:r>
        <w:rPr>
          <w:rFonts w:hint="eastAsia" w:asciiTheme="minorEastAsia" w:hAnsiTheme="minorEastAsia" w:eastAsiaTheme="minorEastAsia" w:cstheme="minorEastAsia"/>
          <w:sz w:val="24"/>
          <w:szCs w:val="24"/>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sz w:val="24"/>
        </w:rPr>
        <w:t>响应</w:t>
      </w:r>
      <w:r>
        <w:rPr>
          <w:rFonts w:hint="eastAsia" w:asciiTheme="minorEastAsia" w:hAnsiTheme="minorEastAsia" w:eastAsiaTheme="minorEastAsia" w:cstheme="minorEastAsia"/>
          <w:sz w:val="24"/>
          <w:szCs w:val="24"/>
        </w:rPr>
        <w:t>有效期。</w:t>
      </w:r>
    </w:p>
    <w:p w14:paraId="32D83995">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15.3在响应有效期内，供应商撤销或修改其单一来源响应文件的，应承担责任。</w:t>
      </w:r>
    </w:p>
    <w:p w14:paraId="23F0B562">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16、单一来源响应文件签署</w:t>
      </w:r>
    </w:p>
    <w:p w14:paraId="5C4AE49E">
      <w:pPr>
        <w:tabs>
          <w:tab w:val="left" w:pos="0"/>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除特别说明外，本文件要求供应商盖章或者法定代表人签字处，均需加盖供应商</w:t>
      </w:r>
      <w:r>
        <w:rPr>
          <w:rFonts w:hint="eastAsia" w:asciiTheme="minorEastAsia" w:hAnsiTheme="minorEastAsia" w:eastAsiaTheme="minorEastAsia" w:cstheme="minorEastAsia"/>
          <w:sz w:val="24"/>
          <w:lang w:val="en-US" w:eastAsia="zh-CN"/>
        </w:rPr>
        <w:t>公章</w:t>
      </w:r>
      <w:r>
        <w:rPr>
          <w:rFonts w:hint="eastAsia" w:asciiTheme="minorEastAsia" w:hAnsiTheme="minorEastAsia" w:eastAsiaTheme="minorEastAsia" w:cstheme="minorEastAsia"/>
          <w:sz w:val="24"/>
        </w:rPr>
        <w:t>或其法定代表人</w:t>
      </w:r>
      <w:r>
        <w:rPr>
          <w:rFonts w:hint="eastAsia" w:asciiTheme="minorEastAsia" w:hAnsiTheme="minorEastAsia" w:eastAsiaTheme="minorEastAsia" w:cstheme="minorEastAsia"/>
          <w:sz w:val="24"/>
          <w:lang w:val="en-US" w:eastAsia="zh-CN"/>
        </w:rPr>
        <w:t>签字</w:t>
      </w:r>
      <w:r>
        <w:rPr>
          <w:rFonts w:hint="eastAsia" w:asciiTheme="minorEastAsia" w:hAnsiTheme="minorEastAsia" w:eastAsiaTheme="minorEastAsia" w:cstheme="minorEastAsia"/>
          <w:sz w:val="24"/>
        </w:rPr>
        <w:t>。被授权人签字的，还需附法定代表人授权委托书。</w:t>
      </w:r>
    </w:p>
    <w:p w14:paraId="11C846B3">
      <w:pPr>
        <w:pStyle w:val="5"/>
        <w:spacing w:before="120" w:beforeLines="50" w:after="120" w:afterLines="50" w:line="480" w:lineRule="exact"/>
        <w:jc w:val="center"/>
        <w:rPr>
          <w:rFonts w:ascii="宋体" w:hAnsi="宋体" w:eastAsia="宋体" w:cs="宋体"/>
          <w:sz w:val="24"/>
          <w:szCs w:val="24"/>
        </w:rPr>
      </w:pPr>
      <w:bookmarkStart w:id="20" w:name="_Toc18671559"/>
      <w:bookmarkStart w:id="21" w:name="_Toc26999"/>
      <w:r>
        <w:rPr>
          <w:rFonts w:hint="eastAsia" w:ascii="宋体" w:hAnsi="宋体" w:eastAsia="宋体" w:cs="宋体"/>
          <w:sz w:val="24"/>
          <w:szCs w:val="24"/>
        </w:rPr>
        <w:t>四、单一来源响应文件的递交</w:t>
      </w:r>
      <w:bookmarkEnd w:id="20"/>
      <w:bookmarkEnd w:id="21"/>
    </w:p>
    <w:p w14:paraId="3D6E2A9C">
      <w:pPr>
        <w:spacing w:line="48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17、单一来源响应文件的提交</w:t>
      </w:r>
    </w:p>
    <w:p w14:paraId="42E953EF">
      <w:pPr>
        <w:pStyle w:val="27"/>
        <w:spacing w:line="4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本项目为纸质投标，在</w:t>
      </w:r>
      <w:r>
        <w:rPr>
          <w:rFonts w:hint="eastAsia" w:asciiTheme="minorEastAsia" w:hAnsiTheme="minorEastAsia" w:eastAsiaTheme="minorEastAsia" w:cstheme="minorEastAsia"/>
          <w:sz w:val="24"/>
          <w:szCs w:val="24"/>
          <w:lang w:val="en-US" w:eastAsia="zh-CN"/>
        </w:rPr>
        <w:t>响应文件递交</w:t>
      </w:r>
      <w:r>
        <w:rPr>
          <w:rFonts w:hint="eastAsia" w:asciiTheme="minorEastAsia" w:hAnsiTheme="minorEastAsia" w:eastAsiaTheme="minorEastAsia" w:cstheme="minorEastAsia"/>
          <w:sz w:val="24"/>
          <w:szCs w:val="24"/>
        </w:rPr>
        <w:t>截止时间前现场递交</w:t>
      </w:r>
      <w:r>
        <w:rPr>
          <w:rFonts w:hint="eastAsia" w:asciiTheme="minorEastAsia" w:hAnsiTheme="minorEastAsia" w:eastAsiaTheme="minorEastAsia" w:cstheme="minorEastAsia"/>
          <w:sz w:val="24"/>
          <w:szCs w:val="24"/>
          <w:lang w:eastAsia="zh-CN"/>
        </w:rPr>
        <w:t>。</w:t>
      </w:r>
    </w:p>
    <w:p w14:paraId="49921ABF">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18、单一来源响应文件的修改和撤回</w:t>
      </w:r>
    </w:p>
    <w:p w14:paraId="31A5A87A">
      <w:pPr>
        <w:pStyle w:val="27"/>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在供应商须知前附表规定的响应文件提交截止时间前，供应商可以修改或撤回已递交的单一来源响应文件。</w:t>
      </w:r>
    </w:p>
    <w:p w14:paraId="112D7807">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19、联合体参加单一来源协商</w:t>
      </w:r>
    </w:p>
    <w:p w14:paraId="1C9EFF67">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由两家或两家以上供应商组成的联合体参与协商时，应满足以下要求：</w:t>
      </w:r>
    </w:p>
    <w:p w14:paraId="3DC2DF9E">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647C18AE">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19.2联合体应签订联合参与协商的协议，明确各方承担的职责和相应的责任，并授权其中的一个成员作为代表，具体进行协商、签订合同等事务。此协议或授权书应作为单一来源响应文件的一部分。</w:t>
      </w:r>
    </w:p>
    <w:p w14:paraId="17A9256C">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19.3联合体中牵头方应能全权处理协商过程中的有关问题。一旦成为成交供应商，该被授权供应商应负责签订合同并负责合同的全面实施，包括合同款项的收付。</w:t>
      </w:r>
    </w:p>
    <w:p w14:paraId="68FA0E10">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19.4以联合体形式参加采购活动的，联合体各方不得再单独参加或者与其他供应商另外组成联合体参加同一合同项下的采购活动。</w:t>
      </w:r>
    </w:p>
    <w:p w14:paraId="6714FAF1">
      <w:pPr>
        <w:pStyle w:val="5"/>
        <w:spacing w:before="120" w:beforeLines="50" w:after="120" w:afterLines="50" w:line="480" w:lineRule="exact"/>
        <w:jc w:val="center"/>
        <w:rPr>
          <w:rFonts w:ascii="宋体" w:hAnsi="宋体" w:eastAsia="宋体" w:cs="宋体"/>
          <w:sz w:val="24"/>
          <w:szCs w:val="24"/>
        </w:rPr>
      </w:pPr>
      <w:bookmarkStart w:id="22" w:name="_Toc18671560"/>
      <w:bookmarkStart w:id="23" w:name="_Toc20301"/>
      <w:r>
        <w:rPr>
          <w:rFonts w:hint="eastAsia" w:ascii="宋体" w:hAnsi="宋体" w:eastAsia="宋体" w:cs="宋体"/>
          <w:sz w:val="24"/>
          <w:szCs w:val="24"/>
        </w:rPr>
        <w:t>五、协商与评审</w:t>
      </w:r>
      <w:bookmarkEnd w:id="22"/>
      <w:bookmarkEnd w:id="23"/>
    </w:p>
    <w:p w14:paraId="197D04CF">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20、协商</w:t>
      </w:r>
    </w:p>
    <w:p w14:paraId="29C5EB31">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20.1采购人将在规定的时间组织协商。供应商的法定代表人或其委托的代理人应在</w:t>
      </w:r>
      <w:r>
        <w:rPr>
          <w:rFonts w:hint="eastAsia" w:asciiTheme="minorEastAsia" w:hAnsiTheme="minorEastAsia" w:eastAsiaTheme="minorEastAsia" w:cstheme="minorEastAsia"/>
          <w:sz w:val="24"/>
          <w:lang w:val="en-US" w:eastAsia="zh-CN"/>
        </w:rPr>
        <w:t>现场</w:t>
      </w:r>
      <w:r>
        <w:rPr>
          <w:rFonts w:hint="eastAsia" w:asciiTheme="minorEastAsia" w:hAnsiTheme="minorEastAsia" w:eastAsiaTheme="minorEastAsia" w:cstheme="minorEastAsia"/>
          <w:sz w:val="24"/>
        </w:rPr>
        <w:t>准时参加。</w:t>
      </w:r>
    </w:p>
    <w:p w14:paraId="2E9ADE79">
      <w:pPr>
        <w:tabs>
          <w:tab w:val="left" w:pos="90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20.2采购人将按规定组织相关人员组成协商小组。</w:t>
      </w:r>
    </w:p>
    <w:p w14:paraId="08DE5E13">
      <w:pPr>
        <w:tabs>
          <w:tab w:val="left" w:pos="36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20.3协商小组将首先对单一来源响应文件进行符合性评审，了解其与采购文件要求是否有偏离。</w:t>
      </w:r>
    </w:p>
    <w:p w14:paraId="23FF18D4">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sz w:val="24"/>
        </w:rPr>
        <w:t>供应商未通过符合性评审的，不进入后续程序。</w:t>
      </w:r>
    </w:p>
    <w:p w14:paraId="5227B61D">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20.5符合性评审通过后，协商小组与供应商进行价格协商，并确定最终合同价格。</w:t>
      </w:r>
    </w:p>
    <w:p w14:paraId="49F58346">
      <w:pPr>
        <w:spacing w:line="48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供应商每次报价都应当在协商小组发出报价要求后半小时内完成报价事宜。</w:t>
      </w:r>
    </w:p>
    <w:p w14:paraId="3B552E7B">
      <w:pPr>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供应商必须在规定的时间内将自己在协商中作出的澄清、变动以及最终的报价，经供应商</w:t>
      </w:r>
      <w:r>
        <w:rPr>
          <w:rFonts w:hint="eastAsia" w:asciiTheme="minorEastAsia" w:hAnsiTheme="minorEastAsia" w:eastAsiaTheme="minorEastAsia" w:cstheme="minorEastAsia"/>
          <w:bCs/>
          <w:sz w:val="24"/>
          <w:lang w:val="en-US" w:eastAsia="zh-CN"/>
        </w:rPr>
        <w:t>填写</w:t>
      </w:r>
      <w:r>
        <w:rPr>
          <w:rFonts w:hint="eastAsia" w:asciiTheme="minorEastAsia" w:hAnsiTheme="minorEastAsia" w:eastAsiaTheme="minorEastAsia" w:cstheme="minorEastAsia"/>
          <w:bCs/>
          <w:sz w:val="24"/>
        </w:rPr>
        <w:t>后，以</w:t>
      </w:r>
      <w:r>
        <w:rPr>
          <w:rFonts w:hint="eastAsia" w:asciiTheme="minorEastAsia" w:hAnsiTheme="minorEastAsia" w:eastAsiaTheme="minorEastAsia" w:cstheme="minorEastAsia"/>
          <w:bCs/>
          <w:sz w:val="24"/>
          <w:lang w:val="en-US" w:eastAsia="zh-CN"/>
        </w:rPr>
        <w:t>纸质</w:t>
      </w:r>
      <w:r>
        <w:rPr>
          <w:rFonts w:hint="eastAsia" w:asciiTheme="minorEastAsia" w:hAnsiTheme="minorEastAsia" w:eastAsiaTheme="minorEastAsia" w:cstheme="minorEastAsia"/>
          <w:bCs/>
          <w:sz w:val="24"/>
        </w:rPr>
        <w:t>的方式提交给协商小组。</w:t>
      </w:r>
    </w:p>
    <w:p w14:paraId="73C6902C">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21、评审</w:t>
      </w:r>
    </w:p>
    <w:p w14:paraId="1EF78F85">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21.1协商小组将依据供应商最终提交的确认件进行评审，并编写协商报告。</w:t>
      </w:r>
    </w:p>
    <w:p w14:paraId="6ACEAB23">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21.2采购人确认成交供应商后，应将结果在指定的网站公告。</w:t>
      </w:r>
    </w:p>
    <w:p w14:paraId="5AC5071B">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22、异常情况处理</w:t>
      </w:r>
    </w:p>
    <w:p w14:paraId="78DC46B4">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出现下列情形之一的，采购人或者采购代理机构应当终止采购活动，发布项目终止公告并说明原因，重新开展采购活动：</w:t>
      </w:r>
    </w:p>
    <w:p w14:paraId="27200421">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（一）因情况变化，不再符合规定的单一来源采购方式适用情形的；</w:t>
      </w:r>
    </w:p>
    <w:p w14:paraId="3839BEBE">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（二）出现影响采购公正的违法、违规行为的；</w:t>
      </w:r>
    </w:p>
    <w:p w14:paraId="6EC45A7D">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（三）报价超过采购预算的；</w:t>
      </w:r>
    </w:p>
    <w:p w14:paraId="0167C3EE">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（四）因重大事故，采购任务取消的。</w:t>
      </w:r>
    </w:p>
    <w:p w14:paraId="016D7DF0">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23、供应商存在下列情况之一的，响应无效：</w:t>
      </w:r>
    </w:p>
    <w:p w14:paraId="4F417123">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（一）响应文件未按采购文件要求签署、盖章的；</w:t>
      </w:r>
    </w:p>
    <w:p w14:paraId="6C611FC9">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（二）报价超过采购文件中规定的金额或者最高限价的，采购人可以支付的除外；</w:t>
      </w:r>
    </w:p>
    <w:p w14:paraId="0F15BBE6">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（三）响应文件含有采购人不能接受的附加条件的；</w:t>
      </w:r>
    </w:p>
    <w:p w14:paraId="0F4AED7F">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（四）法律、法规和采购文件规定的其他无效情形的；</w:t>
      </w:r>
    </w:p>
    <w:p w14:paraId="061D6C82">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（五）提供虚假材料参加单一来源活动的违法、违规行为被查实的。</w:t>
      </w:r>
    </w:p>
    <w:p w14:paraId="3A7681CC">
      <w:pPr>
        <w:pStyle w:val="5"/>
        <w:spacing w:before="120" w:beforeLines="50" w:after="120" w:afterLines="50" w:line="480" w:lineRule="exact"/>
        <w:jc w:val="center"/>
        <w:rPr>
          <w:rFonts w:ascii="宋体" w:hAnsi="宋体" w:eastAsia="宋体" w:cs="宋体"/>
          <w:sz w:val="24"/>
          <w:szCs w:val="24"/>
        </w:rPr>
      </w:pPr>
      <w:bookmarkStart w:id="24" w:name="_Toc18671561"/>
      <w:bookmarkStart w:id="25" w:name="_Toc4538"/>
      <w:r>
        <w:rPr>
          <w:rFonts w:hint="eastAsia" w:ascii="宋体" w:hAnsi="宋体" w:eastAsia="宋体" w:cs="宋体"/>
          <w:sz w:val="24"/>
          <w:szCs w:val="24"/>
        </w:rPr>
        <w:t>六、成交和授予合同</w:t>
      </w:r>
      <w:bookmarkEnd w:id="24"/>
      <w:bookmarkEnd w:id="25"/>
    </w:p>
    <w:p w14:paraId="0E5A2478">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24、成交确认</w:t>
      </w:r>
    </w:p>
    <w:p w14:paraId="21395D41">
      <w:pPr>
        <w:tabs>
          <w:tab w:val="left" w:pos="0"/>
        </w:tabs>
        <w:spacing w:line="480" w:lineRule="exac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采购人应当在收到协商报告后5个工作日内，确定成交供应商。</w:t>
      </w:r>
    </w:p>
    <w:p w14:paraId="57439449">
      <w:pPr>
        <w:tabs>
          <w:tab w:val="left" w:pos="0"/>
        </w:tabs>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25、签订合同</w:t>
      </w:r>
    </w:p>
    <w:p w14:paraId="1DB1055F">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hd w:val="clear" w:color="auto" w:fill="FFFFFF"/>
        </w:rPr>
        <w:t>25</w:t>
      </w:r>
      <w:r>
        <w:rPr>
          <w:rFonts w:hint="eastAsia" w:asciiTheme="minorEastAsia" w:hAnsiTheme="minorEastAsia" w:eastAsiaTheme="minorEastAsia" w:cstheme="minorEastAsia"/>
          <w:sz w:val="24"/>
        </w:rPr>
        <w:t>.1采购</w:t>
      </w:r>
      <w:r>
        <w:rPr>
          <w:rFonts w:hint="eastAsia" w:asciiTheme="minorEastAsia" w:hAnsiTheme="minorEastAsia" w:eastAsiaTheme="minorEastAsia" w:cstheme="minorEastAsia"/>
          <w:sz w:val="24"/>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40928A0C">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25.2采购合同在履行中可追加与合同标的相同的</w:t>
      </w:r>
      <w:r>
        <w:rPr>
          <w:rFonts w:hint="eastAsia" w:asciiTheme="minorEastAsia" w:hAnsiTheme="minorEastAsia" w:eastAsiaTheme="minorEastAsia" w:cstheme="minorEastAsia"/>
          <w:sz w:val="24"/>
          <w:lang w:val="en-US" w:eastAsia="zh-CN"/>
        </w:rPr>
        <w:t>货物</w:t>
      </w:r>
      <w:r>
        <w:rPr>
          <w:rFonts w:hint="eastAsia" w:asciiTheme="minorEastAsia" w:hAnsiTheme="minorEastAsia" w:eastAsiaTheme="minorEastAsia" w:cstheme="minorEastAsia"/>
          <w:sz w:val="24"/>
        </w:rPr>
        <w:t>，但采购金额不得超过原合同采购金额的10%。</w:t>
      </w:r>
    </w:p>
    <w:p w14:paraId="6B01A50D">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25.3成交供应商拒绝与采购人签订合同的，将按相关规定进行处理。成交通知书发出后，采购人无正当理由不与成交供应商签订采购合同的，将依据相关规定给予处理。</w:t>
      </w:r>
    </w:p>
    <w:p w14:paraId="256BC887">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25.4因政策变化等原因不能签订合同，造成企业合法利益受损的情形，采购人可以与供应商充分协商，给予合理补偿。</w:t>
      </w:r>
    </w:p>
    <w:p w14:paraId="2C74614E">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25.5在签订合同时，供应商书面明确表示无需预付款或者主动要求降低预付款比例的，采购人可不适用前述（即付款方式）规定。</w:t>
      </w:r>
    </w:p>
    <w:p w14:paraId="4718C745">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25.6采购文件和合同中没有约定预付款的，经供应商申请，采购人可以支付预付款。</w:t>
      </w:r>
    </w:p>
    <w:p w14:paraId="3552889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25.7采购人可根据项目特点、供应商诚信等因素，要求供应商提交银行、保险公司、担保公司等金融机构出具的预付款保函或其他担保措施。</w:t>
      </w:r>
    </w:p>
    <w:p w14:paraId="4DCCF856">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25.8采购预付款应在合同、担保措施生效以及具备实施条件后 5 个工作日内支付。</w:t>
      </w:r>
    </w:p>
    <w:p w14:paraId="6600741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25.9延迟支付中小企业款项的，供应商可要求采购人按照合同约定支付逾期利息，合同没有约定的，按照同期人民银行 LPR支付逾期利息。</w:t>
      </w:r>
    </w:p>
    <w:p w14:paraId="1521E178">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25.10 成交供应商无正当理由不与采购人订立合同的处罚依据：</w:t>
      </w:r>
    </w:p>
    <w:p w14:paraId="629FBD39">
      <w:pPr>
        <w:pStyle w:val="2"/>
        <w:spacing w:after="0" w:line="480" w:lineRule="exact"/>
        <w:ind w:firstLine="0"/>
      </w:pPr>
      <w:r>
        <w:rPr>
          <w:rFonts w:hint="eastAsia"/>
        </w:rPr>
        <w:t>（1）《中华人民共和国政府采购法实施条例》</w:t>
      </w:r>
    </w:p>
    <w:p w14:paraId="60310F9D">
      <w:pPr>
        <w:pStyle w:val="2"/>
        <w:spacing w:after="0" w:line="480" w:lineRule="exact"/>
        <w:ind w:firstLine="0"/>
      </w:pPr>
      <w:r>
        <w:rPr>
          <w:rFonts w:hint="eastAsia"/>
        </w:rPr>
        <w:t>第七十二条 供应商有下列情形之一的，依照政府采购法第七十七条第一款的规定追究法律责任：……</w:t>
      </w:r>
    </w:p>
    <w:p w14:paraId="38391F53">
      <w:pPr>
        <w:pStyle w:val="2"/>
        <w:spacing w:after="0" w:line="480" w:lineRule="exact"/>
        <w:ind w:firstLine="0"/>
      </w:pPr>
      <w:r>
        <w:rPr>
          <w:rFonts w:hint="eastAsia"/>
        </w:rPr>
        <w:t>（二）中标或者成交后无正当理由拒不与采购人签订政府采购合同；……</w:t>
      </w:r>
    </w:p>
    <w:p w14:paraId="29801E9F">
      <w:pPr>
        <w:pStyle w:val="2"/>
        <w:spacing w:after="0" w:line="480" w:lineRule="exact"/>
        <w:ind w:firstLine="0"/>
      </w:pPr>
      <w:r>
        <w:rPr>
          <w:rFonts w:hint="eastAsia"/>
        </w:rPr>
        <w:t>（2）《中华人民共和国政府采购法》</w:t>
      </w:r>
    </w:p>
    <w:p w14:paraId="194A9708">
      <w:pPr>
        <w:pStyle w:val="2"/>
        <w:spacing w:after="0" w:line="480" w:lineRule="exact"/>
        <w:ind w:firstLine="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DF97FE">
      <w:pPr>
        <w:pStyle w:val="2"/>
        <w:spacing w:after="0" w:line="480" w:lineRule="exact"/>
        <w:ind w:firstLine="0"/>
      </w:pPr>
      <w:r>
        <w:rPr>
          <w:rFonts w:hint="eastAsia"/>
        </w:rPr>
        <w:t>（3）《政府采购非招标采购方式管理办法》（财政部令第74号）</w:t>
      </w:r>
    </w:p>
    <w:p w14:paraId="0574F531">
      <w:pPr>
        <w:pStyle w:val="2"/>
        <w:spacing w:after="0" w:line="480" w:lineRule="exact"/>
        <w:ind w:firstLine="120" w:firstLineChars="50"/>
      </w:pPr>
      <w:r>
        <w:rPr>
          <w:rFonts w:hint="eastAsia"/>
        </w:rPr>
        <w:t>第五十四条 成交供应商有下列情形之一的，责令限期整改，情节严重的，列入不良行为记录名单，在1至3年内禁止参加政府采购活动，并予以通报：……</w:t>
      </w:r>
    </w:p>
    <w:p w14:paraId="25AA2A9F">
      <w:pPr>
        <w:pStyle w:val="2"/>
        <w:spacing w:after="0" w:line="480" w:lineRule="exact"/>
        <w:ind w:firstLine="0"/>
        <w:rPr>
          <w:rFonts w:asciiTheme="minorEastAsia" w:hAnsiTheme="minorEastAsia" w:eastAsiaTheme="minorEastAsia" w:cstheme="minorEastAsia"/>
        </w:rPr>
      </w:pPr>
      <w:r>
        <w:rPr>
          <w:rFonts w:hint="eastAsia"/>
        </w:rPr>
        <w:t>（二）成交后无正当理由不与采购人签订合同的；……</w:t>
      </w:r>
    </w:p>
    <w:p w14:paraId="739FC38C">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26、履约保证金</w:t>
      </w:r>
    </w:p>
    <w:p w14:paraId="4A444773">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26.1成交供应商在签订合同前必须按单一来源文件的规定，及时、足额交纳履约保证金。</w:t>
      </w:r>
    </w:p>
    <w:p w14:paraId="31093851">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4"/>
    <w:bookmarkEnd w:id="15"/>
    <w:p w14:paraId="1742794A">
      <w:pPr>
        <w:spacing w:line="480" w:lineRule="exact"/>
        <w:rPr>
          <w:rFonts w:asciiTheme="minorEastAsia" w:hAnsiTheme="minorEastAsia" w:eastAsiaTheme="minorEastAsia" w:cstheme="minorEastAsia"/>
          <w:b/>
          <w:sz w:val="24"/>
        </w:rPr>
      </w:pPr>
      <w:bookmarkStart w:id="26" w:name="_Toc14936"/>
      <w:bookmarkStart w:id="27" w:name="_Toc27142"/>
      <w:bookmarkStart w:id="28" w:name="_Toc272163837"/>
      <w:bookmarkStart w:id="29" w:name="_Toc533314955"/>
      <w:r>
        <w:rPr>
          <w:rFonts w:hint="eastAsia" w:asciiTheme="minorEastAsia" w:hAnsiTheme="minorEastAsia" w:eastAsiaTheme="minorEastAsia" w:cstheme="minorEastAsia"/>
          <w:b/>
          <w:sz w:val="24"/>
        </w:rPr>
        <w:t>27、验收</w:t>
      </w:r>
      <w:bookmarkEnd w:id="26"/>
      <w:bookmarkEnd w:id="27"/>
      <w:r>
        <w:rPr>
          <w:rFonts w:hint="eastAsia" w:asciiTheme="minorEastAsia" w:hAnsiTheme="minorEastAsia" w:eastAsiaTheme="minorEastAsia" w:cstheme="minorEastAsia"/>
          <w:b/>
          <w:sz w:val="24"/>
        </w:rPr>
        <w:t>与支付</w:t>
      </w:r>
    </w:p>
    <w:p w14:paraId="6BA6EB25">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27.1采购人应当在项目完成且收到供应商验收申请后 5 个工作日内组织开展履约验收。</w:t>
      </w:r>
    </w:p>
    <w:p w14:paraId="1FBD359D">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4536F9C">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27.3涉及安全、消防、环保等其他需要由质检或行业主管部门进行验收的项目，必须邀请相关部门或相关专家参与验收。</w:t>
      </w:r>
    </w:p>
    <w:p w14:paraId="13DD6227">
      <w:pPr>
        <w:tabs>
          <w:tab w:val="left" w:pos="0"/>
        </w:tab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4952837F">
      <w:pPr>
        <w:pStyle w:val="2"/>
        <w:ind w:firstLine="0"/>
        <w:rPr>
          <w:rFonts w:ascii="宋体" w:hAnsi="宋体"/>
          <w:szCs w:val="24"/>
        </w:rPr>
      </w:pPr>
    </w:p>
    <w:p w14:paraId="06D2AF9A">
      <w:pPr>
        <w:pStyle w:val="2"/>
        <w:ind w:firstLine="0"/>
        <w:rPr>
          <w:rFonts w:ascii="宋体" w:hAnsi="宋体"/>
          <w:szCs w:val="24"/>
        </w:rPr>
      </w:pPr>
    </w:p>
    <w:p w14:paraId="1FD136EC">
      <w:pPr>
        <w:pStyle w:val="2"/>
        <w:ind w:firstLine="0"/>
        <w:rPr>
          <w:rFonts w:ascii="宋体" w:hAnsi="宋体"/>
          <w:szCs w:val="24"/>
        </w:rPr>
      </w:pPr>
    </w:p>
    <w:p w14:paraId="75E927C3">
      <w:pPr>
        <w:pStyle w:val="2"/>
        <w:ind w:firstLine="0"/>
        <w:rPr>
          <w:rFonts w:ascii="宋体" w:hAnsi="宋体"/>
          <w:szCs w:val="24"/>
        </w:rPr>
      </w:pPr>
    </w:p>
    <w:p w14:paraId="15A13EC3">
      <w:pPr>
        <w:pStyle w:val="2"/>
        <w:ind w:firstLine="0"/>
        <w:rPr>
          <w:rFonts w:ascii="宋体" w:hAnsi="宋体"/>
          <w:szCs w:val="24"/>
        </w:rPr>
      </w:pPr>
    </w:p>
    <w:p w14:paraId="62D21DE2">
      <w:pPr>
        <w:pStyle w:val="2"/>
        <w:ind w:firstLine="0"/>
        <w:rPr>
          <w:rFonts w:ascii="宋体" w:hAnsi="宋体"/>
          <w:szCs w:val="24"/>
        </w:rPr>
      </w:pPr>
    </w:p>
    <w:p w14:paraId="041E6515">
      <w:pPr>
        <w:pStyle w:val="2"/>
        <w:ind w:firstLine="0"/>
        <w:rPr>
          <w:rFonts w:ascii="宋体" w:hAnsi="宋体"/>
          <w:szCs w:val="24"/>
        </w:rPr>
      </w:pPr>
    </w:p>
    <w:p w14:paraId="5F603A8A">
      <w:pPr>
        <w:pStyle w:val="2"/>
        <w:ind w:firstLine="0"/>
        <w:rPr>
          <w:rFonts w:ascii="宋体" w:hAnsi="宋体"/>
          <w:szCs w:val="24"/>
        </w:rPr>
      </w:pPr>
    </w:p>
    <w:p w14:paraId="325C76AA">
      <w:pPr>
        <w:pStyle w:val="2"/>
        <w:ind w:firstLine="0"/>
        <w:rPr>
          <w:rFonts w:ascii="宋体" w:hAnsi="宋体"/>
          <w:szCs w:val="24"/>
        </w:rPr>
      </w:pPr>
    </w:p>
    <w:p w14:paraId="04EBC27E">
      <w:pPr>
        <w:pStyle w:val="2"/>
        <w:ind w:firstLine="0"/>
        <w:rPr>
          <w:rFonts w:ascii="宋体" w:hAnsi="宋体"/>
          <w:szCs w:val="24"/>
        </w:rPr>
      </w:pPr>
    </w:p>
    <w:p w14:paraId="619CD4CC">
      <w:pPr>
        <w:pStyle w:val="2"/>
        <w:ind w:firstLine="0"/>
        <w:rPr>
          <w:rFonts w:ascii="宋体" w:hAnsi="宋体"/>
          <w:szCs w:val="24"/>
        </w:rPr>
      </w:pPr>
    </w:p>
    <w:p w14:paraId="731819EC">
      <w:pPr>
        <w:pStyle w:val="2"/>
        <w:ind w:firstLine="0"/>
        <w:rPr>
          <w:rFonts w:ascii="宋体" w:hAnsi="宋体"/>
          <w:szCs w:val="24"/>
        </w:rPr>
      </w:pPr>
    </w:p>
    <w:p w14:paraId="41FBA097">
      <w:pPr>
        <w:pStyle w:val="2"/>
        <w:ind w:firstLine="0"/>
        <w:rPr>
          <w:rFonts w:ascii="宋体" w:hAnsi="宋体"/>
          <w:szCs w:val="24"/>
        </w:rPr>
      </w:pPr>
    </w:p>
    <w:p w14:paraId="7CFCB6AD">
      <w:pPr>
        <w:rPr>
          <w:rFonts w:hint="eastAsia" w:ascii="宋体" w:hAnsi="宋体" w:eastAsia="宋体" w:cs="宋体"/>
          <w:b/>
          <w:sz w:val="24"/>
          <w:szCs w:val="24"/>
        </w:rPr>
      </w:pPr>
      <w:bookmarkStart w:id="30" w:name="_Toc220232392"/>
      <w:bookmarkStart w:id="31" w:name="_Toc463733011"/>
      <w:bookmarkStart w:id="32" w:name="_Toc29961"/>
      <w:r>
        <w:rPr>
          <w:rFonts w:hint="eastAsia" w:ascii="宋体" w:hAnsi="宋体" w:eastAsia="宋体" w:cs="宋体"/>
          <w:b/>
          <w:sz w:val="24"/>
          <w:szCs w:val="24"/>
        </w:rPr>
        <w:br w:type="page"/>
      </w:r>
    </w:p>
    <w:p w14:paraId="65A3A05C">
      <w:pPr>
        <w:pStyle w:val="4"/>
        <w:spacing w:before="120" w:beforeLines="50" w:after="120" w:afterLines="50" w:line="560" w:lineRule="exact"/>
        <w:ind w:left="0" w:leftChars="0" w:firstLine="0" w:firstLineChars="0"/>
        <w:jc w:val="center"/>
        <w:rPr>
          <w:rFonts w:ascii="宋体" w:hAnsi="宋体" w:eastAsia="宋体" w:cs="宋体"/>
          <w:b/>
          <w:sz w:val="24"/>
          <w:szCs w:val="24"/>
        </w:rPr>
      </w:pPr>
      <w:r>
        <w:rPr>
          <w:rFonts w:hint="eastAsia" w:ascii="宋体" w:hAnsi="宋体" w:eastAsia="宋体" w:cs="宋体"/>
          <w:b/>
          <w:sz w:val="24"/>
          <w:szCs w:val="24"/>
        </w:rPr>
        <w:t>第四章  采购合同</w:t>
      </w:r>
      <w:bookmarkEnd w:id="30"/>
      <w:bookmarkEnd w:id="31"/>
      <w:bookmarkEnd w:id="32"/>
    </w:p>
    <w:p w14:paraId="4CD7F825">
      <w:pPr>
        <w:spacing w:before="78" w:line="220" w:lineRule="auto"/>
        <w:jc w:val="center"/>
        <w:rPr>
          <w:rFonts w:hint="eastAsia" w:ascii="宋体" w:hAnsi="宋体" w:eastAsia="宋体" w:cs="宋体"/>
          <w:spacing w:val="-6"/>
          <w:sz w:val="24"/>
          <w:lang w:eastAsia="zh-CN"/>
        </w:rPr>
      </w:pPr>
      <w:r>
        <w:rPr>
          <w:rFonts w:hint="eastAsia" w:ascii="宋体" w:hAnsi="宋体" w:eastAsia="宋体" w:cs="宋体"/>
          <w:spacing w:val="-6"/>
          <w:sz w:val="24"/>
          <w:lang w:eastAsia="zh-CN"/>
        </w:rPr>
        <w:t>（</w:t>
      </w:r>
      <w:r>
        <w:rPr>
          <w:rFonts w:hint="eastAsia" w:ascii="宋体" w:hAnsi="宋体" w:eastAsia="宋体" w:cs="宋体"/>
          <w:spacing w:val="-6"/>
          <w:sz w:val="24"/>
          <w:lang w:val="en-US" w:eastAsia="zh-CN"/>
        </w:rPr>
        <w:t>甲乙双方自行拟定</w:t>
      </w:r>
      <w:r>
        <w:rPr>
          <w:rFonts w:hint="eastAsia" w:ascii="宋体" w:hAnsi="宋体" w:eastAsia="宋体" w:cs="宋体"/>
          <w:spacing w:val="-6"/>
          <w:sz w:val="24"/>
          <w:lang w:eastAsia="zh-CN"/>
        </w:rPr>
        <w:t>）</w:t>
      </w:r>
    </w:p>
    <w:p w14:paraId="205615B4">
      <w:pPr>
        <w:spacing w:line="253" w:lineRule="auto"/>
      </w:pPr>
    </w:p>
    <w:p w14:paraId="3BD011CC">
      <w:pPr>
        <w:spacing w:line="254" w:lineRule="auto"/>
      </w:pPr>
    </w:p>
    <w:p w14:paraId="180BA96B">
      <w:pPr>
        <w:spacing w:line="254" w:lineRule="auto"/>
      </w:pPr>
    </w:p>
    <w:p w14:paraId="0F1AE617">
      <w:pPr>
        <w:spacing w:before="79" w:line="220" w:lineRule="auto"/>
        <w:ind w:left="998"/>
        <w:rPr>
          <w:rFonts w:ascii="宋体" w:hAnsi="宋体" w:cs="宋体"/>
          <w:sz w:val="24"/>
        </w:rPr>
      </w:pPr>
    </w:p>
    <w:p w14:paraId="60CEC3E1">
      <w:pPr>
        <w:sectPr>
          <w:footerReference r:id="rId4" w:type="default"/>
          <w:pgSz w:w="11907" w:h="16839"/>
          <w:pgMar w:top="1118" w:right="1769" w:bottom="1233" w:left="1771" w:header="877" w:footer="982" w:gutter="0"/>
          <w:pgNumType w:fmt="decimal" w:start="1"/>
          <w:cols w:space="720" w:num="1"/>
        </w:sectPr>
      </w:pPr>
    </w:p>
    <w:p w14:paraId="5E382631">
      <w:pPr>
        <w:keepNext w:val="0"/>
        <w:keepLines w:val="0"/>
        <w:pageBreakBefore w:val="0"/>
        <w:widowControl w:val="0"/>
        <w:tabs>
          <w:tab w:val="left" w:pos="0"/>
        </w:tabs>
        <w:kinsoku/>
        <w:wordWrap/>
        <w:overflowPunct/>
        <w:topLinePunct w:val="0"/>
        <w:autoSpaceDE/>
        <w:autoSpaceDN/>
        <w:bidi w:val="0"/>
        <w:adjustRightInd/>
        <w:snapToGrid/>
        <w:spacing w:line="480" w:lineRule="exact"/>
        <w:jc w:val="center"/>
        <w:textAlignment w:val="auto"/>
        <w:rPr>
          <w:rStyle w:val="31"/>
          <w:rFonts w:hint="eastAsia" w:ascii="宋体" w:hAnsi="宋体" w:eastAsia="宋体" w:cs="宋体"/>
          <w:color w:val="000000" w:themeColor="text1"/>
          <w:sz w:val="24"/>
          <w:szCs w:val="24"/>
          <w:highlight w:val="none"/>
          <w14:textFill>
            <w14:solidFill>
              <w14:schemeClr w14:val="tx1"/>
            </w14:solidFill>
          </w14:textFill>
        </w:rPr>
      </w:pPr>
      <w:bookmarkStart w:id="33" w:name="_Toc2581"/>
      <w:r>
        <w:rPr>
          <w:rStyle w:val="31"/>
          <w:rFonts w:hint="eastAsia" w:ascii="宋体" w:hAnsi="宋体" w:eastAsia="宋体" w:cs="宋体"/>
          <w:sz w:val="24"/>
          <w:szCs w:val="24"/>
          <w:highlight w:val="none"/>
        </w:rPr>
        <w:t>第五章</w:t>
      </w:r>
      <w:r>
        <w:rPr>
          <w:rStyle w:val="31"/>
          <w:rFonts w:hint="eastAsia" w:ascii="宋体" w:hAnsi="宋体" w:cs="宋体"/>
          <w:sz w:val="24"/>
          <w:szCs w:val="24"/>
          <w:highlight w:val="none"/>
        </w:rPr>
        <w:t xml:space="preserve">  </w:t>
      </w:r>
      <w:r>
        <w:rPr>
          <w:rStyle w:val="31"/>
          <w:rFonts w:hint="eastAsia" w:ascii="宋体" w:hAnsi="宋体" w:eastAsia="宋体" w:cs="宋体"/>
          <w:color w:val="000000" w:themeColor="text1"/>
          <w:sz w:val="24"/>
          <w:szCs w:val="24"/>
          <w:highlight w:val="none"/>
          <w14:textFill>
            <w14:solidFill>
              <w14:schemeClr w14:val="tx1"/>
            </w14:solidFill>
          </w14:textFill>
        </w:rPr>
        <w:t>采购需求</w:t>
      </w:r>
      <w:bookmarkEnd w:id="33"/>
    </w:p>
    <w:p w14:paraId="47F55FF4">
      <w:pPr>
        <w:keepNext w:val="0"/>
        <w:keepLines w:val="0"/>
        <w:pageBreakBefore w:val="0"/>
        <w:widowControl w:val="0"/>
        <w:tabs>
          <w:tab w:val="left" w:pos="0"/>
        </w:tabs>
        <w:kinsoku/>
        <w:wordWrap/>
        <w:overflowPunct/>
        <w:topLinePunct w:val="0"/>
        <w:autoSpaceDE/>
        <w:autoSpaceDN/>
        <w:bidi w:val="0"/>
        <w:adjustRightInd/>
        <w:snapToGrid/>
        <w:spacing w:line="480" w:lineRule="exact"/>
        <w:jc w:val="center"/>
        <w:textAlignment w:val="auto"/>
        <w:rPr>
          <w:rStyle w:val="31"/>
          <w:rFonts w:hint="eastAsia" w:ascii="宋体" w:hAnsi="宋体" w:eastAsia="宋体" w:cs="宋体"/>
          <w:color w:val="000000" w:themeColor="text1"/>
          <w:sz w:val="24"/>
          <w:szCs w:val="24"/>
          <w:highlight w:val="yellow"/>
          <w14:textFill>
            <w14:solidFill>
              <w14:schemeClr w14:val="tx1"/>
            </w14:solidFill>
          </w14:textFill>
        </w:rPr>
      </w:pPr>
    </w:p>
    <w:p w14:paraId="79B8C2D9">
      <w:pPr>
        <w:pStyle w:val="50"/>
        <w:keepNext w:val="0"/>
        <w:keepLines w:val="0"/>
        <w:pageBreakBefore w:val="0"/>
        <w:kinsoku/>
        <w:wordWrap/>
        <w:overflowPunct/>
        <w:topLinePunct w:val="0"/>
        <w:autoSpaceDE/>
        <w:autoSpaceDN/>
        <w:bidi w:val="0"/>
        <w:adjustRightInd/>
        <w:snapToGrid/>
        <w:spacing w:line="360" w:lineRule="auto"/>
        <w:ind w:left="420" w:firstLine="0" w:firstLineChars="0"/>
        <w:jc w:val="left"/>
        <w:textAlignment w:val="auto"/>
        <w:rPr>
          <w:rFonts w:hint="default" w:ascii="微软雅黑" w:hAnsi="微软雅黑" w:eastAsia="微软雅黑"/>
          <w:lang w:val="en-US" w:eastAsia="zh-CN"/>
        </w:rPr>
      </w:pPr>
      <w:r>
        <w:rPr>
          <w:rFonts w:hint="eastAsia" w:asciiTheme="minorEastAsia" w:hAnsiTheme="minorEastAsia" w:eastAsiaTheme="minorEastAsia" w:cstheme="minorEastAsia"/>
          <w:b/>
          <w:bCs/>
          <w:sz w:val="24"/>
          <w:lang w:val="en-US" w:eastAsia="zh-CN"/>
        </w:rPr>
        <w:t>一、采购要求</w:t>
      </w:r>
      <w:r>
        <w:rPr>
          <w:rFonts w:hint="eastAsia" w:asciiTheme="minorEastAsia" w:hAnsiTheme="minorEastAsia" w:eastAsiaTheme="minorEastAsia" w:cstheme="minorEastAsia"/>
          <w:b/>
          <w:bCs/>
          <w:sz w:val="24"/>
          <w:lang w:val="en-US" w:eastAsia="zh-CN"/>
        </w:rPr>
        <w:br w:type="textWrapping"/>
      </w:r>
      <w:r>
        <w:rPr>
          <w:rFonts w:hint="eastAsia" w:asciiTheme="minorEastAsia" w:hAnsiTheme="minorEastAsia" w:eastAsiaTheme="minorEastAsia" w:cstheme="minorEastAsia"/>
          <w:b/>
          <w:bCs/>
          <w:sz w:val="24"/>
          <w:lang w:val="en-US" w:eastAsia="zh-CN"/>
        </w:rPr>
        <w:t>1、工程师：</w:t>
      </w:r>
      <w:r>
        <w:rPr>
          <w:rFonts w:hint="eastAsia" w:asciiTheme="minorEastAsia" w:hAnsiTheme="minorEastAsia" w:eastAsiaTheme="minorEastAsia" w:cstheme="minorEastAsia"/>
          <w:b w:val="0"/>
          <w:bCs w:val="0"/>
          <w:sz w:val="24"/>
          <w:lang w:val="en-US" w:eastAsia="zh-CN"/>
        </w:rPr>
        <w:t>供应商拟派服务人员需具备该型号设备培训证书，提供证书复印件或扫描件。</w:t>
      </w:r>
      <w:r>
        <w:rPr>
          <w:rFonts w:hint="eastAsia" w:asciiTheme="minorEastAsia" w:hAnsiTheme="minorEastAsia" w:eastAsiaTheme="minorEastAsia" w:cstheme="minorEastAsia"/>
          <w:b w:val="0"/>
          <w:bCs w:val="0"/>
          <w:sz w:val="24"/>
          <w:lang w:val="en-US" w:eastAsia="zh-CN"/>
        </w:rPr>
        <w:br w:type="textWrapping"/>
      </w:r>
      <w:r>
        <w:rPr>
          <w:rFonts w:hint="eastAsia" w:asciiTheme="minorEastAsia" w:hAnsiTheme="minorEastAsia" w:eastAsiaTheme="minorEastAsia" w:cstheme="minorEastAsia"/>
          <w:b/>
          <w:bCs/>
          <w:sz w:val="24"/>
          <w:lang w:val="en-US" w:eastAsia="zh-CN"/>
        </w:rPr>
        <w:t>2、供货要求：</w:t>
      </w:r>
      <w:r>
        <w:rPr>
          <w:rFonts w:hint="eastAsia" w:asciiTheme="minorEastAsia" w:hAnsiTheme="minorEastAsia" w:eastAsiaTheme="minorEastAsia" w:cstheme="minorEastAsia"/>
          <w:b w:val="0"/>
          <w:bCs w:val="0"/>
          <w:sz w:val="24"/>
          <w:lang w:val="en-US" w:eastAsia="zh-CN"/>
        </w:rPr>
        <w:t>所提供的线圈必须为原厂全新备件。</w:t>
      </w:r>
      <w:r>
        <w:rPr>
          <w:rFonts w:hint="eastAsia" w:asciiTheme="minorEastAsia" w:hAnsiTheme="minorEastAsia" w:eastAsiaTheme="minorEastAsia" w:cstheme="minorEastAsia"/>
          <w:b w:val="0"/>
          <w:bCs w:val="0"/>
          <w:sz w:val="24"/>
          <w:lang w:val="en-US" w:eastAsia="zh-CN"/>
        </w:rPr>
        <w:br w:type="textWrapping"/>
      </w:r>
      <w:r>
        <w:rPr>
          <w:rFonts w:hint="eastAsia" w:asciiTheme="minorEastAsia" w:hAnsiTheme="minorEastAsia" w:eastAsiaTheme="minorEastAsia" w:cstheme="minorEastAsia"/>
          <w:b/>
          <w:bCs/>
          <w:sz w:val="24"/>
          <w:lang w:val="en-US" w:eastAsia="zh-CN"/>
        </w:rPr>
        <w:t>3、热线支持及售后响应：</w:t>
      </w:r>
      <w:r>
        <w:rPr>
          <w:rFonts w:hint="eastAsia" w:asciiTheme="minorEastAsia" w:hAnsiTheme="minorEastAsia" w:eastAsiaTheme="minorEastAsia" w:cstheme="minorEastAsia"/>
          <w:b w:val="0"/>
          <w:bCs w:val="0"/>
          <w:sz w:val="24"/>
          <w:lang w:val="en-US" w:eastAsia="zh-CN"/>
        </w:rPr>
        <w:t>供应商具备400或800报修热线，并提供365天，7*24 小时热线支持。电话报修首次响应时间≤1小时，工程师到达现场时间≤24 小时。</w:t>
      </w:r>
      <w:r>
        <w:rPr>
          <w:rFonts w:hint="eastAsia" w:asciiTheme="minorEastAsia" w:hAnsiTheme="minorEastAsia" w:eastAsiaTheme="minorEastAsia" w:cstheme="minorEastAsia"/>
          <w:b w:val="0"/>
          <w:bCs w:val="0"/>
          <w:sz w:val="24"/>
          <w:lang w:val="en-US" w:eastAsia="zh-CN"/>
        </w:rPr>
        <w:br w:type="textWrapping"/>
      </w:r>
      <w:r>
        <w:rPr>
          <w:rFonts w:hint="eastAsia" w:asciiTheme="minorEastAsia" w:hAnsiTheme="minorEastAsia" w:eastAsiaTheme="minorEastAsia" w:cstheme="minorEastAsia"/>
          <w:b/>
          <w:bCs/>
          <w:sz w:val="24"/>
          <w:lang w:val="en-US" w:eastAsia="zh-CN"/>
        </w:rPr>
        <w:t>4、质保时间：</w:t>
      </w:r>
      <w:r>
        <w:rPr>
          <w:rFonts w:hint="eastAsia" w:asciiTheme="minorEastAsia" w:hAnsiTheme="minorEastAsia" w:eastAsiaTheme="minorEastAsia" w:cstheme="minorEastAsia"/>
          <w:b w:val="0"/>
          <w:bCs w:val="0"/>
          <w:sz w:val="24"/>
          <w:lang w:val="en-US" w:eastAsia="zh-CN"/>
        </w:rPr>
        <w:t>线圈质保时间验收合格后1年。</w:t>
      </w:r>
      <w:r>
        <w:rPr>
          <w:rFonts w:hint="eastAsia" w:asciiTheme="minorEastAsia" w:hAnsiTheme="minorEastAsia" w:eastAsiaTheme="minorEastAsia" w:cstheme="minorEastAsia"/>
          <w:b/>
          <w:bCs/>
          <w:sz w:val="24"/>
          <w:lang w:val="en-US" w:eastAsia="zh-CN"/>
        </w:rPr>
        <w:br w:type="textWrapping"/>
      </w:r>
      <w:r>
        <w:rPr>
          <w:rFonts w:hint="eastAsia" w:asciiTheme="minorEastAsia" w:hAnsiTheme="minorEastAsia" w:eastAsiaTheme="minorEastAsia" w:cstheme="minorEastAsia"/>
          <w:b/>
          <w:bCs/>
          <w:sz w:val="24"/>
          <w:lang w:val="en-US" w:eastAsia="zh-CN"/>
        </w:rPr>
        <w:t>二、具体线圈参数：供应商提供的线圈需适配于上海联影uMR580型磁共振设备并满足以下参数要求。</w:t>
      </w:r>
      <w:r>
        <w:rPr>
          <w:rFonts w:hint="eastAsia" w:asciiTheme="minorEastAsia" w:hAnsiTheme="minorEastAsia" w:eastAsiaTheme="minorEastAsia" w:cstheme="minorEastAsia"/>
          <w:b/>
          <w:bCs/>
          <w:sz w:val="24"/>
          <w:lang w:val="en-US" w:eastAsia="zh-CN"/>
        </w:rPr>
        <w:br w:type="textWrapping"/>
      </w:r>
      <w:r>
        <w:rPr>
          <w:rFonts w:hint="eastAsia" w:asciiTheme="minorEastAsia" w:hAnsiTheme="minorEastAsia" w:eastAsiaTheme="minorEastAsia" w:cstheme="minorEastAsia"/>
          <w:b/>
          <w:bCs/>
          <w:sz w:val="24"/>
          <w:lang w:val="en-US" w:eastAsia="zh-CN"/>
        </w:rPr>
        <w:t>1.肩关节线圈技术参数（数量：1个）</w:t>
      </w:r>
    </w:p>
    <w:tbl>
      <w:tblPr>
        <w:tblStyle w:val="1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6065"/>
      </w:tblGrid>
      <w:tr w14:paraId="5944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tcPr>
          <w:p w14:paraId="6F2973D0">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b/>
                <w:bCs/>
                <w:lang w:val="en-US" w:eastAsia="zh-CN"/>
              </w:rPr>
            </w:pPr>
            <w:r>
              <w:rPr>
                <w:rFonts w:hint="eastAsia" w:ascii="微软雅黑" w:hAnsi="微软雅黑" w:eastAsia="微软雅黑"/>
                <w:b/>
                <w:bCs/>
                <w:lang w:val="en-US" w:eastAsia="zh-CN"/>
              </w:rPr>
              <w:t>项目</w:t>
            </w:r>
          </w:p>
        </w:tc>
        <w:tc>
          <w:tcPr>
            <w:tcW w:w="6065" w:type="dxa"/>
          </w:tcPr>
          <w:p w14:paraId="75233EE4">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b/>
                <w:bCs/>
                <w:lang w:val="en-US" w:eastAsia="zh-CN"/>
              </w:rPr>
            </w:pPr>
            <w:r>
              <w:rPr>
                <w:rFonts w:hint="eastAsia" w:ascii="微软雅黑" w:hAnsi="微软雅黑" w:eastAsia="微软雅黑"/>
                <w:b/>
                <w:bCs/>
                <w:lang w:val="en-US" w:eastAsia="zh-CN"/>
              </w:rPr>
              <w:t>具体参数</w:t>
            </w:r>
          </w:p>
        </w:tc>
      </w:tr>
      <w:tr w14:paraId="23C8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11" w:type="dxa"/>
          </w:tcPr>
          <w:p w14:paraId="602003F4">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eastAsia" w:ascii="微软雅黑" w:hAnsi="微软雅黑" w:eastAsia="微软雅黑"/>
                <w:lang w:val="en-US" w:eastAsia="zh-CN"/>
              </w:rPr>
              <w:t>型号</w:t>
            </w:r>
          </w:p>
        </w:tc>
        <w:tc>
          <w:tcPr>
            <w:tcW w:w="6065" w:type="dxa"/>
          </w:tcPr>
          <w:p w14:paraId="461F8155">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eastAsia" w:ascii="微软雅黑" w:hAnsi="微软雅黑" w:eastAsia="微软雅黑"/>
                <w:lang w:val="en-US" w:eastAsia="zh-CN"/>
              </w:rPr>
              <w:t>肩关节线圈-12</w:t>
            </w:r>
          </w:p>
        </w:tc>
      </w:tr>
      <w:tr w14:paraId="2E4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697D34E0">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eastAsia" w:ascii="微软雅黑" w:hAnsi="微软雅黑" w:eastAsia="微软雅黑"/>
                <w:lang w:val="en-US" w:eastAsia="zh-CN"/>
              </w:rPr>
              <w:t>射频单元数</w:t>
            </w:r>
          </w:p>
        </w:tc>
        <w:tc>
          <w:tcPr>
            <w:tcW w:w="6065" w:type="dxa"/>
          </w:tcPr>
          <w:p w14:paraId="6AB21574">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default" w:ascii="微软雅黑" w:hAnsi="微软雅黑" w:eastAsia="微软雅黑"/>
                <w:lang w:val="en-US" w:eastAsia="zh-CN"/>
              </w:rPr>
              <w:t>具备12个独立射频单元</w:t>
            </w:r>
          </w:p>
        </w:tc>
      </w:tr>
      <w:tr w14:paraId="709D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35C6A52B">
            <w:pPr>
              <w:pStyle w:val="50"/>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微软雅黑" w:hAnsi="微软雅黑" w:eastAsia="微软雅黑"/>
                <w:lang w:val="en-US" w:eastAsia="zh-CN"/>
              </w:rPr>
            </w:pPr>
            <w:r>
              <w:rPr>
                <w:rFonts w:hint="eastAsia" w:ascii="微软雅黑" w:hAnsi="微软雅黑" w:eastAsia="微软雅黑"/>
                <w:lang w:val="en-US" w:eastAsia="zh-CN"/>
              </w:rPr>
              <w:t>设计特点</w:t>
            </w:r>
          </w:p>
        </w:tc>
        <w:tc>
          <w:tcPr>
            <w:tcW w:w="6065" w:type="dxa"/>
          </w:tcPr>
          <w:p w14:paraId="597949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lang w:val="en-US" w:eastAsia="zh-CN"/>
              </w:rPr>
            </w:pPr>
            <w:r>
              <w:rPr>
                <w:rFonts w:hint="default" w:ascii="微软雅黑" w:hAnsi="微软雅黑" w:eastAsia="微软雅黑"/>
                <w:lang w:val="en-US" w:eastAsia="zh-CN"/>
              </w:rPr>
              <w:t xml:space="preserve">采用EVA超轻材质，有效减轻患者检查体感重量 </w:t>
            </w:r>
          </w:p>
          <w:p w14:paraId="0F72A6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lang w:val="en-US" w:eastAsia="zh-CN"/>
              </w:rPr>
            </w:pPr>
            <w:r>
              <w:rPr>
                <w:rFonts w:hint="default" w:ascii="微软雅黑" w:hAnsi="微软雅黑" w:eastAsia="微软雅黑"/>
                <w:lang w:val="en-US" w:eastAsia="zh-CN"/>
              </w:rPr>
              <w:t xml:space="preserve">三瓣式天线分离设计，灵活匹配不同受检者肩部尺寸 </w:t>
            </w:r>
          </w:p>
          <w:p w14:paraId="72465A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lang w:val="en-US" w:eastAsia="zh-CN"/>
              </w:rPr>
            </w:pPr>
            <w:r>
              <w:rPr>
                <w:rFonts w:hint="default" w:ascii="微软雅黑" w:hAnsi="微软雅黑" w:eastAsia="微软雅黑"/>
                <w:lang w:val="en-US" w:eastAsia="zh-CN"/>
              </w:rPr>
              <w:t>支持左、右肩任意适配，无须移除病床脊柱线圈，大幅简化工作流，提升扫描效率</w:t>
            </w:r>
          </w:p>
        </w:tc>
      </w:tr>
      <w:tr w14:paraId="14DC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top"/>
          </w:tcPr>
          <w:p w14:paraId="3754F040">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线圈调谐</w:t>
            </w:r>
          </w:p>
        </w:tc>
        <w:tc>
          <w:tcPr>
            <w:tcW w:w="6065" w:type="dxa"/>
            <w:vAlign w:val="top"/>
          </w:tcPr>
          <w:p w14:paraId="6F6D1E13">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免调谐设计</w:t>
            </w:r>
          </w:p>
        </w:tc>
      </w:tr>
      <w:tr w14:paraId="11EF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top"/>
          </w:tcPr>
          <w:p w14:paraId="57707556">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采集方向</w:t>
            </w:r>
          </w:p>
        </w:tc>
        <w:tc>
          <w:tcPr>
            <w:tcW w:w="6065" w:type="dxa"/>
            <w:vAlign w:val="top"/>
          </w:tcPr>
          <w:p w14:paraId="5C221A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Times New Roman"/>
                <w:kern w:val="2"/>
                <w:sz w:val="21"/>
                <w:szCs w:val="24"/>
                <w:lang w:val="en-US" w:eastAsia="zh-CN" w:bidi="ar-SA"/>
              </w:rPr>
            </w:pPr>
            <w:r>
              <w:rPr>
                <w:rFonts w:hint="default" w:ascii="微软雅黑" w:hAnsi="微软雅黑" w:eastAsia="微软雅黑" w:cs="Times New Roman"/>
                <w:kern w:val="2"/>
                <w:sz w:val="21"/>
                <w:szCs w:val="24"/>
                <w:lang w:val="en-US" w:eastAsia="zh-CN" w:bidi="ar-SA"/>
              </w:rPr>
              <w:t>可使用FAST技术进行并行采集加速</w:t>
            </w:r>
          </w:p>
        </w:tc>
      </w:tr>
      <w:tr w14:paraId="0430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top"/>
          </w:tcPr>
          <w:p w14:paraId="5A426EBD">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适用场强</w:t>
            </w:r>
          </w:p>
        </w:tc>
        <w:tc>
          <w:tcPr>
            <w:tcW w:w="6065" w:type="dxa"/>
            <w:vAlign w:val="top"/>
          </w:tcPr>
          <w:p w14:paraId="3365AA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1.5T/3T</w:t>
            </w:r>
          </w:p>
        </w:tc>
      </w:tr>
      <w:tr w14:paraId="4BE4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top"/>
          </w:tcPr>
          <w:p w14:paraId="5F8027FE">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尺寸</w:t>
            </w:r>
          </w:p>
        </w:tc>
        <w:tc>
          <w:tcPr>
            <w:tcW w:w="6065" w:type="dxa"/>
            <w:vAlign w:val="top"/>
          </w:tcPr>
          <w:p w14:paraId="2610FC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Times New Roman"/>
                <w:kern w:val="2"/>
                <w:sz w:val="21"/>
                <w:szCs w:val="24"/>
                <w:lang w:val="en-US" w:eastAsia="zh-CN" w:bidi="ar-SA"/>
              </w:rPr>
            </w:pPr>
            <w:r>
              <w:rPr>
                <w:rFonts w:hint="default" w:ascii="微软雅黑" w:hAnsi="微软雅黑" w:eastAsia="微软雅黑" w:cs="Times New Roman"/>
                <w:kern w:val="2"/>
                <w:sz w:val="21"/>
                <w:szCs w:val="24"/>
                <w:lang w:val="en-US" w:eastAsia="zh-CN" w:bidi="ar-SA"/>
              </w:rPr>
              <w:t xml:space="preserve">260 mm x 180 mm x 290 mm </w:t>
            </w:r>
          </w:p>
        </w:tc>
      </w:tr>
      <w:tr w14:paraId="3C8E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top"/>
          </w:tcPr>
          <w:p w14:paraId="69B59DCF">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重量</w:t>
            </w:r>
          </w:p>
        </w:tc>
        <w:tc>
          <w:tcPr>
            <w:tcW w:w="6065" w:type="dxa"/>
            <w:vAlign w:val="top"/>
          </w:tcPr>
          <w:p w14:paraId="73DABC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1.4 kg</w:t>
            </w:r>
          </w:p>
        </w:tc>
      </w:tr>
      <w:tr w14:paraId="1558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top"/>
          </w:tcPr>
          <w:p w14:paraId="286E65A6">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检查部位</w:t>
            </w:r>
          </w:p>
        </w:tc>
        <w:tc>
          <w:tcPr>
            <w:tcW w:w="6065" w:type="dxa"/>
            <w:vAlign w:val="top"/>
          </w:tcPr>
          <w:p w14:paraId="30A165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肩关节检查</w:t>
            </w:r>
          </w:p>
        </w:tc>
      </w:tr>
    </w:tbl>
    <w:p w14:paraId="517D7488">
      <w:pPr>
        <w:pStyle w:val="50"/>
        <w:keepNext w:val="0"/>
        <w:keepLines w:val="0"/>
        <w:pageBreakBefore w:val="0"/>
        <w:kinsoku/>
        <w:wordWrap/>
        <w:overflowPunct/>
        <w:topLinePunct w:val="0"/>
        <w:autoSpaceDE/>
        <w:autoSpaceDN/>
        <w:bidi w:val="0"/>
        <w:adjustRightInd/>
        <w:snapToGrid/>
        <w:spacing w:line="360" w:lineRule="auto"/>
        <w:ind w:left="420" w:firstLine="0" w:firstLineChars="0"/>
        <w:jc w:val="left"/>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2.膝关节线圈技术参数（数量：1个）</w:t>
      </w:r>
    </w:p>
    <w:tbl>
      <w:tblPr>
        <w:tblStyle w:val="1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6243"/>
      </w:tblGrid>
      <w:tr w14:paraId="4624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14:paraId="70832964">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b/>
                <w:bCs/>
                <w:lang w:val="en-US" w:eastAsia="zh-CN"/>
              </w:rPr>
            </w:pPr>
            <w:r>
              <w:rPr>
                <w:rFonts w:hint="eastAsia" w:ascii="微软雅黑" w:hAnsi="微软雅黑" w:eastAsia="微软雅黑"/>
                <w:b/>
                <w:bCs/>
                <w:lang w:val="en-US" w:eastAsia="zh-CN"/>
              </w:rPr>
              <w:t>项目</w:t>
            </w:r>
          </w:p>
        </w:tc>
        <w:tc>
          <w:tcPr>
            <w:tcW w:w="7214" w:type="dxa"/>
          </w:tcPr>
          <w:p w14:paraId="73E821A2">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b/>
                <w:bCs/>
                <w:lang w:val="en-US" w:eastAsia="zh-CN"/>
              </w:rPr>
            </w:pPr>
            <w:r>
              <w:rPr>
                <w:rFonts w:hint="eastAsia" w:ascii="微软雅黑" w:hAnsi="微软雅黑" w:eastAsia="微软雅黑"/>
                <w:b/>
                <w:bCs/>
                <w:lang w:val="en-US" w:eastAsia="zh-CN"/>
              </w:rPr>
              <w:t>具体参数</w:t>
            </w:r>
          </w:p>
        </w:tc>
      </w:tr>
      <w:tr w14:paraId="0688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23" w:type="dxa"/>
          </w:tcPr>
          <w:p w14:paraId="4AFDC5BA">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eastAsia" w:ascii="微软雅黑" w:hAnsi="微软雅黑" w:eastAsia="微软雅黑"/>
                <w:lang w:val="en-US" w:eastAsia="zh-CN"/>
              </w:rPr>
              <w:t>型号</w:t>
            </w:r>
          </w:p>
        </w:tc>
        <w:tc>
          <w:tcPr>
            <w:tcW w:w="7214" w:type="dxa"/>
          </w:tcPr>
          <w:p w14:paraId="78120558">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eastAsia" w:ascii="微软雅黑" w:hAnsi="微软雅黑" w:eastAsia="微软雅黑"/>
                <w:lang w:val="en-US" w:eastAsia="zh-CN"/>
              </w:rPr>
              <w:t>膝关节线圈-12</w:t>
            </w:r>
          </w:p>
        </w:tc>
      </w:tr>
      <w:tr w14:paraId="541C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14:paraId="5B2A7CD9">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eastAsia" w:ascii="微软雅黑" w:hAnsi="微软雅黑" w:eastAsia="微软雅黑"/>
                <w:lang w:val="en-US" w:eastAsia="zh-CN"/>
              </w:rPr>
              <w:t>射频单元数</w:t>
            </w:r>
          </w:p>
        </w:tc>
        <w:tc>
          <w:tcPr>
            <w:tcW w:w="7214" w:type="dxa"/>
          </w:tcPr>
          <w:p w14:paraId="7C7E8F46">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lang w:val="en-US" w:eastAsia="zh-CN"/>
              </w:rPr>
            </w:pPr>
            <w:r>
              <w:rPr>
                <w:rFonts w:hint="default" w:ascii="微软雅黑" w:hAnsi="微软雅黑" w:eastAsia="微软雅黑"/>
                <w:lang w:val="en-US" w:eastAsia="zh-CN"/>
              </w:rPr>
              <w:t>具备12个独立射频单元，其中上、下部分各分布6个单元</w:t>
            </w:r>
          </w:p>
        </w:tc>
      </w:tr>
      <w:tr w14:paraId="303A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4E096FE5">
            <w:pPr>
              <w:pStyle w:val="50"/>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微软雅黑" w:hAnsi="微软雅黑" w:eastAsia="微软雅黑"/>
                <w:lang w:val="en-US" w:eastAsia="zh-CN"/>
              </w:rPr>
            </w:pPr>
            <w:r>
              <w:rPr>
                <w:rFonts w:hint="eastAsia" w:ascii="微软雅黑" w:hAnsi="微软雅黑" w:eastAsia="微软雅黑"/>
                <w:lang w:val="en-US" w:eastAsia="zh-CN"/>
              </w:rPr>
              <w:t>设计特点</w:t>
            </w:r>
          </w:p>
        </w:tc>
        <w:tc>
          <w:tcPr>
            <w:tcW w:w="7214" w:type="dxa"/>
          </w:tcPr>
          <w:p w14:paraId="341F97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lang w:val="en-US" w:eastAsia="zh-CN"/>
              </w:rPr>
            </w:pPr>
            <w:r>
              <w:rPr>
                <w:rFonts w:hint="default" w:ascii="微软雅黑" w:hAnsi="微软雅黑" w:eastAsia="微软雅黑"/>
                <w:lang w:val="en-US" w:eastAsia="zh-CN"/>
              </w:rPr>
              <w:t>下半部分采用膝关节随形设计，底板滑动按钮控制水平位置调节，提高患者检查舒适性及中心扫描信噪比</w:t>
            </w:r>
          </w:p>
        </w:tc>
      </w:tr>
      <w:tr w14:paraId="74E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top"/>
          </w:tcPr>
          <w:p w14:paraId="3AC71605">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线圈调谐</w:t>
            </w:r>
          </w:p>
        </w:tc>
        <w:tc>
          <w:tcPr>
            <w:tcW w:w="7214" w:type="dxa"/>
            <w:vAlign w:val="top"/>
          </w:tcPr>
          <w:p w14:paraId="451E7C5C">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免调谐设计</w:t>
            </w:r>
          </w:p>
        </w:tc>
      </w:tr>
      <w:tr w14:paraId="2585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top"/>
          </w:tcPr>
          <w:p w14:paraId="2A71DD46">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采集方向</w:t>
            </w:r>
          </w:p>
        </w:tc>
        <w:tc>
          <w:tcPr>
            <w:tcW w:w="7214" w:type="dxa"/>
            <w:vAlign w:val="top"/>
          </w:tcPr>
          <w:p w14:paraId="43926A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Times New Roman"/>
                <w:kern w:val="2"/>
                <w:sz w:val="21"/>
                <w:szCs w:val="24"/>
                <w:lang w:val="en-US" w:eastAsia="zh-CN" w:bidi="ar-SA"/>
              </w:rPr>
            </w:pPr>
            <w:r>
              <w:rPr>
                <w:rFonts w:hint="default" w:ascii="微软雅黑" w:hAnsi="微软雅黑" w:eastAsia="微软雅黑" w:cs="Times New Roman"/>
                <w:kern w:val="2"/>
                <w:sz w:val="21"/>
                <w:szCs w:val="24"/>
                <w:lang w:val="en-US" w:eastAsia="zh-CN" w:bidi="ar-SA"/>
              </w:rPr>
              <w:t>可使用FAST技术进行并行采集加速</w:t>
            </w:r>
          </w:p>
        </w:tc>
      </w:tr>
      <w:tr w14:paraId="2F73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top"/>
          </w:tcPr>
          <w:p w14:paraId="2C9065B8">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适用场强</w:t>
            </w:r>
          </w:p>
        </w:tc>
        <w:tc>
          <w:tcPr>
            <w:tcW w:w="7214" w:type="dxa"/>
            <w:vAlign w:val="top"/>
          </w:tcPr>
          <w:p w14:paraId="1A8ECD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1.5T/3T</w:t>
            </w:r>
          </w:p>
        </w:tc>
      </w:tr>
      <w:tr w14:paraId="0D75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top"/>
          </w:tcPr>
          <w:p w14:paraId="18C7F9B8">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尺寸</w:t>
            </w:r>
          </w:p>
        </w:tc>
        <w:tc>
          <w:tcPr>
            <w:tcW w:w="7214" w:type="dxa"/>
            <w:vAlign w:val="top"/>
          </w:tcPr>
          <w:p w14:paraId="2D563F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Times New Roman"/>
                <w:kern w:val="2"/>
                <w:sz w:val="21"/>
                <w:szCs w:val="24"/>
                <w:lang w:val="en-US" w:eastAsia="zh-CN" w:bidi="ar-SA"/>
              </w:rPr>
            </w:pPr>
            <w:r>
              <w:rPr>
                <w:rFonts w:hint="default" w:ascii="微软雅黑" w:hAnsi="微软雅黑" w:eastAsia="微软雅黑" w:cs="Times New Roman"/>
                <w:kern w:val="2"/>
                <w:sz w:val="21"/>
                <w:szCs w:val="24"/>
                <w:lang w:val="en-US" w:eastAsia="zh-CN" w:bidi="ar-SA"/>
              </w:rPr>
              <w:t>301 mm x 332 mm x 197 mm</w:t>
            </w:r>
          </w:p>
        </w:tc>
      </w:tr>
      <w:tr w14:paraId="2361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top"/>
          </w:tcPr>
          <w:p w14:paraId="33850300">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重量</w:t>
            </w:r>
          </w:p>
        </w:tc>
        <w:tc>
          <w:tcPr>
            <w:tcW w:w="7214" w:type="dxa"/>
            <w:vAlign w:val="top"/>
          </w:tcPr>
          <w:p w14:paraId="63616E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5.3 kg</w:t>
            </w:r>
          </w:p>
        </w:tc>
      </w:tr>
      <w:tr w14:paraId="0D02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top"/>
          </w:tcPr>
          <w:p w14:paraId="313BD5D8">
            <w:pPr>
              <w:pStyle w:val="5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微软雅黑" w:hAnsi="微软雅黑" w:eastAsia="微软雅黑" w:cs="Times New Roman"/>
                <w:kern w:val="2"/>
                <w:sz w:val="21"/>
                <w:szCs w:val="24"/>
                <w:lang w:val="en-US" w:eastAsia="zh-CN" w:bidi="ar-SA"/>
              </w:rPr>
            </w:pPr>
            <w:r>
              <w:rPr>
                <w:rFonts w:hint="eastAsia" w:ascii="微软雅黑" w:hAnsi="微软雅黑" w:eastAsia="微软雅黑"/>
                <w:lang w:val="en-US" w:eastAsia="zh-CN"/>
              </w:rPr>
              <w:t>检查部位</w:t>
            </w:r>
          </w:p>
        </w:tc>
        <w:tc>
          <w:tcPr>
            <w:tcW w:w="7214" w:type="dxa"/>
            <w:vAlign w:val="top"/>
          </w:tcPr>
          <w:p w14:paraId="342D8A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Times New Roman"/>
                <w:kern w:val="2"/>
                <w:sz w:val="21"/>
                <w:szCs w:val="24"/>
                <w:lang w:val="en-US" w:eastAsia="zh-CN" w:bidi="ar-SA"/>
              </w:rPr>
            </w:pPr>
            <w:r>
              <w:rPr>
                <w:rFonts w:hint="eastAsia" w:ascii="微软雅黑" w:hAnsi="微软雅黑" w:eastAsia="微软雅黑" w:cs="Times New Roman"/>
                <w:kern w:val="2"/>
                <w:sz w:val="21"/>
                <w:szCs w:val="24"/>
                <w:lang w:val="en-US" w:eastAsia="zh-CN" w:bidi="ar-SA"/>
              </w:rPr>
              <w:t>膝关节检查</w:t>
            </w:r>
          </w:p>
        </w:tc>
      </w:tr>
    </w:tbl>
    <w:p w14:paraId="67BA5B07">
      <w:pPr>
        <w:keepNext w:val="0"/>
        <w:keepLines w:val="0"/>
        <w:pageBreakBefore w:val="0"/>
        <w:widowControl w:val="0"/>
        <w:tabs>
          <w:tab w:val="left" w:pos="0"/>
        </w:tabs>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b/>
          <w:bCs/>
          <w:sz w:val="24"/>
          <w:lang w:val="en-US" w:eastAsia="zh-CN"/>
        </w:rPr>
      </w:pPr>
    </w:p>
    <w:p w14:paraId="6D07A561">
      <w:pPr>
        <w:rPr>
          <w:rStyle w:val="31"/>
          <w:rFonts w:hint="eastAsia" w:ascii="宋体" w:hAnsi="宋体" w:eastAsia="宋体" w:cs="宋体"/>
          <w:b/>
          <w:bCs/>
          <w:sz w:val="24"/>
          <w:szCs w:val="24"/>
        </w:rPr>
      </w:pPr>
      <w:bookmarkStart w:id="34" w:name="_Toc18671563"/>
      <w:bookmarkStart w:id="35" w:name="_Toc20436"/>
      <w:r>
        <w:rPr>
          <w:rStyle w:val="31"/>
          <w:rFonts w:hint="eastAsia" w:ascii="宋体" w:hAnsi="宋体" w:eastAsia="宋体" w:cs="宋体"/>
          <w:b/>
          <w:bCs/>
          <w:sz w:val="24"/>
          <w:szCs w:val="24"/>
        </w:rPr>
        <w:br w:type="page"/>
      </w:r>
    </w:p>
    <w:p w14:paraId="38B3CFE5">
      <w:pPr>
        <w:pStyle w:val="5"/>
        <w:spacing w:before="156" w:beforeLines="50" w:after="156" w:afterLines="50" w:line="560" w:lineRule="exact"/>
        <w:jc w:val="center"/>
        <w:rPr>
          <w:rFonts w:asciiTheme="minorEastAsia" w:hAnsiTheme="minorEastAsia" w:eastAsiaTheme="minorEastAsia" w:cstheme="minorEastAsia"/>
          <w:sz w:val="24"/>
          <w:szCs w:val="24"/>
        </w:rPr>
      </w:pPr>
      <w:r>
        <w:rPr>
          <w:rStyle w:val="31"/>
          <w:rFonts w:hint="eastAsia" w:ascii="宋体" w:hAnsi="宋体" w:eastAsia="宋体" w:cs="宋体"/>
          <w:b/>
          <w:bCs/>
          <w:sz w:val="24"/>
          <w:szCs w:val="24"/>
        </w:rPr>
        <w:t>第六章  单一来源响应</w:t>
      </w:r>
      <w:bookmarkEnd w:id="28"/>
      <w:bookmarkEnd w:id="29"/>
      <w:r>
        <w:rPr>
          <w:rStyle w:val="31"/>
          <w:rFonts w:hint="eastAsia" w:ascii="宋体" w:hAnsi="宋体" w:eastAsia="宋体" w:cs="宋体"/>
          <w:b/>
          <w:bCs/>
          <w:sz w:val="24"/>
          <w:szCs w:val="24"/>
        </w:rPr>
        <w:t>文件</w:t>
      </w:r>
      <w:bookmarkEnd w:id="34"/>
      <w:bookmarkEnd w:id="35"/>
    </w:p>
    <w:p w14:paraId="1D9E7080">
      <w:pPr>
        <w:rPr>
          <w:rFonts w:asciiTheme="minorEastAsia" w:hAnsiTheme="minorEastAsia" w:eastAsiaTheme="minorEastAsia" w:cstheme="minorEastAsia"/>
          <w:sz w:val="24"/>
        </w:rPr>
      </w:pPr>
    </w:p>
    <w:p w14:paraId="56E50C06">
      <w:pPr>
        <w:jc w:val="right"/>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正本/副本</w:t>
      </w:r>
    </w:p>
    <w:p w14:paraId="387B760F">
      <w:pPr>
        <w:rPr>
          <w:rFonts w:asciiTheme="minorEastAsia" w:hAnsiTheme="minorEastAsia" w:eastAsiaTheme="minorEastAsia" w:cstheme="minorEastAsia"/>
          <w:b/>
          <w:sz w:val="24"/>
        </w:rPr>
      </w:pPr>
    </w:p>
    <w:p w14:paraId="26B8CC4C">
      <w:pPr>
        <w:spacing w:before="156" w:beforeLines="50" w:after="156" w:after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单一来源响应文件</w:t>
      </w:r>
    </w:p>
    <w:p w14:paraId="7F50C833">
      <w:pPr>
        <w:spacing w:before="156" w:beforeLines="50" w:after="156" w:afterLines="50"/>
        <w:jc w:val="center"/>
        <w:rPr>
          <w:rFonts w:asciiTheme="minorEastAsia" w:hAnsiTheme="minorEastAsia" w:eastAsiaTheme="minorEastAsia" w:cstheme="minorEastAsia"/>
          <w:sz w:val="24"/>
        </w:rPr>
      </w:pPr>
    </w:p>
    <w:p w14:paraId="4A52CD54">
      <w:pPr>
        <w:spacing w:before="156" w:beforeLines="50" w:after="156" w:after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（封面）</w:t>
      </w:r>
    </w:p>
    <w:p w14:paraId="5217F55B">
      <w:pPr>
        <w:jc w:val="center"/>
        <w:rPr>
          <w:rFonts w:asciiTheme="minorEastAsia" w:hAnsiTheme="minorEastAsia" w:eastAsiaTheme="minorEastAsia" w:cstheme="minorEastAsia"/>
          <w:sz w:val="24"/>
        </w:rPr>
      </w:pPr>
    </w:p>
    <w:p w14:paraId="4742B18D">
      <w:pPr>
        <w:jc w:val="center"/>
        <w:rPr>
          <w:rFonts w:asciiTheme="minorEastAsia" w:hAnsiTheme="minorEastAsia" w:eastAsiaTheme="minorEastAsia" w:cstheme="minorEastAsia"/>
          <w:sz w:val="24"/>
        </w:rPr>
      </w:pPr>
    </w:p>
    <w:p w14:paraId="252D6561">
      <w:pPr>
        <w:jc w:val="center"/>
        <w:rPr>
          <w:rFonts w:asciiTheme="minorEastAsia" w:hAnsiTheme="minorEastAsia" w:eastAsiaTheme="minorEastAsia" w:cstheme="minorEastAsia"/>
          <w:sz w:val="24"/>
        </w:rPr>
      </w:pPr>
    </w:p>
    <w:p w14:paraId="438402AD">
      <w:pPr>
        <w:rPr>
          <w:rFonts w:asciiTheme="minorEastAsia" w:hAnsiTheme="minorEastAsia" w:eastAsiaTheme="minorEastAsia" w:cstheme="minorEastAsia"/>
          <w:sz w:val="24"/>
        </w:rPr>
      </w:pPr>
    </w:p>
    <w:p w14:paraId="65BD4C3B">
      <w:pPr>
        <w:ind w:firstLine="1320" w:firstLineChars="5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1B76A7EA">
      <w:pPr>
        <w:ind w:firstLine="1320" w:firstLineChars="5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3CEC03BC">
      <w:pPr>
        <w:jc w:val="center"/>
        <w:rPr>
          <w:rFonts w:asciiTheme="minorEastAsia" w:hAnsiTheme="minorEastAsia" w:eastAsiaTheme="minorEastAsia" w:cstheme="minorEastAsia"/>
          <w:sz w:val="24"/>
        </w:rPr>
      </w:pPr>
    </w:p>
    <w:p w14:paraId="65561C84">
      <w:pPr>
        <w:jc w:val="center"/>
        <w:rPr>
          <w:rFonts w:asciiTheme="minorEastAsia" w:hAnsiTheme="minorEastAsia" w:eastAsiaTheme="minorEastAsia" w:cstheme="minorEastAsia"/>
          <w:sz w:val="24"/>
        </w:rPr>
      </w:pPr>
    </w:p>
    <w:p w14:paraId="68029366">
      <w:pPr>
        <w:jc w:val="center"/>
        <w:rPr>
          <w:rFonts w:asciiTheme="minorEastAsia" w:hAnsiTheme="minorEastAsia" w:eastAsiaTheme="minorEastAsia" w:cstheme="minorEastAsia"/>
          <w:sz w:val="24"/>
        </w:rPr>
      </w:pPr>
    </w:p>
    <w:p w14:paraId="49D2BAF7">
      <w:pPr>
        <w:jc w:val="center"/>
        <w:rPr>
          <w:rFonts w:asciiTheme="minorEastAsia" w:hAnsiTheme="minorEastAsia" w:eastAsiaTheme="minorEastAsia" w:cstheme="minorEastAsia"/>
          <w:sz w:val="24"/>
        </w:rPr>
      </w:pPr>
    </w:p>
    <w:p w14:paraId="576EEA51">
      <w:pPr>
        <w:jc w:val="center"/>
        <w:rPr>
          <w:rFonts w:asciiTheme="minorEastAsia" w:hAnsiTheme="minorEastAsia" w:eastAsiaTheme="minorEastAsia" w:cstheme="minorEastAsia"/>
          <w:sz w:val="24"/>
        </w:rPr>
      </w:pPr>
    </w:p>
    <w:p w14:paraId="49130CD9">
      <w:pPr>
        <w:jc w:val="center"/>
        <w:rPr>
          <w:rFonts w:asciiTheme="minorEastAsia" w:hAnsiTheme="minorEastAsia" w:eastAsiaTheme="minorEastAsia" w:cstheme="minorEastAsia"/>
          <w:sz w:val="24"/>
        </w:rPr>
      </w:pPr>
    </w:p>
    <w:p w14:paraId="44320357">
      <w:pPr>
        <w:jc w:val="center"/>
        <w:rPr>
          <w:rFonts w:asciiTheme="minorEastAsia" w:hAnsiTheme="minorEastAsia" w:eastAsiaTheme="minorEastAsia" w:cstheme="minorEastAsia"/>
          <w:sz w:val="24"/>
        </w:rPr>
      </w:pPr>
    </w:p>
    <w:p w14:paraId="384E0CCE">
      <w:pPr>
        <w:jc w:val="center"/>
        <w:rPr>
          <w:rFonts w:asciiTheme="minorEastAsia" w:hAnsiTheme="minorEastAsia" w:eastAsiaTheme="minorEastAsia" w:cstheme="minorEastAsia"/>
          <w:sz w:val="24"/>
        </w:rPr>
      </w:pPr>
    </w:p>
    <w:p w14:paraId="64A22906">
      <w:pPr>
        <w:jc w:val="center"/>
        <w:rPr>
          <w:rFonts w:asciiTheme="minorEastAsia" w:hAnsiTheme="minorEastAsia" w:eastAsiaTheme="minorEastAsia" w:cstheme="minorEastAsia"/>
          <w:sz w:val="24"/>
        </w:rPr>
      </w:pPr>
    </w:p>
    <w:p w14:paraId="626E5199">
      <w:pPr>
        <w:jc w:val="center"/>
        <w:rPr>
          <w:rFonts w:asciiTheme="minorEastAsia" w:hAnsiTheme="minorEastAsia" w:eastAsiaTheme="minorEastAsia" w:cstheme="minorEastAsia"/>
          <w:sz w:val="24"/>
        </w:rPr>
      </w:pPr>
    </w:p>
    <w:p w14:paraId="0CC624A4">
      <w:pPr>
        <w:jc w:val="center"/>
        <w:rPr>
          <w:rFonts w:asciiTheme="minorEastAsia" w:hAnsiTheme="minorEastAsia" w:eastAsiaTheme="minorEastAsia" w:cstheme="minorEastAsia"/>
          <w:sz w:val="24"/>
        </w:rPr>
      </w:pPr>
    </w:p>
    <w:p w14:paraId="2C9EF67A">
      <w:pPr>
        <w:jc w:val="center"/>
        <w:rPr>
          <w:rFonts w:asciiTheme="minorEastAsia" w:hAnsiTheme="minorEastAsia" w:eastAsiaTheme="minorEastAsia" w:cstheme="minorEastAsia"/>
          <w:sz w:val="24"/>
        </w:rPr>
      </w:pPr>
    </w:p>
    <w:p w14:paraId="6D92BD43">
      <w:pPr>
        <w:ind w:firstLine="2100" w:firstLineChars="875"/>
        <w:jc w:val="left"/>
        <w:rPr>
          <w:rFonts w:asciiTheme="minorEastAsia" w:hAnsiTheme="minorEastAsia" w:eastAsiaTheme="minorEastAsia" w:cstheme="minorEastAsia"/>
          <w:sz w:val="24"/>
        </w:rPr>
      </w:pPr>
    </w:p>
    <w:p w14:paraId="51B1B1AC">
      <w:pPr>
        <w:ind w:firstLine="2280" w:firstLineChars="950"/>
        <w:rPr>
          <w:rFonts w:asciiTheme="minorEastAsia" w:hAnsiTheme="minorEastAsia" w:eastAsiaTheme="minorEastAsia" w:cstheme="minorEastAsia"/>
          <w:sz w:val="24"/>
        </w:rPr>
      </w:pPr>
    </w:p>
    <w:p w14:paraId="7498D41C">
      <w:pPr>
        <w:ind w:firstLine="1440" w:firstLineChars="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                    </w:t>
      </w:r>
    </w:p>
    <w:p w14:paraId="3421D247">
      <w:pPr>
        <w:ind w:firstLine="1440" w:firstLineChars="600"/>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lang w:val="en-US" w:eastAsia="zh-CN"/>
        </w:rPr>
        <w:t>公</w:t>
      </w:r>
      <w:r>
        <w:rPr>
          <w:rFonts w:hint="eastAsia" w:asciiTheme="minorEastAsia" w:hAnsiTheme="minorEastAsia" w:eastAsiaTheme="minorEastAsia" w:cstheme="minorEastAsia"/>
          <w:sz w:val="24"/>
        </w:rPr>
        <w:t xml:space="preserve">  章：</w:t>
      </w:r>
    </w:p>
    <w:p w14:paraId="3FCDE43D">
      <w:pPr>
        <w:ind w:firstLine="3240" w:firstLineChars="1350"/>
        <w:rPr>
          <w:rFonts w:asciiTheme="minorEastAsia" w:hAnsiTheme="minorEastAsia" w:eastAsiaTheme="minorEastAsia" w:cstheme="minorEastAsia"/>
          <w:sz w:val="24"/>
        </w:rPr>
      </w:pPr>
    </w:p>
    <w:p w14:paraId="3F71C1C4">
      <w:pPr>
        <w:ind w:firstLine="3240" w:firstLineChars="1350"/>
        <w:rPr>
          <w:rFonts w:asciiTheme="minorEastAsia" w:hAnsiTheme="minorEastAsia" w:eastAsiaTheme="minorEastAsia" w:cstheme="minorEastAsia"/>
          <w:sz w:val="24"/>
          <w:u w:val="single"/>
        </w:rPr>
      </w:pPr>
    </w:p>
    <w:p w14:paraId="3B9AD3B9">
      <w:pPr>
        <w:ind w:firstLine="3240" w:firstLineChars="1350"/>
        <w:rPr>
          <w:rFonts w:ascii="宋体" w:hAnsi="宋体" w:cs="宋体"/>
          <w:sz w:val="24"/>
          <w:u w:val="single"/>
        </w:rPr>
      </w:pPr>
    </w:p>
    <w:p w14:paraId="50DDC386">
      <w:pPr>
        <w:ind w:firstLine="3240" w:firstLineChars="135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7A4FA4">
      <w:pPr>
        <w:pStyle w:val="28"/>
        <w:spacing w:before="156" w:beforeLines="50" w:after="156" w:afterLines="50" w:line="560" w:lineRule="exact"/>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Start w:id="36" w:name="_Toc533314956"/>
      <w:bookmarkStart w:id="37" w:name="_Toc26899"/>
      <w:bookmarkStart w:id="38" w:name="_Toc272163838"/>
      <w:bookmarkStart w:id="39" w:name="_Hlk450146465"/>
      <w:bookmarkStart w:id="40" w:name="_Toc18671564"/>
      <w:r>
        <w:rPr>
          <w:rStyle w:val="31"/>
          <w:rFonts w:hint="eastAsia" w:ascii="宋体" w:hAnsi="宋体" w:eastAsia="宋体" w:cs="宋体"/>
          <w:b/>
          <w:sz w:val="24"/>
          <w:szCs w:val="24"/>
        </w:rPr>
        <w:t>一、响应函格式</w:t>
      </w:r>
      <w:bookmarkEnd w:id="36"/>
      <w:bookmarkEnd w:id="37"/>
      <w:bookmarkEnd w:id="38"/>
      <w:bookmarkEnd w:id="39"/>
      <w:bookmarkEnd w:id="40"/>
    </w:p>
    <w:p w14:paraId="3703BAC3">
      <w:pPr>
        <w:spacing w:before="156" w:beforeLines="50" w:after="156" w:afterLines="50" w:line="5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致：</w:t>
      </w:r>
      <w:r>
        <w:rPr>
          <w:rFonts w:hint="eastAsia" w:asciiTheme="minorEastAsia" w:hAnsiTheme="minorEastAsia" w:eastAsiaTheme="minorEastAsia" w:cstheme="minorEastAsia"/>
          <w:b/>
          <w:sz w:val="24"/>
          <w:u w:val="single"/>
        </w:rPr>
        <w:t>（采购人的名称）</w:t>
      </w:r>
    </w:p>
    <w:p w14:paraId="1272B6C3">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1、根据贵方</w:t>
      </w:r>
      <w:r>
        <w:rPr>
          <w:rFonts w:hint="eastAsia" w:asciiTheme="minorEastAsia" w:hAnsiTheme="minorEastAsia" w:eastAsiaTheme="minorEastAsia" w:cstheme="minorEastAsia"/>
          <w:sz w:val="24"/>
          <w:u w:val="single"/>
        </w:rPr>
        <w:t xml:space="preserve"> （项目编号） </w:t>
      </w:r>
      <w:r>
        <w:rPr>
          <w:rFonts w:hint="eastAsia" w:asciiTheme="minorEastAsia" w:hAnsiTheme="minorEastAsia" w:eastAsiaTheme="minorEastAsia" w:cstheme="minorEastAsia"/>
          <w:sz w:val="24"/>
        </w:rPr>
        <w:t>单一来源文件，我们决定参加贵方组织的</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的采购活动。我方授权</w:t>
      </w:r>
      <w:r>
        <w:rPr>
          <w:rFonts w:hint="eastAsia" w:asciiTheme="minorEastAsia" w:hAnsiTheme="minorEastAsia" w:eastAsiaTheme="minorEastAsia" w:cstheme="minorEastAsia"/>
          <w:sz w:val="24"/>
          <w:u w:val="single"/>
        </w:rPr>
        <w:t xml:space="preserve">  (姓名和职务)  </w:t>
      </w:r>
      <w:r>
        <w:rPr>
          <w:rFonts w:hint="eastAsia" w:asciiTheme="minorEastAsia" w:hAnsiTheme="minorEastAsia" w:eastAsiaTheme="minorEastAsia" w:cstheme="minorEastAsia"/>
          <w:sz w:val="24"/>
        </w:rPr>
        <w:t>代表我方</w:t>
      </w:r>
      <w:r>
        <w:rPr>
          <w:rFonts w:hint="eastAsia" w:asciiTheme="minorEastAsia" w:hAnsiTheme="minorEastAsia" w:eastAsiaTheme="minorEastAsia" w:cstheme="minorEastAsia"/>
          <w:sz w:val="24"/>
          <w:u w:val="single"/>
        </w:rPr>
        <w:t xml:space="preserve"> （供应商全称） </w:t>
      </w:r>
      <w:r>
        <w:rPr>
          <w:rFonts w:hint="eastAsia" w:asciiTheme="minorEastAsia" w:hAnsiTheme="minorEastAsia" w:eastAsiaTheme="minorEastAsia" w:cstheme="minorEastAsia"/>
          <w:sz w:val="24"/>
        </w:rPr>
        <w:t>全权处理本项目的有关事宜。</w:t>
      </w:r>
    </w:p>
    <w:p w14:paraId="0CA9C36A">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2、我方愿意按照单一来源文件规定的各项要求，向采购人提供所需的</w:t>
      </w:r>
      <w:r>
        <w:rPr>
          <w:rFonts w:hint="eastAsia" w:asciiTheme="minorEastAsia" w:hAnsiTheme="minorEastAsia" w:eastAsiaTheme="minorEastAsia" w:cstheme="minorEastAsia"/>
          <w:sz w:val="24"/>
          <w:lang w:val="en-US" w:eastAsia="zh-CN"/>
        </w:rPr>
        <w:t>货物与服务</w:t>
      </w:r>
      <w:r>
        <w:rPr>
          <w:rFonts w:hint="eastAsia" w:asciiTheme="minorEastAsia" w:hAnsiTheme="minorEastAsia" w:eastAsiaTheme="minorEastAsia" w:cstheme="minorEastAsia"/>
          <w:sz w:val="24"/>
        </w:rPr>
        <w:t>。</w:t>
      </w:r>
    </w:p>
    <w:p w14:paraId="67308C3D">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宋体" w:hAnsi="宋体" w:cs="宋体"/>
          <w:color w:val="000000"/>
          <w:sz w:val="24"/>
        </w:rPr>
        <w:t>一旦确定我方成交，我方将严格履行合同规定的责任和义务，保证于合同签字生效后按时完成货物供应并交付采购人验收、使用。</w:t>
      </w:r>
    </w:p>
    <w:p w14:paraId="4E46D015">
      <w:pPr>
        <w:tabs>
          <w:tab w:val="left" w:pos="840"/>
        </w:tabs>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4、我方愿意提供贵方可能另外要求的、与协商有关的文件资料，并保证我方已提供和将要提供的文件是真实的、准确的。</w:t>
      </w:r>
    </w:p>
    <w:p w14:paraId="07233C8C">
      <w:pPr>
        <w:spacing w:line="500" w:lineRule="exact"/>
        <w:jc w:val="left"/>
        <w:rPr>
          <w:rFonts w:asciiTheme="minorEastAsia" w:hAnsiTheme="minorEastAsia" w:eastAsiaTheme="minorEastAsia" w:cstheme="minorEastAsia"/>
          <w:sz w:val="24"/>
        </w:rPr>
      </w:pPr>
    </w:p>
    <w:p w14:paraId="2F5E62EE">
      <w:pPr>
        <w:spacing w:line="500" w:lineRule="exact"/>
        <w:jc w:val="left"/>
        <w:rPr>
          <w:rFonts w:asciiTheme="minorEastAsia" w:hAnsiTheme="minorEastAsia" w:eastAsiaTheme="minorEastAsia" w:cstheme="minorEastAsia"/>
          <w:sz w:val="24"/>
        </w:rPr>
      </w:pPr>
    </w:p>
    <w:p w14:paraId="128B872A">
      <w:pPr>
        <w:spacing w:line="500" w:lineRule="exact"/>
        <w:jc w:val="left"/>
        <w:rPr>
          <w:rFonts w:asciiTheme="minorEastAsia" w:hAnsiTheme="minorEastAsia" w:eastAsiaTheme="minorEastAsia" w:cstheme="minorEastAsia"/>
          <w:sz w:val="24"/>
        </w:rPr>
      </w:pPr>
    </w:p>
    <w:p w14:paraId="1DC03E2A">
      <w:pPr>
        <w:spacing w:line="500" w:lineRule="exact"/>
        <w:jc w:val="left"/>
        <w:rPr>
          <w:rFonts w:asciiTheme="minorEastAsia" w:hAnsiTheme="minorEastAsia" w:eastAsiaTheme="minorEastAsia" w:cstheme="minorEastAsia"/>
          <w:sz w:val="24"/>
        </w:rPr>
      </w:pPr>
    </w:p>
    <w:p w14:paraId="5B2921CA">
      <w:pPr>
        <w:pStyle w:val="27"/>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章）</w:t>
      </w:r>
    </w:p>
    <w:p w14:paraId="57468435">
      <w:pPr>
        <w:pStyle w:val="27"/>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2FEEC379">
      <w:pPr>
        <w:pStyle w:val="27"/>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4E61D4D3">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14:paraId="640AA333">
      <w:pPr>
        <w:pStyle w:val="28"/>
        <w:spacing w:line="500" w:lineRule="exact"/>
        <w:ind w:firstLine="3123" w:firstLineChars="12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Start w:id="41" w:name="_Toc2979"/>
    </w:p>
    <w:p w14:paraId="0478F5DC">
      <w:pPr>
        <w:pStyle w:val="5"/>
        <w:spacing w:before="156" w:beforeLines="50" w:after="156" w:afterLines="50" w:line="560" w:lineRule="exact"/>
        <w:jc w:val="center"/>
        <w:rPr>
          <w:rFonts w:ascii="宋体" w:hAnsi="宋体" w:eastAsia="宋体" w:cs="宋体"/>
          <w:sz w:val="24"/>
          <w:szCs w:val="24"/>
        </w:rPr>
      </w:pPr>
      <w:bookmarkStart w:id="42" w:name="_Toc18671565"/>
      <w:bookmarkStart w:id="43" w:name="_Toc14608"/>
      <w:r>
        <w:rPr>
          <w:rFonts w:hint="eastAsia" w:ascii="宋体" w:hAnsi="宋体" w:eastAsia="宋体" w:cs="宋体"/>
          <w:sz w:val="24"/>
          <w:szCs w:val="24"/>
        </w:rPr>
        <w:t>二、响应一览表</w:t>
      </w:r>
      <w:bookmarkEnd w:id="41"/>
      <w:bookmarkEnd w:id="42"/>
      <w:bookmarkEnd w:id="43"/>
    </w:p>
    <w:p w14:paraId="4E46E087">
      <w:pPr>
        <w:pStyle w:val="28"/>
        <w:ind w:firstLine="0" w:firstLineChars="0"/>
        <w:rPr>
          <w:rFonts w:asciiTheme="minorEastAsia" w:hAnsiTheme="minorEastAsia" w:eastAsiaTheme="minorEastAsia" w:cstheme="minorEastAsia"/>
          <w:sz w:val="24"/>
        </w:rPr>
      </w:pPr>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EE4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F20C234">
            <w:pPr>
              <w:widowControl/>
              <w:spacing w:line="360" w:lineRule="exact"/>
              <w:jc w:val="center"/>
              <w:rPr>
                <w:rFonts w:asciiTheme="minorEastAsia" w:hAnsiTheme="minorEastAsia" w:eastAsiaTheme="minorEastAsia" w:cstheme="minorEastAsia"/>
                <w:b/>
                <w:sz w:val="24"/>
              </w:rPr>
            </w:pPr>
            <w:bookmarkStart w:id="44" w:name="_Hlk450185766"/>
            <w:bookmarkStart w:id="45" w:name="_Toc272141475"/>
            <w:bookmarkStart w:id="46" w:name="_Toc293560332"/>
            <w:r>
              <w:rPr>
                <w:rFonts w:hint="eastAsia" w:asciiTheme="minorEastAsia" w:hAnsiTheme="minorEastAsia" w:eastAsiaTheme="minorEastAsia" w:cstheme="minorEastAsia"/>
                <w:b/>
                <w:sz w:val="24"/>
              </w:rPr>
              <w:t>项目名称</w:t>
            </w:r>
          </w:p>
        </w:tc>
        <w:tc>
          <w:tcPr>
            <w:tcW w:w="6667" w:type="dxa"/>
            <w:tcBorders>
              <w:top w:val="single" w:color="auto" w:sz="4" w:space="0"/>
              <w:bottom w:val="single" w:color="auto" w:sz="4" w:space="0"/>
              <w:right w:val="single" w:color="auto" w:sz="4" w:space="0"/>
            </w:tcBorders>
            <w:vAlign w:val="center"/>
          </w:tcPr>
          <w:p w14:paraId="50149067">
            <w:pPr>
              <w:spacing w:line="360" w:lineRule="exact"/>
              <w:rPr>
                <w:rFonts w:asciiTheme="minorEastAsia" w:hAnsiTheme="minorEastAsia" w:eastAsiaTheme="minorEastAsia" w:cstheme="minorEastAsia"/>
                <w:bCs/>
                <w:sz w:val="24"/>
                <w:u w:val="single"/>
              </w:rPr>
            </w:pPr>
          </w:p>
        </w:tc>
      </w:tr>
      <w:tr w14:paraId="10EF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423788E">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项目编号</w:t>
            </w:r>
          </w:p>
        </w:tc>
        <w:tc>
          <w:tcPr>
            <w:tcW w:w="6667" w:type="dxa"/>
            <w:tcBorders>
              <w:top w:val="nil"/>
            </w:tcBorders>
            <w:vAlign w:val="center"/>
          </w:tcPr>
          <w:p w14:paraId="07389999">
            <w:pPr>
              <w:rPr>
                <w:rFonts w:asciiTheme="minorEastAsia" w:hAnsiTheme="minorEastAsia" w:eastAsiaTheme="minorEastAsia" w:cstheme="minorEastAsia"/>
                <w:bCs/>
                <w:sz w:val="24"/>
              </w:rPr>
            </w:pPr>
          </w:p>
        </w:tc>
      </w:tr>
      <w:tr w14:paraId="583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6BA9AD">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响应供应商全称</w:t>
            </w:r>
          </w:p>
        </w:tc>
        <w:tc>
          <w:tcPr>
            <w:tcW w:w="6667" w:type="dxa"/>
            <w:tcBorders>
              <w:top w:val="nil"/>
            </w:tcBorders>
            <w:vAlign w:val="center"/>
          </w:tcPr>
          <w:p w14:paraId="0E232771">
            <w:pPr>
              <w:spacing w:line="360" w:lineRule="auto"/>
              <w:rPr>
                <w:rFonts w:asciiTheme="minorEastAsia" w:hAnsiTheme="minorEastAsia" w:eastAsiaTheme="minorEastAsia" w:cstheme="minorEastAsia"/>
                <w:bCs/>
                <w:sz w:val="24"/>
              </w:rPr>
            </w:pPr>
          </w:p>
        </w:tc>
      </w:tr>
      <w:tr w14:paraId="3057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7DE2047">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响应范围</w:t>
            </w:r>
          </w:p>
        </w:tc>
        <w:tc>
          <w:tcPr>
            <w:tcW w:w="6667" w:type="dxa"/>
            <w:tcBorders>
              <w:top w:val="nil"/>
            </w:tcBorders>
            <w:vAlign w:val="center"/>
          </w:tcPr>
          <w:p w14:paraId="6320CAF8">
            <w:pPr>
              <w:widowControl/>
              <w:spacing w:line="36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包(不分包项目填写“全部”)</w:t>
            </w:r>
          </w:p>
        </w:tc>
      </w:tr>
      <w:tr w14:paraId="4125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17F79DA4">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响应报价</w:t>
            </w:r>
          </w:p>
          <w:p w14:paraId="4B1ECB46">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（人民币）</w:t>
            </w:r>
          </w:p>
          <w:p w14:paraId="75C394AB">
            <w:pPr>
              <w:spacing w:line="360" w:lineRule="exact"/>
              <w:jc w:val="center"/>
              <w:rPr>
                <w:rFonts w:asciiTheme="minorEastAsia" w:hAnsiTheme="minorEastAsia" w:eastAsiaTheme="minorEastAsia" w:cstheme="minorEastAsia"/>
                <w:b/>
                <w:sz w:val="24"/>
              </w:rPr>
            </w:pPr>
          </w:p>
        </w:tc>
        <w:tc>
          <w:tcPr>
            <w:tcW w:w="6667" w:type="dxa"/>
            <w:tcBorders>
              <w:top w:val="nil"/>
            </w:tcBorders>
            <w:vAlign w:val="center"/>
          </w:tcPr>
          <w:p w14:paraId="022A4CBA">
            <w:pPr>
              <w:spacing w:line="360" w:lineRule="auto"/>
              <w:ind w:right="-670"/>
              <w:rPr>
                <w:rFonts w:asciiTheme="minorEastAsia" w:hAnsiTheme="minorEastAsia" w:eastAsiaTheme="minorEastAsia" w:cstheme="minorEastAsia"/>
                <w:bCs/>
                <w:sz w:val="24"/>
              </w:rPr>
            </w:pPr>
          </w:p>
          <w:p w14:paraId="019B353B">
            <w:pPr>
              <w:spacing w:line="360" w:lineRule="auto"/>
              <w:ind w:right="-67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大写：</w:t>
            </w:r>
            <w:r>
              <w:rPr>
                <w:rFonts w:hint="eastAsia" w:asciiTheme="minorEastAsia" w:hAnsiTheme="minorEastAsia" w:eastAsiaTheme="minorEastAsia" w:cstheme="minorEastAsia"/>
                <w:bCs/>
                <w:sz w:val="24"/>
                <w:u w:val="single"/>
              </w:rPr>
              <w:t xml:space="preserve">        </w:t>
            </w:r>
          </w:p>
        </w:tc>
      </w:tr>
      <w:tr w14:paraId="2C08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57540F48">
            <w:pPr>
              <w:spacing w:line="360" w:lineRule="exact"/>
              <w:jc w:val="center"/>
              <w:rPr>
                <w:rFonts w:asciiTheme="minorEastAsia" w:hAnsiTheme="minorEastAsia" w:eastAsiaTheme="minorEastAsia" w:cstheme="minorEastAsia"/>
                <w:b/>
                <w:sz w:val="24"/>
              </w:rPr>
            </w:pPr>
          </w:p>
        </w:tc>
        <w:tc>
          <w:tcPr>
            <w:tcW w:w="6667" w:type="dxa"/>
            <w:tcBorders>
              <w:top w:val="nil"/>
            </w:tcBorders>
            <w:vAlign w:val="center"/>
          </w:tcPr>
          <w:p w14:paraId="080C1275">
            <w:pPr>
              <w:spacing w:line="360" w:lineRule="auto"/>
              <w:ind w:right="-670"/>
              <w:rPr>
                <w:rFonts w:asciiTheme="minorEastAsia" w:hAnsiTheme="minorEastAsia" w:eastAsiaTheme="minorEastAsia" w:cstheme="minorEastAsia"/>
                <w:bCs/>
                <w:sz w:val="24"/>
              </w:rPr>
            </w:pPr>
          </w:p>
          <w:p w14:paraId="20E7B22B">
            <w:pPr>
              <w:spacing w:line="360" w:lineRule="auto"/>
              <w:ind w:right="-67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小写：</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（元/%）</w:t>
            </w:r>
          </w:p>
          <w:p w14:paraId="652AAA75">
            <w:pPr>
              <w:spacing w:line="360" w:lineRule="auto"/>
              <w:ind w:right="-670"/>
              <w:rPr>
                <w:rFonts w:asciiTheme="minorEastAsia" w:hAnsiTheme="minorEastAsia" w:eastAsiaTheme="minorEastAsia" w:cstheme="minorEastAsia"/>
                <w:bCs/>
                <w:sz w:val="24"/>
              </w:rPr>
            </w:pPr>
          </w:p>
        </w:tc>
      </w:tr>
      <w:tr w14:paraId="43AB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05E5357E">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w:t>
            </w:r>
          </w:p>
        </w:tc>
        <w:tc>
          <w:tcPr>
            <w:tcW w:w="6667" w:type="dxa"/>
            <w:tcBorders>
              <w:top w:val="nil"/>
            </w:tcBorders>
            <w:vAlign w:val="center"/>
          </w:tcPr>
          <w:p w14:paraId="061E4B9D">
            <w:pPr>
              <w:spacing w:line="360" w:lineRule="auto"/>
              <w:jc w:val="left"/>
              <w:rPr>
                <w:rFonts w:asciiTheme="minorEastAsia" w:hAnsiTheme="minorEastAsia" w:eastAsiaTheme="minorEastAsia" w:cstheme="minorEastAsia"/>
                <w:bCs/>
                <w:sz w:val="24"/>
              </w:rPr>
            </w:pPr>
          </w:p>
        </w:tc>
      </w:tr>
    </w:tbl>
    <w:p w14:paraId="7016A9C7">
      <w:pPr>
        <w:spacing w:before="100" w:beforeAutospacing="1" w:after="100" w:afterAutospacing="1" w:line="360" w:lineRule="auto"/>
        <w:rPr>
          <w:rFonts w:asciiTheme="minorEastAsia" w:hAnsiTheme="minorEastAsia" w:eastAsiaTheme="minorEastAsia" w:cstheme="minorEastAsia"/>
          <w:b/>
          <w:sz w:val="24"/>
        </w:rPr>
      </w:pPr>
    </w:p>
    <w:p w14:paraId="4994651F">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响应供应商（公章）：   </w:t>
      </w:r>
    </w:p>
    <w:p w14:paraId="24F063F7">
      <w:pPr>
        <w:rPr>
          <w:rFonts w:asciiTheme="minorEastAsia" w:hAnsiTheme="minorEastAsia" w:eastAsiaTheme="minorEastAsia" w:cstheme="minorEastAsia"/>
          <w:sz w:val="24"/>
        </w:rPr>
      </w:pPr>
    </w:p>
    <w:p w14:paraId="70BDA998">
      <w:pPr>
        <w:rPr>
          <w:rFonts w:asciiTheme="minorEastAsia" w:hAnsiTheme="minorEastAsia" w:eastAsiaTheme="minorEastAsia" w:cstheme="minorEastAsia"/>
          <w:sz w:val="24"/>
        </w:rPr>
      </w:pPr>
    </w:p>
    <w:p w14:paraId="4F17C23C">
      <w:pPr>
        <w:rPr>
          <w:rFonts w:asciiTheme="minorEastAsia" w:hAnsiTheme="minorEastAsia" w:eastAsiaTheme="minorEastAsia" w:cstheme="minorEastAsia"/>
          <w:sz w:val="24"/>
        </w:rPr>
      </w:pPr>
      <w:r>
        <w:rPr>
          <w:rFonts w:asciiTheme="minorEastAsia" w:hAnsiTheme="minorEastAsia" w:eastAsiaTheme="minorEastAsia" w:cstheme="minorEastAsia"/>
          <w:b/>
          <w:sz w:val="24"/>
        </w:rPr>
        <w:t>日期</w:t>
      </w:r>
      <w:r>
        <w:rPr>
          <w:rFonts w:hint="eastAsia" w:asciiTheme="minorEastAsia" w:hAnsiTheme="minorEastAsia" w:eastAsiaTheme="minorEastAsia" w:cstheme="minorEastAsia"/>
          <w:sz w:val="24"/>
        </w:rPr>
        <w:t>：   年    月    日</w:t>
      </w:r>
    </w:p>
    <w:p w14:paraId="77A7D5BE">
      <w:pPr>
        <w:rPr>
          <w:rFonts w:asciiTheme="minorEastAsia" w:hAnsiTheme="minorEastAsia" w:eastAsiaTheme="minorEastAsia" w:cstheme="minorEastAsia"/>
          <w:sz w:val="24"/>
        </w:rPr>
      </w:pPr>
    </w:p>
    <w:p w14:paraId="2D0F2696">
      <w:pPr>
        <w:rPr>
          <w:rFonts w:asciiTheme="minorEastAsia" w:hAnsiTheme="minorEastAsia" w:eastAsiaTheme="minorEastAsia" w:cstheme="minorEastAsia"/>
          <w:sz w:val="24"/>
        </w:rPr>
      </w:pPr>
    </w:p>
    <w:p w14:paraId="4AA360FD">
      <w:pPr>
        <w:rPr>
          <w:rFonts w:asciiTheme="minorEastAsia" w:hAnsiTheme="minorEastAsia" w:eastAsiaTheme="minorEastAsia" w:cstheme="minorEastAsia"/>
          <w:sz w:val="24"/>
        </w:rPr>
      </w:pPr>
    </w:p>
    <w:p w14:paraId="5A22D56F">
      <w:pPr>
        <w:rPr>
          <w:rFonts w:asciiTheme="minorEastAsia" w:hAnsiTheme="minorEastAsia" w:eastAsiaTheme="minorEastAsia" w:cstheme="minorEastAsia"/>
          <w:sz w:val="24"/>
        </w:rPr>
      </w:pPr>
    </w:p>
    <w:p w14:paraId="0997A426">
      <w:pPr>
        <w:rPr>
          <w:rFonts w:asciiTheme="minorEastAsia" w:hAnsiTheme="minorEastAsia" w:eastAsiaTheme="minorEastAsia" w:cstheme="minorEastAsia"/>
          <w:sz w:val="24"/>
        </w:rPr>
      </w:pPr>
    </w:p>
    <w:p w14:paraId="54275284">
      <w:pPr>
        <w:rPr>
          <w:rFonts w:asciiTheme="minorEastAsia" w:hAnsiTheme="minorEastAsia" w:eastAsiaTheme="minorEastAsia" w:cstheme="minorEastAsia"/>
          <w:sz w:val="24"/>
        </w:rPr>
      </w:pPr>
    </w:p>
    <w:p w14:paraId="079FE577">
      <w:pPr>
        <w:pStyle w:val="5"/>
        <w:spacing w:before="156" w:beforeLines="50" w:after="156" w:afterLines="50" w:line="560" w:lineRule="exact"/>
        <w:jc w:val="center"/>
        <w:rPr>
          <w:rFonts w:asciiTheme="minorEastAsia" w:hAnsiTheme="minorEastAsia" w:eastAsiaTheme="minorEastAsia" w:cstheme="minorEastAsia"/>
          <w:sz w:val="24"/>
          <w:szCs w:val="24"/>
        </w:rPr>
      </w:pPr>
      <w:bookmarkStart w:id="47" w:name="_Toc3760"/>
      <w:r>
        <w:rPr>
          <w:rFonts w:hint="eastAsia" w:asciiTheme="minorEastAsia" w:hAnsiTheme="minorEastAsia" w:eastAsiaTheme="minorEastAsia" w:cstheme="minorEastAsia"/>
          <w:sz w:val="24"/>
          <w:szCs w:val="24"/>
        </w:rPr>
        <w:br w:type="page"/>
      </w:r>
      <w:bookmarkStart w:id="48" w:name="_Toc9309"/>
      <w:bookmarkStart w:id="49" w:name="_Toc2257"/>
      <w:bookmarkStart w:id="50" w:name="_Toc18671566"/>
      <w:r>
        <w:rPr>
          <w:rFonts w:hint="eastAsia" w:ascii="宋体" w:hAnsi="宋体" w:eastAsia="宋体" w:cs="宋体"/>
          <w:sz w:val="24"/>
          <w:szCs w:val="24"/>
        </w:rPr>
        <w:t>三、营业执照</w:t>
      </w:r>
      <w:bookmarkEnd w:id="48"/>
      <w:bookmarkEnd w:id="49"/>
    </w:p>
    <w:p w14:paraId="50033E97">
      <w:pPr>
        <w:jc w:val="center"/>
        <w:rPr>
          <w:rFonts w:ascii="宋体" w:hAnsi="宋体" w:cs="宋体"/>
          <w:sz w:val="24"/>
        </w:rPr>
      </w:pPr>
      <w:bookmarkStart w:id="51" w:name="_Toc24176"/>
      <w:r>
        <w:rPr>
          <w:rFonts w:hint="eastAsia"/>
          <w:sz w:val="24"/>
        </w:rPr>
        <w:t>（营业执照等信息）</w:t>
      </w:r>
    </w:p>
    <w:p w14:paraId="7FDACC7C">
      <w:pPr>
        <w:rPr>
          <w:rFonts w:ascii="宋体" w:hAnsi="宋体" w:cs="宋体"/>
          <w:sz w:val="24"/>
        </w:rPr>
      </w:pPr>
      <w:r>
        <w:rPr>
          <w:rFonts w:hint="eastAsia" w:ascii="宋体" w:hAnsi="宋体" w:cs="宋体"/>
          <w:sz w:val="24"/>
        </w:rPr>
        <w:br w:type="page"/>
      </w:r>
    </w:p>
    <w:p w14:paraId="2EF2772B">
      <w:pPr>
        <w:pStyle w:val="5"/>
        <w:spacing w:before="156" w:beforeLines="50" w:after="156" w:afterLines="50" w:line="560" w:lineRule="exact"/>
        <w:jc w:val="center"/>
        <w:rPr>
          <w:rFonts w:ascii="宋体" w:hAnsi="宋体" w:eastAsia="宋体" w:cs="宋体"/>
          <w:sz w:val="24"/>
          <w:szCs w:val="24"/>
        </w:rPr>
      </w:pPr>
      <w:bookmarkStart w:id="52" w:name="_Toc1365"/>
      <w:r>
        <w:rPr>
          <w:rFonts w:hint="eastAsia" w:ascii="宋体" w:hAnsi="宋体" w:eastAsia="宋体" w:cs="宋体"/>
          <w:sz w:val="24"/>
          <w:szCs w:val="24"/>
        </w:rPr>
        <w:t>四、授权委托书</w:t>
      </w:r>
      <w:bookmarkEnd w:id="51"/>
      <w:bookmarkEnd w:id="52"/>
    </w:p>
    <w:p w14:paraId="7C8ABC6B">
      <w:pPr>
        <w:pStyle w:val="7"/>
        <w:snapToGrid w:val="0"/>
        <w:spacing w:line="560" w:lineRule="exact"/>
        <w:ind w:firstLine="480" w:firstLineChars="200"/>
        <w:jc w:val="left"/>
        <w:rPr>
          <w:rFonts w:asciiTheme="minorEastAsia" w:hAnsiTheme="minorEastAsia" w:eastAsiaTheme="minorEastAsia" w:cstheme="minorEastAsia"/>
          <w:sz w:val="24"/>
        </w:rPr>
      </w:pPr>
      <w:r>
        <w:rPr>
          <w:rFonts w:hint="eastAsia" w:hAnsi="宋体" w:cs="宋体"/>
          <w:sz w:val="24"/>
          <w:u w:val="single"/>
        </w:rPr>
        <w:t xml:space="preserve"> （供应商名称的全称） </w:t>
      </w:r>
      <w:r>
        <w:rPr>
          <w:rFonts w:hint="eastAsia" w:asciiTheme="minorEastAsia" w:hAnsiTheme="minorEastAsia" w:eastAsiaTheme="minorEastAsia" w:cstheme="minorEastAsia"/>
          <w:sz w:val="24"/>
        </w:rPr>
        <w:t>授权本公司</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（响应供应商授权代表姓名、职务）代表本公司参加</w:t>
      </w:r>
      <w:r>
        <w:rPr>
          <w:rFonts w:hint="eastAsia" w:asciiTheme="minorEastAsia" w:hAnsiTheme="minorEastAsia" w:eastAsiaTheme="minorEastAsia" w:cstheme="minorEastAsia"/>
          <w:sz w:val="24"/>
          <w:u w:val="single"/>
        </w:rPr>
        <w:t xml:space="preserve">       某项目</w:t>
      </w:r>
      <w:r>
        <w:rPr>
          <w:rFonts w:hint="eastAsia" w:asciiTheme="minorEastAsia" w:hAnsiTheme="minorEastAsia" w:eastAsiaTheme="minorEastAsia" w:cstheme="minorEastAsia"/>
          <w:sz w:val="24"/>
        </w:rPr>
        <w:t>采购活动（项目编号：</w:t>
      </w:r>
      <w:r>
        <w:rPr>
          <w:rFonts w:hint="eastAsia" w:asciiTheme="minorEastAsia" w:hAnsiTheme="minorEastAsia" w:eastAsiaTheme="minorEastAsia" w:cstheme="minorEastAsia"/>
          <w:sz w:val="24"/>
          <w:u w:val="single"/>
        </w:rPr>
        <w:t>某编号</w:t>
      </w:r>
      <w:r>
        <w:rPr>
          <w:rFonts w:hint="eastAsia" w:asciiTheme="minorEastAsia" w:hAnsiTheme="minorEastAsia" w:eastAsiaTheme="minorEastAsia" w:cstheme="minorEastAsia"/>
          <w:sz w:val="24"/>
        </w:rPr>
        <w:t>），全权代表本公司处理采购过程的一切事宜。响应供应商授权代表在采购过程中所签署的一切文件和处理与之有关的一切事务，本公司均予以认可并对此承担责任。响应供应商授权代表无转委托权。</w:t>
      </w:r>
    </w:p>
    <w:p w14:paraId="588E26CD">
      <w:pPr>
        <w:pStyle w:val="7"/>
        <w:snapToGrid w:val="0"/>
        <w:spacing w:line="5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特此授权。</w:t>
      </w:r>
    </w:p>
    <w:p w14:paraId="23A8DD67">
      <w:pPr>
        <w:pStyle w:val="7"/>
        <w:snapToGrid w:val="0"/>
        <w:spacing w:line="5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本授权书自出具之日起生效。</w:t>
      </w:r>
    </w:p>
    <w:p w14:paraId="53700661">
      <w:pPr>
        <w:spacing w:line="360" w:lineRule="auto"/>
        <w:rPr>
          <w:rFonts w:asciiTheme="minorEastAsia" w:hAnsiTheme="minorEastAsia" w:eastAsiaTheme="minorEastAsia" w:cstheme="minorEastAsia"/>
          <w:sz w:val="24"/>
        </w:rPr>
      </w:pPr>
    </w:p>
    <w:p w14:paraId="0AC10706">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授权代表（或法定代表人）身份证明扫描件或影印件：</w:t>
      </w:r>
    </w:p>
    <w:p w14:paraId="0F7A6275">
      <w:pPr>
        <w:spacing w:line="360" w:lineRule="auto"/>
        <w:rPr>
          <w:rFonts w:asciiTheme="minorEastAsia" w:hAnsiTheme="minorEastAsia" w:eastAsiaTheme="minorEastAsia" w:cstheme="minorEastAsia"/>
          <w:sz w:val="24"/>
        </w:rPr>
      </w:pPr>
    </w:p>
    <w:p w14:paraId="6B584AB3">
      <w:pPr>
        <w:spacing w:line="360" w:lineRule="auto"/>
        <w:rPr>
          <w:rFonts w:asciiTheme="minorEastAsia" w:hAnsiTheme="minorEastAsia" w:eastAsiaTheme="minorEastAsia" w:cstheme="minorEastAsia"/>
          <w:sz w:val="24"/>
        </w:rPr>
      </w:pPr>
    </w:p>
    <w:p w14:paraId="53776645">
      <w:pPr>
        <w:spacing w:line="360" w:lineRule="auto"/>
        <w:rPr>
          <w:rFonts w:asciiTheme="minorEastAsia" w:hAnsiTheme="minorEastAsia" w:eastAsiaTheme="minorEastAsia" w:cstheme="minorEastAsia"/>
          <w:sz w:val="24"/>
        </w:rPr>
      </w:pPr>
    </w:p>
    <w:p w14:paraId="46414D3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授权代表（或法定代表人）联系方式：</w:t>
      </w:r>
      <w:r>
        <w:rPr>
          <w:rFonts w:hint="eastAsia" w:asciiTheme="minorEastAsia" w:hAnsiTheme="minorEastAsia" w:eastAsiaTheme="minorEastAsia" w:cstheme="minorEastAsia"/>
          <w:sz w:val="24"/>
        </w:rPr>
        <w:t>（请填写手机号码）</w:t>
      </w:r>
    </w:p>
    <w:p w14:paraId="2369CCA2">
      <w:pPr>
        <w:spacing w:line="360" w:lineRule="auto"/>
        <w:ind w:firstLine="645"/>
        <w:rPr>
          <w:rFonts w:asciiTheme="minorEastAsia" w:hAnsiTheme="minorEastAsia" w:eastAsiaTheme="minorEastAsia" w:cstheme="minorEastAsia"/>
          <w:sz w:val="24"/>
        </w:rPr>
      </w:pPr>
    </w:p>
    <w:p w14:paraId="2348579A">
      <w:pPr>
        <w:spacing w:line="360" w:lineRule="auto"/>
        <w:rPr>
          <w:rFonts w:asciiTheme="minorEastAsia" w:hAnsiTheme="minorEastAsia" w:eastAsiaTheme="minorEastAsia" w:cstheme="minorEastAsia"/>
          <w:sz w:val="24"/>
        </w:rPr>
      </w:pPr>
    </w:p>
    <w:p w14:paraId="20A0F2DF">
      <w:pPr>
        <w:spacing w:line="360" w:lineRule="auto"/>
        <w:rPr>
          <w:rFonts w:asciiTheme="minorEastAsia" w:hAnsiTheme="minorEastAsia" w:eastAsiaTheme="minorEastAsia" w:cstheme="minorEastAsia"/>
          <w:sz w:val="24"/>
        </w:rPr>
      </w:pPr>
    </w:p>
    <w:p w14:paraId="6CF6FBC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供应商（公章）：</w:t>
      </w:r>
    </w:p>
    <w:p w14:paraId="0A2A6F9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     年   月   日</w:t>
      </w:r>
    </w:p>
    <w:p w14:paraId="2EE583FB">
      <w:pPr>
        <w:rPr>
          <w:rFonts w:asciiTheme="minorEastAsia" w:hAnsiTheme="minorEastAsia" w:eastAsiaTheme="minorEastAsia" w:cstheme="minorEastAsia"/>
          <w:sz w:val="24"/>
        </w:rPr>
      </w:pPr>
    </w:p>
    <w:p w14:paraId="051BD7FF">
      <w:pPr>
        <w:pStyle w:val="7"/>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w:t>
      </w:r>
    </w:p>
    <w:p w14:paraId="4156DC84">
      <w:pPr>
        <w:pStyle w:val="7"/>
        <w:numPr>
          <w:ilvl w:val="0"/>
          <w:numId w:val="2"/>
        </w:numPr>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本项目只允许有唯一的响应供应商授权代表（提供身份证明扫描件或影印件及联系方式）；</w:t>
      </w:r>
    </w:p>
    <w:p w14:paraId="17C5582D">
      <w:pPr>
        <w:pStyle w:val="7"/>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2、法定代表人参加的，无需提供授权委托书，仅提供身份证明扫描件或影印件及联系方式即可。</w:t>
      </w:r>
    </w:p>
    <w:p w14:paraId="2890F972">
      <w:pPr>
        <w:rPr>
          <w:rFonts w:asciiTheme="minorEastAsia" w:hAnsiTheme="minorEastAsia" w:eastAsiaTheme="minorEastAsia" w:cstheme="minorEastAsia"/>
          <w:sz w:val="24"/>
        </w:rPr>
      </w:pPr>
    </w:p>
    <w:bookmarkEnd w:id="44"/>
    <w:bookmarkEnd w:id="45"/>
    <w:bookmarkEnd w:id="46"/>
    <w:bookmarkEnd w:id="47"/>
    <w:bookmarkEnd w:id="50"/>
    <w:p w14:paraId="25E937D9">
      <w:pPr>
        <w:rPr>
          <w:rStyle w:val="31"/>
          <w:rFonts w:ascii="宋体" w:hAnsi="宋体" w:eastAsia="宋体" w:cs="宋体"/>
          <w:sz w:val="24"/>
          <w:szCs w:val="24"/>
        </w:rPr>
      </w:pPr>
      <w:bookmarkStart w:id="53" w:name="_Toc26032"/>
      <w:bookmarkStart w:id="54" w:name="_Toc18671568"/>
      <w:bookmarkStart w:id="55" w:name="_Toc272163840"/>
      <w:bookmarkStart w:id="56" w:name="_Toc533314960"/>
      <w:r>
        <w:rPr>
          <w:rStyle w:val="31"/>
          <w:rFonts w:hint="eastAsia" w:ascii="宋体" w:hAnsi="宋体" w:eastAsia="宋体" w:cs="宋体"/>
          <w:sz w:val="24"/>
          <w:szCs w:val="24"/>
        </w:rPr>
        <w:br w:type="page"/>
      </w:r>
    </w:p>
    <w:p w14:paraId="054A177F">
      <w:pPr>
        <w:spacing w:line="560" w:lineRule="exact"/>
        <w:jc w:val="center"/>
        <w:rPr>
          <w:rFonts w:asciiTheme="minorEastAsia" w:hAnsiTheme="minorEastAsia" w:eastAsiaTheme="minorEastAsia" w:cstheme="minorEastAsia"/>
          <w:sz w:val="24"/>
        </w:rPr>
      </w:pPr>
      <w:bookmarkStart w:id="57" w:name="_Toc7103"/>
      <w:r>
        <w:rPr>
          <w:rStyle w:val="31"/>
          <w:rFonts w:hint="eastAsia" w:ascii="宋体" w:hAnsi="宋体" w:eastAsia="宋体" w:cs="宋体"/>
          <w:sz w:val="24"/>
          <w:szCs w:val="24"/>
        </w:rPr>
        <w:t>五、</w:t>
      </w:r>
      <w:r>
        <w:rPr>
          <w:rStyle w:val="31"/>
          <w:rFonts w:hint="eastAsia" w:ascii="宋体" w:hAnsi="宋体" w:eastAsia="宋体" w:cs="宋体"/>
          <w:sz w:val="24"/>
          <w:szCs w:val="24"/>
          <w:lang w:val="en-US" w:eastAsia="zh-CN"/>
        </w:rPr>
        <w:t>货物</w:t>
      </w:r>
      <w:r>
        <w:rPr>
          <w:rStyle w:val="31"/>
          <w:rFonts w:hint="eastAsia" w:ascii="宋体" w:hAnsi="宋体" w:eastAsia="宋体" w:cs="宋体"/>
          <w:sz w:val="24"/>
          <w:szCs w:val="24"/>
        </w:rPr>
        <w:t>分项报价表</w:t>
      </w:r>
      <w:bookmarkEnd w:id="53"/>
      <w:bookmarkEnd w:id="57"/>
    </w:p>
    <w:p w14:paraId="48813B6A">
      <w:pPr>
        <w:pStyle w:val="28"/>
        <w:ind w:firstLine="0" w:firstLineChars="0"/>
        <w:rPr>
          <w:rFonts w:asciiTheme="minorEastAsia" w:hAnsiTheme="minorEastAsia" w:eastAsiaTheme="minorEastAsia" w:cstheme="minorEastAsia"/>
          <w:sz w:val="24"/>
        </w:rPr>
      </w:pPr>
    </w:p>
    <w:p w14:paraId="44EF850D">
      <w:pPr>
        <w:pStyle w:val="28"/>
        <w:ind w:firstLine="0" w:firstLineChars="0"/>
        <w:rPr>
          <w:rFonts w:cs="宋体"/>
          <w:sz w:val="24"/>
        </w:rPr>
      </w:pPr>
    </w:p>
    <w:tbl>
      <w:tblPr>
        <w:tblStyle w:val="16"/>
        <w:tblW w:w="878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5"/>
        <w:gridCol w:w="992"/>
        <w:gridCol w:w="1418"/>
        <w:gridCol w:w="850"/>
        <w:gridCol w:w="1134"/>
        <w:gridCol w:w="851"/>
        <w:gridCol w:w="850"/>
        <w:gridCol w:w="709"/>
      </w:tblGrid>
      <w:tr w14:paraId="0E669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noWrap w:val="0"/>
            <w:vAlign w:val="center"/>
          </w:tcPr>
          <w:p w14:paraId="6619680C">
            <w:pPr>
              <w:jc w:val="center"/>
              <w:rPr>
                <w:rFonts w:ascii="宋体" w:hAnsi="宋体" w:cs="宋体"/>
                <w:sz w:val="24"/>
              </w:rPr>
            </w:pPr>
            <w:r>
              <w:rPr>
                <w:rFonts w:hint="eastAsia" w:ascii="宋体" w:hAnsi="宋体" w:cs="宋体"/>
                <w:sz w:val="24"/>
              </w:rPr>
              <w:t>序号</w:t>
            </w:r>
          </w:p>
        </w:tc>
        <w:tc>
          <w:tcPr>
            <w:tcW w:w="1265" w:type="dxa"/>
            <w:noWrap w:val="0"/>
            <w:vAlign w:val="center"/>
          </w:tcPr>
          <w:p w14:paraId="77E46BD8">
            <w:pPr>
              <w:jc w:val="center"/>
              <w:rPr>
                <w:rFonts w:ascii="宋体" w:hAnsi="宋体" w:cs="宋体"/>
                <w:sz w:val="24"/>
              </w:rPr>
            </w:pPr>
            <w:r>
              <w:rPr>
                <w:rFonts w:hint="eastAsia" w:ascii="宋体" w:hAnsi="宋体" w:cs="宋体"/>
                <w:sz w:val="24"/>
              </w:rPr>
              <w:t>货物名称</w:t>
            </w:r>
          </w:p>
        </w:tc>
        <w:tc>
          <w:tcPr>
            <w:tcW w:w="992" w:type="dxa"/>
            <w:noWrap w:val="0"/>
            <w:vAlign w:val="center"/>
          </w:tcPr>
          <w:p w14:paraId="7B450592">
            <w:pPr>
              <w:jc w:val="center"/>
              <w:rPr>
                <w:rFonts w:ascii="宋体" w:hAnsi="宋体" w:cs="宋体"/>
                <w:sz w:val="24"/>
              </w:rPr>
            </w:pPr>
            <w:r>
              <w:rPr>
                <w:rFonts w:hint="eastAsia" w:ascii="宋体" w:hAnsi="宋体" w:cs="宋体"/>
                <w:sz w:val="24"/>
              </w:rPr>
              <w:t>品牌及型号</w:t>
            </w:r>
          </w:p>
        </w:tc>
        <w:tc>
          <w:tcPr>
            <w:tcW w:w="1418" w:type="dxa"/>
            <w:noWrap w:val="0"/>
            <w:vAlign w:val="center"/>
          </w:tcPr>
          <w:p w14:paraId="2E4115A6">
            <w:pPr>
              <w:jc w:val="center"/>
              <w:rPr>
                <w:rFonts w:ascii="宋体" w:hAnsi="宋体" w:cs="宋体"/>
                <w:sz w:val="24"/>
              </w:rPr>
            </w:pPr>
            <w:r>
              <w:rPr>
                <w:rFonts w:hint="eastAsia" w:ascii="宋体" w:hAnsi="宋体" w:cs="宋体"/>
                <w:sz w:val="24"/>
              </w:rPr>
              <w:t>制造或服务最终提供商</w:t>
            </w:r>
          </w:p>
        </w:tc>
        <w:tc>
          <w:tcPr>
            <w:tcW w:w="850" w:type="dxa"/>
            <w:noWrap w:val="0"/>
            <w:vAlign w:val="center"/>
          </w:tcPr>
          <w:p w14:paraId="07113B6F">
            <w:pPr>
              <w:jc w:val="center"/>
              <w:rPr>
                <w:rFonts w:ascii="宋体" w:hAnsi="宋体" w:cs="宋体"/>
                <w:sz w:val="24"/>
              </w:rPr>
            </w:pPr>
            <w:r>
              <w:rPr>
                <w:rFonts w:hint="eastAsia" w:ascii="宋体" w:hAnsi="宋体" w:cs="宋体"/>
                <w:sz w:val="24"/>
              </w:rPr>
              <w:t>单位</w:t>
            </w:r>
          </w:p>
        </w:tc>
        <w:tc>
          <w:tcPr>
            <w:tcW w:w="1134" w:type="dxa"/>
            <w:noWrap w:val="0"/>
            <w:vAlign w:val="center"/>
          </w:tcPr>
          <w:p w14:paraId="792B9D50">
            <w:pPr>
              <w:jc w:val="center"/>
              <w:rPr>
                <w:rFonts w:ascii="宋体" w:hAnsi="宋体" w:cs="宋体"/>
                <w:sz w:val="24"/>
              </w:rPr>
            </w:pPr>
            <w:r>
              <w:rPr>
                <w:rFonts w:hint="eastAsia" w:ascii="宋体" w:hAnsi="宋体" w:cs="宋体"/>
                <w:sz w:val="24"/>
              </w:rPr>
              <w:t>单价</w:t>
            </w:r>
          </w:p>
          <w:p w14:paraId="1DE35384">
            <w:pPr>
              <w:jc w:val="center"/>
              <w:rPr>
                <w:rFonts w:ascii="宋体" w:hAnsi="宋体" w:cs="宋体"/>
                <w:sz w:val="24"/>
              </w:rPr>
            </w:pPr>
            <w:r>
              <w:rPr>
                <w:rFonts w:hint="eastAsia" w:ascii="宋体" w:hAnsi="宋体" w:cs="宋体"/>
                <w:sz w:val="24"/>
              </w:rPr>
              <w:t>（元）</w:t>
            </w:r>
          </w:p>
        </w:tc>
        <w:tc>
          <w:tcPr>
            <w:tcW w:w="851" w:type="dxa"/>
            <w:noWrap w:val="0"/>
            <w:vAlign w:val="center"/>
          </w:tcPr>
          <w:p w14:paraId="5841FAAB">
            <w:pPr>
              <w:jc w:val="center"/>
              <w:rPr>
                <w:rFonts w:ascii="宋体" w:hAnsi="宋体" w:cs="宋体"/>
                <w:sz w:val="24"/>
              </w:rPr>
            </w:pPr>
            <w:r>
              <w:rPr>
                <w:rFonts w:hint="eastAsia" w:ascii="宋体" w:hAnsi="宋体" w:cs="宋体"/>
                <w:sz w:val="24"/>
              </w:rPr>
              <w:t>数量</w:t>
            </w:r>
          </w:p>
        </w:tc>
        <w:tc>
          <w:tcPr>
            <w:tcW w:w="850" w:type="dxa"/>
            <w:noWrap w:val="0"/>
            <w:vAlign w:val="center"/>
          </w:tcPr>
          <w:p w14:paraId="1D1CF0BA">
            <w:pPr>
              <w:jc w:val="center"/>
              <w:rPr>
                <w:rFonts w:ascii="宋体" w:hAnsi="宋体" w:cs="宋体"/>
                <w:sz w:val="24"/>
              </w:rPr>
            </w:pPr>
            <w:r>
              <w:rPr>
                <w:rFonts w:hint="eastAsia" w:ascii="宋体" w:hAnsi="宋体" w:cs="宋体"/>
                <w:sz w:val="24"/>
              </w:rPr>
              <w:t>总价</w:t>
            </w:r>
          </w:p>
          <w:p w14:paraId="18C06062">
            <w:pPr>
              <w:jc w:val="center"/>
              <w:rPr>
                <w:rFonts w:ascii="宋体" w:hAnsi="宋体" w:cs="宋体"/>
                <w:sz w:val="24"/>
              </w:rPr>
            </w:pPr>
            <w:r>
              <w:rPr>
                <w:rFonts w:hint="eastAsia" w:ascii="宋体" w:hAnsi="宋体" w:cs="宋体"/>
                <w:sz w:val="24"/>
              </w:rPr>
              <w:t>（元）</w:t>
            </w:r>
          </w:p>
        </w:tc>
        <w:tc>
          <w:tcPr>
            <w:tcW w:w="709" w:type="dxa"/>
            <w:noWrap w:val="0"/>
            <w:vAlign w:val="center"/>
          </w:tcPr>
          <w:p w14:paraId="10190131">
            <w:pPr>
              <w:jc w:val="center"/>
              <w:rPr>
                <w:rFonts w:ascii="宋体" w:hAnsi="宋体" w:cs="宋体"/>
                <w:sz w:val="24"/>
              </w:rPr>
            </w:pPr>
            <w:r>
              <w:rPr>
                <w:rFonts w:hint="eastAsia" w:ascii="宋体" w:hAnsi="宋体" w:cs="宋体"/>
                <w:sz w:val="24"/>
              </w:rPr>
              <w:t>备注</w:t>
            </w:r>
          </w:p>
        </w:tc>
      </w:tr>
      <w:tr w14:paraId="1B0562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65E4CAEC">
            <w:pPr>
              <w:jc w:val="center"/>
              <w:rPr>
                <w:rFonts w:ascii="宋体" w:hAnsi="宋体" w:cs="宋体"/>
                <w:sz w:val="24"/>
              </w:rPr>
            </w:pPr>
          </w:p>
        </w:tc>
        <w:tc>
          <w:tcPr>
            <w:tcW w:w="1265" w:type="dxa"/>
            <w:noWrap w:val="0"/>
            <w:vAlign w:val="center"/>
          </w:tcPr>
          <w:p w14:paraId="01A00D44">
            <w:pPr>
              <w:jc w:val="center"/>
              <w:rPr>
                <w:rFonts w:ascii="宋体" w:hAnsi="宋体" w:cs="宋体"/>
                <w:sz w:val="24"/>
              </w:rPr>
            </w:pPr>
          </w:p>
        </w:tc>
        <w:tc>
          <w:tcPr>
            <w:tcW w:w="992" w:type="dxa"/>
            <w:noWrap w:val="0"/>
            <w:vAlign w:val="center"/>
          </w:tcPr>
          <w:p w14:paraId="6FCC03DF">
            <w:pPr>
              <w:jc w:val="center"/>
              <w:rPr>
                <w:rFonts w:ascii="宋体" w:hAnsi="宋体" w:cs="宋体"/>
                <w:sz w:val="24"/>
              </w:rPr>
            </w:pPr>
          </w:p>
        </w:tc>
        <w:tc>
          <w:tcPr>
            <w:tcW w:w="1418" w:type="dxa"/>
            <w:noWrap w:val="0"/>
            <w:vAlign w:val="center"/>
          </w:tcPr>
          <w:p w14:paraId="678371EA">
            <w:pPr>
              <w:jc w:val="center"/>
              <w:rPr>
                <w:rFonts w:ascii="宋体" w:hAnsi="宋体" w:cs="宋体"/>
                <w:sz w:val="24"/>
              </w:rPr>
            </w:pPr>
          </w:p>
        </w:tc>
        <w:tc>
          <w:tcPr>
            <w:tcW w:w="850" w:type="dxa"/>
            <w:noWrap w:val="0"/>
            <w:vAlign w:val="center"/>
          </w:tcPr>
          <w:p w14:paraId="31EA2D15">
            <w:pPr>
              <w:jc w:val="center"/>
              <w:rPr>
                <w:rFonts w:ascii="宋体" w:hAnsi="宋体" w:cs="宋体"/>
                <w:sz w:val="24"/>
              </w:rPr>
            </w:pPr>
          </w:p>
        </w:tc>
        <w:tc>
          <w:tcPr>
            <w:tcW w:w="1134" w:type="dxa"/>
            <w:noWrap w:val="0"/>
            <w:vAlign w:val="center"/>
          </w:tcPr>
          <w:p w14:paraId="2EB919D1">
            <w:pPr>
              <w:jc w:val="center"/>
              <w:rPr>
                <w:rFonts w:ascii="宋体" w:hAnsi="宋体" w:cs="宋体"/>
                <w:sz w:val="24"/>
              </w:rPr>
            </w:pPr>
          </w:p>
        </w:tc>
        <w:tc>
          <w:tcPr>
            <w:tcW w:w="851" w:type="dxa"/>
            <w:noWrap w:val="0"/>
            <w:vAlign w:val="center"/>
          </w:tcPr>
          <w:p w14:paraId="476CB2A3">
            <w:pPr>
              <w:jc w:val="center"/>
              <w:rPr>
                <w:rFonts w:ascii="宋体" w:hAnsi="宋体" w:cs="宋体"/>
                <w:sz w:val="24"/>
              </w:rPr>
            </w:pPr>
          </w:p>
        </w:tc>
        <w:tc>
          <w:tcPr>
            <w:tcW w:w="850" w:type="dxa"/>
            <w:noWrap w:val="0"/>
            <w:vAlign w:val="center"/>
          </w:tcPr>
          <w:p w14:paraId="44557EB0">
            <w:pPr>
              <w:jc w:val="center"/>
              <w:rPr>
                <w:rFonts w:ascii="宋体" w:hAnsi="宋体" w:cs="宋体"/>
                <w:sz w:val="24"/>
              </w:rPr>
            </w:pPr>
          </w:p>
        </w:tc>
        <w:tc>
          <w:tcPr>
            <w:tcW w:w="709" w:type="dxa"/>
            <w:vMerge w:val="restart"/>
            <w:noWrap w:val="0"/>
            <w:vAlign w:val="center"/>
          </w:tcPr>
          <w:p w14:paraId="178DB6A4">
            <w:pPr>
              <w:jc w:val="center"/>
              <w:rPr>
                <w:rFonts w:ascii="宋体" w:hAnsi="宋体" w:cs="宋体"/>
                <w:sz w:val="24"/>
              </w:rPr>
            </w:pPr>
          </w:p>
        </w:tc>
      </w:tr>
      <w:tr w14:paraId="64A694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6E0B7ABA">
            <w:pPr>
              <w:jc w:val="center"/>
              <w:rPr>
                <w:rFonts w:ascii="宋体" w:hAnsi="宋体" w:cs="宋体"/>
                <w:sz w:val="24"/>
              </w:rPr>
            </w:pPr>
          </w:p>
        </w:tc>
        <w:tc>
          <w:tcPr>
            <w:tcW w:w="1265" w:type="dxa"/>
            <w:noWrap w:val="0"/>
            <w:vAlign w:val="center"/>
          </w:tcPr>
          <w:p w14:paraId="01879E54">
            <w:pPr>
              <w:jc w:val="center"/>
              <w:rPr>
                <w:rFonts w:ascii="宋体" w:hAnsi="宋体" w:cs="宋体"/>
                <w:sz w:val="24"/>
              </w:rPr>
            </w:pPr>
          </w:p>
        </w:tc>
        <w:tc>
          <w:tcPr>
            <w:tcW w:w="992" w:type="dxa"/>
            <w:noWrap w:val="0"/>
            <w:vAlign w:val="center"/>
          </w:tcPr>
          <w:p w14:paraId="50A8AF78">
            <w:pPr>
              <w:jc w:val="center"/>
              <w:rPr>
                <w:rFonts w:ascii="宋体" w:hAnsi="宋体" w:cs="宋体"/>
                <w:sz w:val="24"/>
              </w:rPr>
            </w:pPr>
          </w:p>
        </w:tc>
        <w:tc>
          <w:tcPr>
            <w:tcW w:w="1418" w:type="dxa"/>
            <w:noWrap w:val="0"/>
            <w:vAlign w:val="center"/>
          </w:tcPr>
          <w:p w14:paraId="720CB5F1">
            <w:pPr>
              <w:jc w:val="center"/>
              <w:rPr>
                <w:rFonts w:ascii="宋体" w:hAnsi="宋体" w:cs="宋体"/>
                <w:sz w:val="24"/>
              </w:rPr>
            </w:pPr>
          </w:p>
        </w:tc>
        <w:tc>
          <w:tcPr>
            <w:tcW w:w="850" w:type="dxa"/>
            <w:noWrap w:val="0"/>
            <w:vAlign w:val="center"/>
          </w:tcPr>
          <w:p w14:paraId="60BCD2BB">
            <w:pPr>
              <w:jc w:val="center"/>
              <w:rPr>
                <w:rFonts w:ascii="宋体" w:hAnsi="宋体" w:cs="宋体"/>
                <w:sz w:val="24"/>
              </w:rPr>
            </w:pPr>
          </w:p>
        </w:tc>
        <w:tc>
          <w:tcPr>
            <w:tcW w:w="1134" w:type="dxa"/>
            <w:noWrap w:val="0"/>
            <w:vAlign w:val="center"/>
          </w:tcPr>
          <w:p w14:paraId="02CDCE97">
            <w:pPr>
              <w:jc w:val="center"/>
              <w:rPr>
                <w:rFonts w:ascii="宋体" w:hAnsi="宋体" w:cs="宋体"/>
                <w:sz w:val="24"/>
              </w:rPr>
            </w:pPr>
          </w:p>
        </w:tc>
        <w:tc>
          <w:tcPr>
            <w:tcW w:w="851" w:type="dxa"/>
            <w:noWrap w:val="0"/>
            <w:vAlign w:val="center"/>
          </w:tcPr>
          <w:p w14:paraId="5E1B5679">
            <w:pPr>
              <w:jc w:val="center"/>
              <w:rPr>
                <w:rFonts w:ascii="宋体" w:hAnsi="宋体" w:cs="宋体"/>
                <w:sz w:val="24"/>
              </w:rPr>
            </w:pPr>
          </w:p>
        </w:tc>
        <w:tc>
          <w:tcPr>
            <w:tcW w:w="850" w:type="dxa"/>
            <w:noWrap w:val="0"/>
            <w:vAlign w:val="center"/>
          </w:tcPr>
          <w:p w14:paraId="5711436F">
            <w:pPr>
              <w:jc w:val="center"/>
              <w:rPr>
                <w:rFonts w:ascii="宋体" w:hAnsi="宋体" w:cs="宋体"/>
                <w:sz w:val="24"/>
              </w:rPr>
            </w:pPr>
          </w:p>
        </w:tc>
        <w:tc>
          <w:tcPr>
            <w:tcW w:w="709" w:type="dxa"/>
            <w:vMerge w:val="continue"/>
            <w:noWrap w:val="0"/>
            <w:vAlign w:val="center"/>
          </w:tcPr>
          <w:p w14:paraId="3814EDC4">
            <w:pPr>
              <w:rPr>
                <w:rFonts w:ascii="宋体" w:hAnsi="宋体" w:cs="宋体"/>
                <w:sz w:val="24"/>
              </w:rPr>
            </w:pPr>
          </w:p>
        </w:tc>
      </w:tr>
      <w:tr w14:paraId="4140C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6AA59830">
            <w:pPr>
              <w:jc w:val="center"/>
              <w:rPr>
                <w:rFonts w:ascii="宋体" w:hAnsi="宋体" w:cs="宋体"/>
                <w:sz w:val="24"/>
              </w:rPr>
            </w:pPr>
          </w:p>
        </w:tc>
        <w:tc>
          <w:tcPr>
            <w:tcW w:w="1265" w:type="dxa"/>
            <w:noWrap w:val="0"/>
            <w:vAlign w:val="center"/>
          </w:tcPr>
          <w:p w14:paraId="78EFBDE0">
            <w:pPr>
              <w:jc w:val="center"/>
              <w:rPr>
                <w:rFonts w:ascii="宋体" w:hAnsi="宋体" w:cs="宋体"/>
                <w:sz w:val="24"/>
              </w:rPr>
            </w:pPr>
          </w:p>
        </w:tc>
        <w:tc>
          <w:tcPr>
            <w:tcW w:w="992" w:type="dxa"/>
            <w:noWrap w:val="0"/>
            <w:vAlign w:val="center"/>
          </w:tcPr>
          <w:p w14:paraId="7FE1FB73">
            <w:pPr>
              <w:jc w:val="center"/>
              <w:rPr>
                <w:rFonts w:ascii="宋体" w:hAnsi="宋体" w:cs="宋体"/>
                <w:sz w:val="24"/>
              </w:rPr>
            </w:pPr>
          </w:p>
        </w:tc>
        <w:tc>
          <w:tcPr>
            <w:tcW w:w="1418" w:type="dxa"/>
            <w:noWrap w:val="0"/>
            <w:vAlign w:val="center"/>
          </w:tcPr>
          <w:p w14:paraId="0F3C8F44">
            <w:pPr>
              <w:jc w:val="center"/>
              <w:rPr>
                <w:rFonts w:ascii="宋体" w:hAnsi="宋体" w:cs="宋体"/>
                <w:sz w:val="24"/>
              </w:rPr>
            </w:pPr>
          </w:p>
        </w:tc>
        <w:tc>
          <w:tcPr>
            <w:tcW w:w="850" w:type="dxa"/>
            <w:noWrap w:val="0"/>
            <w:vAlign w:val="center"/>
          </w:tcPr>
          <w:p w14:paraId="43502E8D">
            <w:pPr>
              <w:jc w:val="center"/>
              <w:rPr>
                <w:rFonts w:ascii="宋体" w:hAnsi="宋体" w:cs="宋体"/>
                <w:sz w:val="24"/>
              </w:rPr>
            </w:pPr>
          </w:p>
        </w:tc>
        <w:tc>
          <w:tcPr>
            <w:tcW w:w="1134" w:type="dxa"/>
            <w:noWrap w:val="0"/>
            <w:vAlign w:val="center"/>
          </w:tcPr>
          <w:p w14:paraId="7AF0DC69">
            <w:pPr>
              <w:jc w:val="center"/>
              <w:rPr>
                <w:rFonts w:ascii="宋体" w:hAnsi="宋体" w:cs="宋体"/>
                <w:sz w:val="24"/>
              </w:rPr>
            </w:pPr>
          </w:p>
        </w:tc>
        <w:tc>
          <w:tcPr>
            <w:tcW w:w="851" w:type="dxa"/>
            <w:noWrap w:val="0"/>
            <w:vAlign w:val="center"/>
          </w:tcPr>
          <w:p w14:paraId="6C599740">
            <w:pPr>
              <w:jc w:val="center"/>
              <w:rPr>
                <w:rFonts w:ascii="宋体" w:hAnsi="宋体" w:cs="宋体"/>
                <w:sz w:val="24"/>
              </w:rPr>
            </w:pPr>
          </w:p>
        </w:tc>
        <w:tc>
          <w:tcPr>
            <w:tcW w:w="850" w:type="dxa"/>
            <w:noWrap w:val="0"/>
            <w:vAlign w:val="center"/>
          </w:tcPr>
          <w:p w14:paraId="50251798">
            <w:pPr>
              <w:jc w:val="center"/>
              <w:rPr>
                <w:rFonts w:ascii="宋体" w:hAnsi="宋体" w:cs="宋体"/>
                <w:sz w:val="24"/>
              </w:rPr>
            </w:pPr>
          </w:p>
        </w:tc>
        <w:tc>
          <w:tcPr>
            <w:tcW w:w="709" w:type="dxa"/>
            <w:vMerge w:val="continue"/>
            <w:noWrap w:val="0"/>
            <w:vAlign w:val="center"/>
          </w:tcPr>
          <w:p w14:paraId="30CA6D90">
            <w:pPr>
              <w:rPr>
                <w:rFonts w:ascii="宋体" w:hAnsi="宋体" w:cs="宋体"/>
                <w:sz w:val="24"/>
              </w:rPr>
            </w:pPr>
          </w:p>
        </w:tc>
      </w:tr>
      <w:tr w14:paraId="1BAAB1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0682A3A5">
            <w:pPr>
              <w:jc w:val="center"/>
              <w:rPr>
                <w:rFonts w:ascii="宋体" w:hAnsi="宋体" w:cs="宋体"/>
                <w:sz w:val="24"/>
              </w:rPr>
            </w:pPr>
          </w:p>
        </w:tc>
        <w:tc>
          <w:tcPr>
            <w:tcW w:w="1265" w:type="dxa"/>
            <w:noWrap w:val="0"/>
            <w:vAlign w:val="center"/>
          </w:tcPr>
          <w:p w14:paraId="64F32865">
            <w:pPr>
              <w:jc w:val="center"/>
              <w:rPr>
                <w:rFonts w:ascii="宋体" w:hAnsi="宋体" w:cs="宋体"/>
                <w:sz w:val="24"/>
              </w:rPr>
            </w:pPr>
          </w:p>
        </w:tc>
        <w:tc>
          <w:tcPr>
            <w:tcW w:w="992" w:type="dxa"/>
            <w:noWrap w:val="0"/>
            <w:vAlign w:val="center"/>
          </w:tcPr>
          <w:p w14:paraId="2941F1D7">
            <w:pPr>
              <w:jc w:val="center"/>
              <w:rPr>
                <w:rFonts w:ascii="宋体" w:hAnsi="宋体" w:cs="宋体"/>
                <w:sz w:val="24"/>
              </w:rPr>
            </w:pPr>
          </w:p>
        </w:tc>
        <w:tc>
          <w:tcPr>
            <w:tcW w:w="1418" w:type="dxa"/>
            <w:noWrap w:val="0"/>
            <w:vAlign w:val="center"/>
          </w:tcPr>
          <w:p w14:paraId="5DCBA593">
            <w:pPr>
              <w:jc w:val="center"/>
              <w:rPr>
                <w:rFonts w:ascii="宋体" w:hAnsi="宋体" w:cs="宋体"/>
                <w:sz w:val="24"/>
              </w:rPr>
            </w:pPr>
          </w:p>
        </w:tc>
        <w:tc>
          <w:tcPr>
            <w:tcW w:w="850" w:type="dxa"/>
            <w:noWrap w:val="0"/>
            <w:vAlign w:val="center"/>
          </w:tcPr>
          <w:p w14:paraId="3C7ACB13">
            <w:pPr>
              <w:jc w:val="center"/>
              <w:rPr>
                <w:rFonts w:ascii="宋体" w:hAnsi="宋体" w:cs="宋体"/>
                <w:sz w:val="24"/>
              </w:rPr>
            </w:pPr>
          </w:p>
        </w:tc>
        <w:tc>
          <w:tcPr>
            <w:tcW w:w="1134" w:type="dxa"/>
            <w:noWrap w:val="0"/>
            <w:vAlign w:val="center"/>
          </w:tcPr>
          <w:p w14:paraId="2F901BEC">
            <w:pPr>
              <w:jc w:val="center"/>
              <w:rPr>
                <w:rFonts w:ascii="宋体" w:hAnsi="宋体" w:cs="宋体"/>
                <w:sz w:val="24"/>
              </w:rPr>
            </w:pPr>
          </w:p>
        </w:tc>
        <w:tc>
          <w:tcPr>
            <w:tcW w:w="851" w:type="dxa"/>
            <w:noWrap w:val="0"/>
            <w:vAlign w:val="center"/>
          </w:tcPr>
          <w:p w14:paraId="1AFDDCAA">
            <w:pPr>
              <w:jc w:val="center"/>
              <w:rPr>
                <w:rFonts w:ascii="宋体" w:hAnsi="宋体" w:cs="宋体"/>
                <w:sz w:val="24"/>
              </w:rPr>
            </w:pPr>
          </w:p>
        </w:tc>
        <w:tc>
          <w:tcPr>
            <w:tcW w:w="850" w:type="dxa"/>
            <w:noWrap w:val="0"/>
            <w:vAlign w:val="center"/>
          </w:tcPr>
          <w:p w14:paraId="3C561028">
            <w:pPr>
              <w:jc w:val="center"/>
              <w:rPr>
                <w:rFonts w:ascii="宋体" w:hAnsi="宋体" w:cs="宋体"/>
                <w:sz w:val="24"/>
              </w:rPr>
            </w:pPr>
          </w:p>
        </w:tc>
        <w:tc>
          <w:tcPr>
            <w:tcW w:w="709" w:type="dxa"/>
            <w:vMerge w:val="continue"/>
            <w:noWrap w:val="0"/>
            <w:vAlign w:val="center"/>
          </w:tcPr>
          <w:p w14:paraId="6A9A8606">
            <w:pPr>
              <w:rPr>
                <w:rFonts w:ascii="宋体" w:hAnsi="宋体" w:cs="宋体"/>
                <w:sz w:val="24"/>
              </w:rPr>
            </w:pPr>
          </w:p>
        </w:tc>
      </w:tr>
      <w:tr w14:paraId="1EC7FC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3360300A">
            <w:pPr>
              <w:jc w:val="center"/>
              <w:rPr>
                <w:rFonts w:ascii="宋体" w:hAnsi="宋体" w:cs="宋体"/>
                <w:sz w:val="24"/>
              </w:rPr>
            </w:pPr>
          </w:p>
        </w:tc>
        <w:tc>
          <w:tcPr>
            <w:tcW w:w="1265" w:type="dxa"/>
            <w:noWrap w:val="0"/>
            <w:vAlign w:val="center"/>
          </w:tcPr>
          <w:p w14:paraId="3E9B301D">
            <w:pPr>
              <w:jc w:val="center"/>
              <w:rPr>
                <w:rFonts w:ascii="宋体" w:hAnsi="宋体" w:cs="宋体"/>
                <w:sz w:val="24"/>
              </w:rPr>
            </w:pPr>
          </w:p>
        </w:tc>
        <w:tc>
          <w:tcPr>
            <w:tcW w:w="992" w:type="dxa"/>
            <w:noWrap w:val="0"/>
            <w:vAlign w:val="center"/>
          </w:tcPr>
          <w:p w14:paraId="5220E165">
            <w:pPr>
              <w:jc w:val="center"/>
              <w:rPr>
                <w:rFonts w:ascii="宋体" w:hAnsi="宋体" w:cs="宋体"/>
                <w:sz w:val="24"/>
              </w:rPr>
            </w:pPr>
          </w:p>
        </w:tc>
        <w:tc>
          <w:tcPr>
            <w:tcW w:w="1418" w:type="dxa"/>
            <w:noWrap w:val="0"/>
            <w:vAlign w:val="center"/>
          </w:tcPr>
          <w:p w14:paraId="1209281B">
            <w:pPr>
              <w:jc w:val="center"/>
              <w:rPr>
                <w:rFonts w:ascii="宋体" w:hAnsi="宋体" w:cs="宋体"/>
                <w:sz w:val="24"/>
              </w:rPr>
            </w:pPr>
          </w:p>
        </w:tc>
        <w:tc>
          <w:tcPr>
            <w:tcW w:w="850" w:type="dxa"/>
            <w:noWrap w:val="0"/>
            <w:vAlign w:val="center"/>
          </w:tcPr>
          <w:p w14:paraId="7604726C">
            <w:pPr>
              <w:jc w:val="center"/>
              <w:rPr>
                <w:rFonts w:ascii="宋体" w:hAnsi="宋体" w:cs="宋体"/>
                <w:sz w:val="24"/>
              </w:rPr>
            </w:pPr>
          </w:p>
        </w:tc>
        <w:tc>
          <w:tcPr>
            <w:tcW w:w="1134" w:type="dxa"/>
            <w:noWrap w:val="0"/>
            <w:vAlign w:val="center"/>
          </w:tcPr>
          <w:p w14:paraId="6B280A9E">
            <w:pPr>
              <w:jc w:val="center"/>
              <w:rPr>
                <w:rFonts w:ascii="宋体" w:hAnsi="宋体" w:cs="宋体"/>
                <w:sz w:val="24"/>
              </w:rPr>
            </w:pPr>
          </w:p>
        </w:tc>
        <w:tc>
          <w:tcPr>
            <w:tcW w:w="851" w:type="dxa"/>
            <w:noWrap w:val="0"/>
            <w:vAlign w:val="center"/>
          </w:tcPr>
          <w:p w14:paraId="07E30BA0">
            <w:pPr>
              <w:jc w:val="center"/>
              <w:rPr>
                <w:rFonts w:ascii="宋体" w:hAnsi="宋体" w:cs="宋体"/>
                <w:sz w:val="24"/>
              </w:rPr>
            </w:pPr>
          </w:p>
        </w:tc>
        <w:tc>
          <w:tcPr>
            <w:tcW w:w="850" w:type="dxa"/>
            <w:noWrap w:val="0"/>
            <w:vAlign w:val="center"/>
          </w:tcPr>
          <w:p w14:paraId="71DD5163">
            <w:pPr>
              <w:jc w:val="center"/>
              <w:rPr>
                <w:rFonts w:ascii="宋体" w:hAnsi="宋体" w:cs="宋体"/>
                <w:sz w:val="24"/>
              </w:rPr>
            </w:pPr>
          </w:p>
        </w:tc>
        <w:tc>
          <w:tcPr>
            <w:tcW w:w="709" w:type="dxa"/>
            <w:vMerge w:val="continue"/>
            <w:noWrap w:val="0"/>
            <w:vAlign w:val="center"/>
          </w:tcPr>
          <w:p w14:paraId="23A4CB17">
            <w:pPr>
              <w:rPr>
                <w:rFonts w:ascii="宋体" w:hAnsi="宋体" w:cs="宋体"/>
                <w:sz w:val="24"/>
              </w:rPr>
            </w:pPr>
          </w:p>
        </w:tc>
      </w:tr>
      <w:tr w14:paraId="537ED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2B35AC28">
            <w:pPr>
              <w:jc w:val="center"/>
              <w:rPr>
                <w:rFonts w:ascii="宋体" w:hAnsi="宋体" w:cs="宋体"/>
                <w:sz w:val="24"/>
              </w:rPr>
            </w:pPr>
          </w:p>
        </w:tc>
        <w:tc>
          <w:tcPr>
            <w:tcW w:w="1265" w:type="dxa"/>
            <w:noWrap w:val="0"/>
            <w:vAlign w:val="center"/>
          </w:tcPr>
          <w:p w14:paraId="0DE90726">
            <w:pPr>
              <w:jc w:val="center"/>
              <w:rPr>
                <w:rFonts w:ascii="宋体" w:hAnsi="宋体" w:cs="宋体"/>
                <w:sz w:val="24"/>
              </w:rPr>
            </w:pPr>
          </w:p>
        </w:tc>
        <w:tc>
          <w:tcPr>
            <w:tcW w:w="992" w:type="dxa"/>
            <w:noWrap w:val="0"/>
            <w:vAlign w:val="center"/>
          </w:tcPr>
          <w:p w14:paraId="248F2BE9">
            <w:pPr>
              <w:jc w:val="center"/>
              <w:rPr>
                <w:rFonts w:ascii="宋体" w:hAnsi="宋体" w:cs="宋体"/>
                <w:sz w:val="24"/>
              </w:rPr>
            </w:pPr>
          </w:p>
        </w:tc>
        <w:tc>
          <w:tcPr>
            <w:tcW w:w="1418" w:type="dxa"/>
            <w:noWrap w:val="0"/>
            <w:vAlign w:val="center"/>
          </w:tcPr>
          <w:p w14:paraId="741733A8">
            <w:pPr>
              <w:jc w:val="center"/>
              <w:rPr>
                <w:rFonts w:ascii="宋体" w:hAnsi="宋体" w:cs="宋体"/>
                <w:sz w:val="24"/>
              </w:rPr>
            </w:pPr>
          </w:p>
        </w:tc>
        <w:tc>
          <w:tcPr>
            <w:tcW w:w="850" w:type="dxa"/>
            <w:noWrap w:val="0"/>
            <w:vAlign w:val="center"/>
          </w:tcPr>
          <w:p w14:paraId="0ACA6D0E">
            <w:pPr>
              <w:jc w:val="center"/>
              <w:rPr>
                <w:rFonts w:ascii="宋体" w:hAnsi="宋体" w:cs="宋体"/>
                <w:sz w:val="24"/>
              </w:rPr>
            </w:pPr>
          </w:p>
        </w:tc>
        <w:tc>
          <w:tcPr>
            <w:tcW w:w="1134" w:type="dxa"/>
            <w:noWrap w:val="0"/>
            <w:vAlign w:val="center"/>
          </w:tcPr>
          <w:p w14:paraId="1A596E0D">
            <w:pPr>
              <w:jc w:val="center"/>
              <w:rPr>
                <w:rFonts w:ascii="宋体" w:hAnsi="宋体" w:cs="宋体"/>
                <w:sz w:val="24"/>
              </w:rPr>
            </w:pPr>
          </w:p>
        </w:tc>
        <w:tc>
          <w:tcPr>
            <w:tcW w:w="851" w:type="dxa"/>
            <w:noWrap w:val="0"/>
            <w:vAlign w:val="center"/>
          </w:tcPr>
          <w:p w14:paraId="0D21E8CF">
            <w:pPr>
              <w:jc w:val="center"/>
              <w:rPr>
                <w:rFonts w:ascii="宋体" w:hAnsi="宋体" w:cs="宋体"/>
                <w:sz w:val="24"/>
              </w:rPr>
            </w:pPr>
          </w:p>
        </w:tc>
        <w:tc>
          <w:tcPr>
            <w:tcW w:w="850" w:type="dxa"/>
            <w:noWrap w:val="0"/>
            <w:vAlign w:val="center"/>
          </w:tcPr>
          <w:p w14:paraId="7FC5DA71">
            <w:pPr>
              <w:jc w:val="center"/>
              <w:rPr>
                <w:rFonts w:ascii="宋体" w:hAnsi="宋体" w:cs="宋体"/>
                <w:sz w:val="24"/>
              </w:rPr>
            </w:pPr>
          </w:p>
        </w:tc>
        <w:tc>
          <w:tcPr>
            <w:tcW w:w="709" w:type="dxa"/>
            <w:vMerge w:val="continue"/>
            <w:noWrap w:val="0"/>
            <w:vAlign w:val="center"/>
          </w:tcPr>
          <w:p w14:paraId="6986E8E4">
            <w:pPr>
              <w:rPr>
                <w:rFonts w:ascii="宋体" w:hAnsi="宋体" w:cs="宋体"/>
                <w:sz w:val="24"/>
              </w:rPr>
            </w:pPr>
          </w:p>
        </w:tc>
      </w:tr>
      <w:tr w14:paraId="256DDC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4322E420">
            <w:pPr>
              <w:jc w:val="center"/>
              <w:rPr>
                <w:rFonts w:ascii="宋体" w:hAnsi="宋体" w:cs="宋体"/>
                <w:sz w:val="24"/>
              </w:rPr>
            </w:pPr>
          </w:p>
        </w:tc>
        <w:tc>
          <w:tcPr>
            <w:tcW w:w="1265" w:type="dxa"/>
            <w:noWrap w:val="0"/>
            <w:vAlign w:val="center"/>
          </w:tcPr>
          <w:p w14:paraId="7CBC2C00">
            <w:pPr>
              <w:jc w:val="center"/>
              <w:rPr>
                <w:rFonts w:ascii="宋体" w:hAnsi="宋体" w:cs="宋体"/>
                <w:sz w:val="24"/>
              </w:rPr>
            </w:pPr>
          </w:p>
        </w:tc>
        <w:tc>
          <w:tcPr>
            <w:tcW w:w="992" w:type="dxa"/>
            <w:noWrap w:val="0"/>
            <w:vAlign w:val="center"/>
          </w:tcPr>
          <w:p w14:paraId="5CBA1667">
            <w:pPr>
              <w:jc w:val="center"/>
              <w:rPr>
                <w:rFonts w:ascii="宋体" w:hAnsi="宋体" w:cs="宋体"/>
                <w:sz w:val="24"/>
              </w:rPr>
            </w:pPr>
          </w:p>
        </w:tc>
        <w:tc>
          <w:tcPr>
            <w:tcW w:w="1418" w:type="dxa"/>
            <w:noWrap w:val="0"/>
            <w:vAlign w:val="center"/>
          </w:tcPr>
          <w:p w14:paraId="321856DE">
            <w:pPr>
              <w:jc w:val="center"/>
              <w:rPr>
                <w:rFonts w:ascii="宋体" w:hAnsi="宋体" w:cs="宋体"/>
                <w:sz w:val="24"/>
              </w:rPr>
            </w:pPr>
          </w:p>
        </w:tc>
        <w:tc>
          <w:tcPr>
            <w:tcW w:w="850" w:type="dxa"/>
            <w:noWrap w:val="0"/>
            <w:vAlign w:val="center"/>
          </w:tcPr>
          <w:p w14:paraId="250AEDB3">
            <w:pPr>
              <w:jc w:val="center"/>
              <w:rPr>
                <w:rFonts w:ascii="宋体" w:hAnsi="宋体" w:cs="宋体"/>
                <w:sz w:val="24"/>
              </w:rPr>
            </w:pPr>
          </w:p>
        </w:tc>
        <w:tc>
          <w:tcPr>
            <w:tcW w:w="1134" w:type="dxa"/>
            <w:noWrap w:val="0"/>
            <w:vAlign w:val="center"/>
          </w:tcPr>
          <w:p w14:paraId="22E0A8A5">
            <w:pPr>
              <w:jc w:val="center"/>
              <w:rPr>
                <w:rFonts w:ascii="宋体" w:hAnsi="宋体" w:cs="宋体"/>
                <w:sz w:val="24"/>
              </w:rPr>
            </w:pPr>
          </w:p>
        </w:tc>
        <w:tc>
          <w:tcPr>
            <w:tcW w:w="851" w:type="dxa"/>
            <w:noWrap w:val="0"/>
            <w:vAlign w:val="center"/>
          </w:tcPr>
          <w:p w14:paraId="6D0FADF6">
            <w:pPr>
              <w:jc w:val="center"/>
              <w:rPr>
                <w:rFonts w:ascii="宋体" w:hAnsi="宋体" w:cs="宋体"/>
                <w:sz w:val="24"/>
              </w:rPr>
            </w:pPr>
          </w:p>
        </w:tc>
        <w:tc>
          <w:tcPr>
            <w:tcW w:w="850" w:type="dxa"/>
            <w:noWrap w:val="0"/>
            <w:vAlign w:val="center"/>
          </w:tcPr>
          <w:p w14:paraId="366B5F6E">
            <w:pPr>
              <w:jc w:val="center"/>
              <w:rPr>
                <w:rFonts w:ascii="宋体" w:hAnsi="宋体" w:cs="宋体"/>
                <w:sz w:val="24"/>
              </w:rPr>
            </w:pPr>
          </w:p>
        </w:tc>
        <w:tc>
          <w:tcPr>
            <w:tcW w:w="709" w:type="dxa"/>
            <w:vMerge w:val="continue"/>
            <w:noWrap w:val="0"/>
            <w:vAlign w:val="center"/>
          </w:tcPr>
          <w:p w14:paraId="35749D9A">
            <w:pPr>
              <w:rPr>
                <w:rFonts w:ascii="宋体" w:hAnsi="宋体" w:cs="宋体"/>
                <w:sz w:val="24"/>
              </w:rPr>
            </w:pPr>
          </w:p>
        </w:tc>
      </w:tr>
      <w:tr w14:paraId="10ACB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36D094B4">
            <w:pPr>
              <w:jc w:val="center"/>
              <w:rPr>
                <w:rFonts w:ascii="宋体" w:hAnsi="宋体" w:cs="宋体"/>
                <w:sz w:val="24"/>
              </w:rPr>
            </w:pPr>
          </w:p>
        </w:tc>
        <w:tc>
          <w:tcPr>
            <w:tcW w:w="1265" w:type="dxa"/>
            <w:noWrap w:val="0"/>
            <w:vAlign w:val="center"/>
          </w:tcPr>
          <w:p w14:paraId="5EDE48D7">
            <w:pPr>
              <w:jc w:val="center"/>
              <w:rPr>
                <w:rFonts w:ascii="宋体" w:hAnsi="宋体" w:cs="宋体"/>
                <w:sz w:val="24"/>
              </w:rPr>
            </w:pPr>
          </w:p>
        </w:tc>
        <w:tc>
          <w:tcPr>
            <w:tcW w:w="992" w:type="dxa"/>
            <w:noWrap w:val="0"/>
            <w:vAlign w:val="center"/>
          </w:tcPr>
          <w:p w14:paraId="00ACBE50">
            <w:pPr>
              <w:jc w:val="center"/>
              <w:rPr>
                <w:rFonts w:ascii="宋体" w:hAnsi="宋体" w:cs="宋体"/>
                <w:sz w:val="24"/>
              </w:rPr>
            </w:pPr>
          </w:p>
        </w:tc>
        <w:tc>
          <w:tcPr>
            <w:tcW w:w="1418" w:type="dxa"/>
            <w:noWrap w:val="0"/>
            <w:vAlign w:val="center"/>
          </w:tcPr>
          <w:p w14:paraId="046FF987">
            <w:pPr>
              <w:jc w:val="center"/>
              <w:rPr>
                <w:rFonts w:ascii="宋体" w:hAnsi="宋体" w:cs="宋体"/>
                <w:sz w:val="24"/>
              </w:rPr>
            </w:pPr>
          </w:p>
        </w:tc>
        <w:tc>
          <w:tcPr>
            <w:tcW w:w="850" w:type="dxa"/>
            <w:noWrap w:val="0"/>
            <w:vAlign w:val="center"/>
          </w:tcPr>
          <w:p w14:paraId="38B7B071">
            <w:pPr>
              <w:jc w:val="center"/>
              <w:rPr>
                <w:rFonts w:ascii="宋体" w:hAnsi="宋体" w:cs="宋体"/>
                <w:sz w:val="24"/>
              </w:rPr>
            </w:pPr>
          </w:p>
        </w:tc>
        <w:tc>
          <w:tcPr>
            <w:tcW w:w="1134" w:type="dxa"/>
            <w:noWrap w:val="0"/>
            <w:vAlign w:val="center"/>
          </w:tcPr>
          <w:p w14:paraId="5AFC71CD">
            <w:pPr>
              <w:jc w:val="center"/>
              <w:rPr>
                <w:rFonts w:ascii="宋体" w:hAnsi="宋体" w:cs="宋体"/>
                <w:sz w:val="24"/>
              </w:rPr>
            </w:pPr>
          </w:p>
        </w:tc>
        <w:tc>
          <w:tcPr>
            <w:tcW w:w="851" w:type="dxa"/>
            <w:noWrap w:val="0"/>
            <w:vAlign w:val="center"/>
          </w:tcPr>
          <w:p w14:paraId="54D6A26F">
            <w:pPr>
              <w:jc w:val="center"/>
              <w:rPr>
                <w:rFonts w:ascii="宋体" w:hAnsi="宋体" w:cs="宋体"/>
                <w:sz w:val="24"/>
              </w:rPr>
            </w:pPr>
          </w:p>
        </w:tc>
        <w:tc>
          <w:tcPr>
            <w:tcW w:w="850" w:type="dxa"/>
            <w:noWrap w:val="0"/>
            <w:vAlign w:val="center"/>
          </w:tcPr>
          <w:p w14:paraId="3D1F4051">
            <w:pPr>
              <w:jc w:val="center"/>
              <w:rPr>
                <w:rFonts w:ascii="宋体" w:hAnsi="宋体" w:cs="宋体"/>
                <w:sz w:val="24"/>
              </w:rPr>
            </w:pPr>
          </w:p>
        </w:tc>
        <w:tc>
          <w:tcPr>
            <w:tcW w:w="709" w:type="dxa"/>
            <w:vMerge w:val="continue"/>
            <w:noWrap w:val="0"/>
            <w:vAlign w:val="center"/>
          </w:tcPr>
          <w:p w14:paraId="4E3B4C90">
            <w:pPr>
              <w:rPr>
                <w:rFonts w:ascii="宋体" w:hAnsi="宋体" w:cs="宋体"/>
                <w:sz w:val="24"/>
              </w:rPr>
            </w:pPr>
          </w:p>
        </w:tc>
      </w:tr>
      <w:tr w14:paraId="091407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3714320A">
            <w:pPr>
              <w:jc w:val="center"/>
              <w:rPr>
                <w:rFonts w:ascii="宋体" w:hAnsi="宋体" w:cs="宋体"/>
                <w:sz w:val="24"/>
              </w:rPr>
            </w:pPr>
          </w:p>
        </w:tc>
        <w:tc>
          <w:tcPr>
            <w:tcW w:w="1265" w:type="dxa"/>
            <w:noWrap w:val="0"/>
            <w:vAlign w:val="center"/>
          </w:tcPr>
          <w:p w14:paraId="74D92FCE">
            <w:pPr>
              <w:jc w:val="center"/>
              <w:rPr>
                <w:rFonts w:ascii="宋体" w:hAnsi="宋体" w:cs="宋体"/>
                <w:sz w:val="24"/>
              </w:rPr>
            </w:pPr>
          </w:p>
        </w:tc>
        <w:tc>
          <w:tcPr>
            <w:tcW w:w="992" w:type="dxa"/>
            <w:noWrap w:val="0"/>
            <w:vAlign w:val="center"/>
          </w:tcPr>
          <w:p w14:paraId="17333837">
            <w:pPr>
              <w:jc w:val="center"/>
              <w:rPr>
                <w:rFonts w:ascii="宋体" w:hAnsi="宋体" w:cs="宋体"/>
                <w:sz w:val="24"/>
              </w:rPr>
            </w:pPr>
          </w:p>
        </w:tc>
        <w:tc>
          <w:tcPr>
            <w:tcW w:w="1418" w:type="dxa"/>
            <w:noWrap w:val="0"/>
            <w:vAlign w:val="center"/>
          </w:tcPr>
          <w:p w14:paraId="315A9309">
            <w:pPr>
              <w:jc w:val="center"/>
              <w:rPr>
                <w:rFonts w:ascii="宋体" w:hAnsi="宋体" w:cs="宋体"/>
                <w:sz w:val="24"/>
              </w:rPr>
            </w:pPr>
          </w:p>
        </w:tc>
        <w:tc>
          <w:tcPr>
            <w:tcW w:w="850" w:type="dxa"/>
            <w:noWrap w:val="0"/>
            <w:vAlign w:val="center"/>
          </w:tcPr>
          <w:p w14:paraId="26D277ED">
            <w:pPr>
              <w:jc w:val="center"/>
              <w:rPr>
                <w:rFonts w:ascii="宋体" w:hAnsi="宋体" w:cs="宋体"/>
                <w:sz w:val="24"/>
              </w:rPr>
            </w:pPr>
          </w:p>
        </w:tc>
        <w:tc>
          <w:tcPr>
            <w:tcW w:w="1134" w:type="dxa"/>
            <w:noWrap w:val="0"/>
            <w:vAlign w:val="center"/>
          </w:tcPr>
          <w:p w14:paraId="2B2D351B">
            <w:pPr>
              <w:jc w:val="center"/>
              <w:rPr>
                <w:rFonts w:ascii="宋体" w:hAnsi="宋体" w:cs="宋体"/>
                <w:sz w:val="24"/>
              </w:rPr>
            </w:pPr>
          </w:p>
        </w:tc>
        <w:tc>
          <w:tcPr>
            <w:tcW w:w="851" w:type="dxa"/>
            <w:noWrap w:val="0"/>
            <w:vAlign w:val="center"/>
          </w:tcPr>
          <w:p w14:paraId="3A1B0B52">
            <w:pPr>
              <w:jc w:val="center"/>
              <w:rPr>
                <w:rFonts w:ascii="宋体" w:hAnsi="宋体" w:cs="宋体"/>
                <w:sz w:val="24"/>
              </w:rPr>
            </w:pPr>
          </w:p>
        </w:tc>
        <w:tc>
          <w:tcPr>
            <w:tcW w:w="850" w:type="dxa"/>
            <w:noWrap w:val="0"/>
            <w:vAlign w:val="center"/>
          </w:tcPr>
          <w:p w14:paraId="65057A78">
            <w:pPr>
              <w:jc w:val="center"/>
              <w:rPr>
                <w:rFonts w:ascii="宋体" w:hAnsi="宋体" w:cs="宋体"/>
                <w:sz w:val="24"/>
              </w:rPr>
            </w:pPr>
          </w:p>
        </w:tc>
        <w:tc>
          <w:tcPr>
            <w:tcW w:w="709" w:type="dxa"/>
            <w:vMerge w:val="continue"/>
            <w:noWrap w:val="0"/>
            <w:vAlign w:val="center"/>
          </w:tcPr>
          <w:p w14:paraId="187A410B">
            <w:pPr>
              <w:rPr>
                <w:rFonts w:ascii="宋体" w:hAnsi="宋体" w:cs="宋体"/>
                <w:sz w:val="24"/>
              </w:rPr>
            </w:pPr>
          </w:p>
        </w:tc>
      </w:tr>
      <w:tr w14:paraId="11DC0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14:paraId="322DB4EE">
            <w:pPr>
              <w:jc w:val="center"/>
              <w:rPr>
                <w:rFonts w:ascii="宋体" w:hAnsi="宋体" w:cs="宋体"/>
                <w:b/>
                <w:sz w:val="24"/>
              </w:rPr>
            </w:pPr>
            <w:r>
              <w:rPr>
                <w:rFonts w:hint="eastAsia" w:ascii="宋体" w:hAnsi="宋体" w:cs="宋体"/>
                <w:b/>
                <w:sz w:val="24"/>
              </w:rPr>
              <w:t>合计</w:t>
            </w:r>
          </w:p>
        </w:tc>
        <w:tc>
          <w:tcPr>
            <w:tcW w:w="1265" w:type="dxa"/>
            <w:noWrap w:val="0"/>
            <w:vAlign w:val="center"/>
          </w:tcPr>
          <w:p w14:paraId="50A6CFB2">
            <w:pPr>
              <w:jc w:val="center"/>
              <w:rPr>
                <w:rFonts w:ascii="宋体" w:hAnsi="宋体" w:cs="宋体"/>
                <w:b/>
                <w:sz w:val="24"/>
              </w:rPr>
            </w:pPr>
          </w:p>
        </w:tc>
        <w:tc>
          <w:tcPr>
            <w:tcW w:w="992" w:type="dxa"/>
            <w:noWrap w:val="0"/>
            <w:vAlign w:val="center"/>
          </w:tcPr>
          <w:p w14:paraId="66962CF9">
            <w:pPr>
              <w:jc w:val="center"/>
              <w:rPr>
                <w:rFonts w:ascii="宋体" w:hAnsi="宋体" w:cs="宋体"/>
                <w:b/>
                <w:sz w:val="24"/>
              </w:rPr>
            </w:pPr>
          </w:p>
        </w:tc>
        <w:tc>
          <w:tcPr>
            <w:tcW w:w="1418" w:type="dxa"/>
            <w:noWrap w:val="0"/>
            <w:vAlign w:val="center"/>
          </w:tcPr>
          <w:p w14:paraId="0520244A">
            <w:pPr>
              <w:jc w:val="center"/>
              <w:rPr>
                <w:rFonts w:ascii="宋体" w:hAnsi="宋体" w:cs="宋体"/>
                <w:b/>
                <w:sz w:val="24"/>
              </w:rPr>
            </w:pPr>
          </w:p>
        </w:tc>
        <w:tc>
          <w:tcPr>
            <w:tcW w:w="850" w:type="dxa"/>
            <w:noWrap w:val="0"/>
            <w:vAlign w:val="center"/>
          </w:tcPr>
          <w:p w14:paraId="32F003ED">
            <w:pPr>
              <w:jc w:val="center"/>
              <w:rPr>
                <w:rFonts w:ascii="宋体" w:hAnsi="宋体" w:cs="宋体"/>
                <w:b/>
                <w:sz w:val="24"/>
              </w:rPr>
            </w:pPr>
          </w:p>
        </w:tc>
        <w:tc>
          <w:tcPr>
            <w:tcW w:w="1134" w:type="dxa"/>
            <w:noWrap w:val="0"/>
            <w:vAlign w:val="center"/>
          </w:tcPr>
          <w:p w14:paraId="78210957">
            <w:pPr>
              <w:jc w:val="center"/>
              <w:rPr>
                <w:rFonts w:ascii="宋体" w:hAnsi="宋体" w:cs="宋体"/>
                <w:b/>
                <w:sz w:val="24"/>
              </w:rPr>
            </w:pPr>
          </w:p>
        </w:tc>
        <w:tc>
          <w:tcPr>
            <w:tcW w:w="851" w:type="dxa"/>
            <w:noWrap w:val="0"/>
            <w:vAlign w:val="center"/>
          </w:tcPr>
          <w:p w14:paraId="45CCAA97">
            <w:pPr>
              <w:jc w:val="center"/>
              <w:rPr>
                <w:rFonts w:ascii="宋体" w:hAnsi="宋体" w:cs="宋体"/>
                <w:b/>
                <w:sz w:val="24"/>
              </w:rPr>
            </w:pPr>
          </w:p>
        </w:tc>
        <w:tc>
          <w:tcPr>
            <w:tcW w:w="850" w:type="dxa"/>
            <w:noWrap w:val="0"/>
            <w:vAlign w:val="center"/>
          </w:tcPr>
          <w:p w14:paraId="6CF4D185">
            <w:pPr>
              <w:jc w:val="center"/>
              <w:rPr>
                <w:rFonts w:ascii="宋体" w:hAnsi="宋体" w:cs="宋体"/>
                <w:b/>
                <w:sz w:val="24"/>
              </w:rPr>
            </w:pPr>
          </w:p>
        </w:tc>
        <w:tc>
          <w:tcPr>
            <w:tcW w:w="709" w:type="dxa"/>
            <w:vMerge w:val="continue"/>
            <w:noWrap w:val="0"/>
            <w:vAlign w:val="center"/>
          </w:tcPr>
          <w:p w14:paraId="24370CB5">
            <w:pPr>
              <w:jc w:val="center"/>
              <w:rPr>
                <w:rFonts w:ascii="宋体" w:hAnsi="宋体" w:cs="宋体"/>
                <w:b/>
                <w:sz w:val="24"/>
              </w:rPr>
            </w:pPr>
          </w:p>
        </w:tc>
      </w:tr>
    </w:tbl>
    <w:p w14:paraId="1B766FCB">
      <w:pPr>
        <w:rPr>
          <w:rFonts w:ascii="宋体" w:hAnsi="宋体" w:cs="宋体"/>
          <w:sz w:val="24"/>
        </w:rPr>
      </w:pPr>
      <w:r>
        <w:rPr>
          <w:rFonts w:hint="eastAsia" w:ascii="宋体" w:hAnsi="宋体" w:cs="宋体"/>
          <w:sz w:val="24"/>
        </w:rPr>
        <w:t xml:space="preserve">      </w:t>
      </w:r>
    </w:p>
    <w:p w14:paraId="06655E7E">
      <w:pPr>
        <w:spacing w:line="560" w:lineRule="exact"/>
        <w:jc w:val="left"/>
        <w:rPr>
          <w:rFonts w:ascii="宋体" w:hAnsi="宋体" w:cs="宋体"/>
          <w:sz w:val="24"/>
        </w:rPr>
      </w:pPr>
      <w:r>
        <w:rPr>
          <w:rFonts w:hint="eastAsia" w:ascii="宋体" w:hAnsi="宋体" w:cs="宋体"/>
          <w:sz w:val="24"/>
        </w:rPr>
        <w:t>注：本表应清楚地标明供应商拟提供货物的名称、型号、数量、单价（含响应产品所产生的采购、运输、人工、安装、售后、税费等）、总价等内容，其合计价格应与响应一览表中的总报价一致。</w:t>
      </w:r>
      <w:bookmarkStart w:id="58" w:name="_Toc18671567"/>
    </w:p>
    <w:bookmarkEnd w:id="58"/>
    <w:p w14:paraId="41F6626F">
      <w:pPr>
        <w:rPr>
          <w:rFonts w:asciiTheme="minorEastAsia" w:hAnsiTheme="minorEastAsia" w:eastAsiaTheme="minorEastAsia" w:cstheme="minorEastAsia"/>
          <w:sz w:val="24"/>
        </w:rPr>
      </w:pPr>
    </w:p>
    <w:p w14:paraId="3A9EBD77">
      <w:pPr>
        <w:pStyle w:val="5"/>
        <w:spacing w:before="156" w:beforeLines="50" w:after="156" w:afterLines="50" w:line="560" w:lineRule="exact"/>
        <w:jc w:val="center"/>
        <w:rPr>
          <w:rFonts w:asciiTheme="minorEastAsia" w:hAnsiTheme="minorEastAsia" w:eastAsiaTheme="minorEastAsia" w:cstheme="minorEastAsia"/>
          <w:sz w:val="24"/>
          <w:szCs w:val="24"/>
        </w:rPr>
      </w:pPr>
    </w:p>
    <w:p w14:paraId="79CA8437"/>
    <w:p w14:paraId="41DF2F8B">
      <w:pPr>
        <w:pStyle w:val="5"/>
        <w:suppressLineNumbers/>
        <w:spacing w:before="156" w:beforeLines="50" w:after="156" w:afterLines="50" w:line="560" w:lineRule="exact"/>
        <w:rPr>
          <w:rFonts w:ascii="Times New Roman" w:hAnsi="Times New Roman" w:eastAsia="宋体"/>
          <w:b w:val="0"/>
          <w:bCs w:val="0"/>
          <w:sz w:val="21"/>
          <w:szCs w:val="24"/>
        </w:rPr>
      </w:pPr>
    </w:p>
    <w:p w14:paraId="0AFA0148"/>
    <w:p w14:paraId="0EA44E4A">
      <w:pPr>
        <w:rPr>
          <w:rFonts w:ascii="宋体" w:hAnsi="宋体" w:cs="宋体"/>
          <w:sz w:val="24"/>
        </w:rPr>
      </w:pPr>
      <w:r>
        <w:rPr>
          <w:rFonts w:hint="eastAsia" w:ascii="宋体" w:hAnsi="宋体" w:cs="宋体"/>
          <w:sz w:val="24"/>
        </w:rPr>
        <w:br w:type="page"/>
      </w:r>
    </w:p>
    <w:p w14:paraId="316E9D24">
      <w:pPr>
        <w:pStyle w:val="5"/>
        <w:spacing w:before="156" w:beforeLines="50" w:after="156" w:afterLines="50" w:line="560" w:lineRule="exact"/>
        <w:jc w:val="center"/>
        <w:rPr>
          <w:rFonts w:ascii="宋体" w:hAnsi="宋体" w:eastAsia="宋体" w:cs="宋体"/>
          <w:sz w:val="24"/>
          <w:szCs w:val="24"/>
        </w:rPr>
      </w:pPr>
      <w:bookmarkStart w:id="59" w:name="_Toc27766"/>
      <w:r>
        <w:rPr>
          <w:rFonts w:hint="eastAsia" w:ascii="宋体" w:hAnsi="宋体" w:eastAsia="宋体" w:cs="宋体"/>
          <w:sz w:val="24"/>
          <w:szCs w:val="24"/>
        </w:rPr>
        <w:t>六、</w:t>
      </w:r>
      <w:bookmarkEnd w:id="54"/>
      <w:bookmarkEnd w:id="59"/>
      <w:bookmarkStart w:id="60" w:name="_Toc18671569"/>
      <w:r>
        <w:rPr>
          <w:rFonts w:hint="eastAsia" w:ascii="宋体" w:hAnsi="宋体" w:eastAsia="宋体" w:cs="宋体"/>
          <w:sz w:val="24"/>
          <w:szCs w:val="24"/>
        </w:rPr>
        <w:t>技术要求响应情况表</w:t>
      </w:r>
    </w:p>
    <w:p w14:paraId="7A6515A2">
      <w:pPr>
        <w:rPr>
          <w:rFonts w:asciiTheme="minorEastAsia" w:hAnsiTheme="minorEastAsia" w:eastAsiaTheme="minorEastAsia" w:cstheme="minorEastAsia"/>
          <w:sz w:val="24"/>
        </w:rPr>
      </w:pPr>
    </w:p>
    <w:tbl>
      <w:tblPr>
        <w:tblStyle w:val="16"/>
        <w:tblW w:w="88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4"/>
        <w:gridCol w:w="1455"/>
        <w:gridCol w:w="992"/>
        <w:gridCol w:w="1562"/>
        <w:gridCol w:w="1718"/>
        <w:gridCol w:w="1256"/>
      </w:tblGrid>
      <w:tr w14:paraId="6BCD52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00" w:type="dxa"/>
            <w:vMerge w:val="restart"/>
            <w:noWrap w:val="0"/>
            <w:vAlign w:val="center"/>
          </w:tcPr>
          <w:p w14:paraId="0D58F747">
            <w:pPr>
              <w:jc w:val="center"/>
              <w:rPr>
                <w:rFonts w:ascii="宋体" w:hAnsi="宋体" w:cs="宋体"/>
                <w:b/>
                <w:bCs/>
                <w:sz w:val="24"/>
              </w:rPr>
            </w:pPr>
            <w:r>
              <w:rPr>
                <w:rFonts w:hint="eastAsia" w:ascii="宋体" w:hAnsi="宋体" w:cs="宋体"/>
                <w:b/>
                <w:bCs/>
                <w:sz w:val="24"/>
              </w:rPr>
              <w:t>序号</w:t>
            </w:r>
          </w:p>
        </w:tc>
        <w:tc>
          <w:tcPr>
            <w:tcW w:w="1214" w:type="dxa"/>
            <w:vMerge w:val="restart"/>
            <w:noWrap w:val="0"/>
            <w:vAlign w:val="center"/>
          </w:tcPr>
          <w:p w14:paraId="0C87BE6D">
            <w:pPr>
              <w:jc w:val="center"/>
              <w:rPr>
                <w:rFonts w:ascii="宋体" w:hAnsi="宋体" w:cs="宋体"/>
                <w:b/>
                <w:bCs/>
                <w:sz w:val="24"/>
              </w:rPr>
            </w:pPr>
            <w:r>
              <w:rPr>
                <w:rFonts w:hint="eastAsia" w:ascii="宋体" w:hAnsi="宋体" w:cs="宋体"/>
                <w:b/>
                <w:bCs/>
                <w:sz w:val="24"/>
              </w:rPr>
              <w:t>货物名称</w:t>
            </w:r>
          </w:p>
        </w:tc>
        <w:tc>
          <w:tcPr>
            <w:tcW w:w="1455" w:type="dxa"/>
            <w:vMerge w:val="restart"/>
            <w:noWrap w:val="0"/>
            <w:vAlign w:val="center"/>
          </w:tcPr>
          <w:p w14:paraId="4234363F">
            <w:pPr>
              <w:jc w:val="center"/>
              <w:rPr>
                <w:rFonts w:ascii="宋体" w:hAnsi="宋体" w:cs="宋体"/>
                <w:b/>
                <w:bCs/>
                <w:sz w:val="24"/>
              </w:rPr>
            </w:pPr>
            <w:r>
              <w:rPr>
                <w:rFonts w:hint="eastAsia" w:ascii="宋体" w:hAnsi="宋体" w:cs="宋体"/>
                <w:b/>
                <w:bCs/>
                <w:sz w:val="24"/>
              </w:rPr>
              <w:t>品牌及型号</w:t>
            </w:r>
          </w:p>
        </w:tc>
        <w:tc>
          <w:tcPr>
            <w:tcW w:w="992" w:type="dxa"/>
            <w:vMerge w:val="restart"/>
            <w:noWrap w:val="0"/>
            <w:vAlign w:val="center"/>
          </w:tcPr>
          <w:p w14:paraId="29B5D6EF">
            <w:pPr>
              <w:jc w:val="center"/>
              <w:rPr>
                <w:rFonts w:ascii="宋体" w:hAnsi="宋体" w:cs="宋体"/>
                <w:b/>
                <w:bCs/>
                <w:sz w:val="24"/>
              </w:rPr>
            </w:pPr>
            <w:r>
              <w:rPr>
                <w:rFonts w:hint="eastAsia" w:ascii="宋体" w:hAnsi="宋体" w:cs="宋体"/>
                <w:b/>
                <w:bCs/>
                <w:sz w:val="24"/>
              </w:rPr>
              <w:t>数量</w:t>
            </w:r>
          </w:p>
        </w:tc>
        <w:tc>
          <w:tcPr>
            <w:tcW w:w="1562" w:type="dxa"/>
            <w:noWrap w:val="0"/>
            <w:vAlign w:val="center"/>
          </w:tcPr>
          <w:p w14:paraId="7ED14AA4">
            <w:pPr>
              <w:jc w:val="center"/>
              <w:rPr>
                <w:rFonts w:ascii="宋体" w:hAnsi="宋体" w:cs="宋体"/>
                <w:b/>
                <w:bCs/>
                <w:sz w:val="24"/>
              </w:rPr>
            </w:pPr>
            <w:r>
              <w:rPr>
                <w:rFonts w:hint="eastAsia" w:ascii="宋体" w:hAnsi="宋体" w:cs="宋体"/>
                <w:b/>
                <w:bCs/>
                <w:sz w:val="24"/>
              </w:rPr>
              <w:t>单一来源文件要求</w:t>
            </w:r>
          </w:p>
        </w:tc>
        <w:tc>
          <w:tcPr>
            <w:tcW w:w="1718" w:type="dxa"/>
            <w:noWrap w:val="0"/>
            <w:vAlign w:val="center"/>
          </w:tcPr>
          <w:p w14:paraId="2CCA8587">
            <w:pPr>
              <w:jc w:val="center"/>
              <w:rPr>
                <w:rFonts w:ascii="宋体" w:hAnsi="宋体" w:cs="宋体"/>
                <w:b/>
                <w:bCs/>
                <w:sz w:val="24"/>
              </w:rPr>
            </w:pPr>
            <w:r>
              <w:rPr>
                <w:rFonts w:hint="eastAsia" w:ascii="宋体" w:hAnsi="宋体" w:cs="宋体"/>
                <w:b/>
                <w:bCs/>
                <w:sz w:val="24"/>
              </w:rPr>
              <w:t>供应商填写</w:t>
            </w:r>
          </w:p>
        </w:tc>
        <w:tc>
          <w:tcPr>
            <w:tcW w:w="1256" w:type="dxa"/>
            <w:vMerge w:val="restart"/>
            <w:noWrap w:val="0"/>
            <w:vAlign w:val="center"/>
          </w:tcPr>
          <w:p w14:paraId="13C25958">
            <w:pPr>
              <w:jc w:val="center"/>
              <w:rPr>
                <w:rFonts w:ascii="宋体" w:hAnsi="宋体" w:cs="宋体"/>
                <w:b/>
                <w:bCs/>
                <w:sz w:val="24"/>
              </w:rPr>
            </w:pPr>
            <w:r>
              <w:rPr>
                <w:rFonts w:hint="eastAsia" w:ascii="宋体" w:hAnsi="宋体" w:cs="宋体"/>
                <w:b/>
                <w:bCs/>
                <w:sz w:val="24"/>
              </w:rPr>
              <w:t>响应情况</w:t>
            </w:r>
          </w:p>
        </w:tc>
      </w:tr>
      <w:tr w14:paraId="2181DA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00" w:type="dxa"/>
            <w:vMerge w:val="continue"/>
            <w:noWrap w:val="0"/>
            <w:vAlign w:val="center"/>
          </w:tcPr>
          <w:p w14:paraId="0DBDCBB6">
            <w:pPr>
              <w:jc w:val="center"/>
              <w:rPr>
                <w:rFonts w:ascii="宋体" w:hAnsi="宋体" w:cs="宋体"/>
                <w:sz w:val="24"/>
              </w:rPr>
            </w:pPr>
          </w:p>
        </w:tc>
        <w:tc>
          <w:tcPr>
            <w:tcW w:w="1214" w:type="dxa"/>
            <w:vMerge w:val="continue"/>
            <w:noWrap w:val="0"/>
            <w:vAlign w:val="center"/>
          </w:tcPr>
          <w:p w14:paraId="099C5A18">
            <w:pPr>
              <w:jc w:val="center"/>
              <w:rPr>
                <w:rFonts w:ascii="宋体" w:hAnsi="宋体" w:cs="宋体"/>
                <w:sz w:val="24"/>
              </w:rPr>
            </w:pPr>
          </w:p>
        </w:tc>
        <w:tc>
          <w:tcPr>
            <w:tcW w:w="1455" w:type="dxa"/>
            <w:vMerge w:val="continue"/>
            <w:noWrap w:val="0"/>
            <w:vAlign w:val="center"/>
          </w:tcPr>
          <w:p w14:paraId="734AF1AD">
            <w:pPr>
              <w:jc w:val="center"/>
              <w:rPr>
                <w:rFonts w:ascii="宋体" w:hAnsi="宋体" w:cs="宋体"/>
                <w:sz w:val="24"/>
              </w:rPr>
            </w:pPr>
          </w:p>
        </w:tc>
        <w:tc>
          <w:tcPr>
            <w:tcW w:w="992" w:type="dxa"/>
            <w:vMerge w:val="continue"/>
            <w:noWrap w:val="0"/>
            <w:vAlign w:val="center"/>
          </w:tcPr>
          <w:p w14:paraId="0C46218D">
            <w:pPr>
              <w:jc w:val="center"/>
              <w:rPr>
                <w:rFonts w:ascii="宋体" w:hAnsi="宋体" w:cs="宋体"/>
                <w:sz w:val="24"/>
              </w:rPr>
            </w:pPr>
          </w:p>
        </w:tc>
        <w:tc>
          <w:tcPr>
            <w:tcW w:w="1562" w:type="dxa"/>
            <w:noWrap w:val="0"/>
            <w:vAlign w:val="center"/>
          </w:tcPr>
          <w:p w14:paraId="0BB42144">
            <w:pPr>
              <w:jc w:val="center"/>
              <w:rPr>
                <w:rFonts w:ascii="宋体" w:hAnsi="宋体" w:cs="宋体"/>
                <w:b/>
                <w:bCs/>
                <w:sz w:val="24"/>
              </w:rPr>
            </w:pPr>
            <w:r>
              <w:rPr>
                <w:rFonts w:hint="eastAsia" w:ascii="宋体" w:hAnsi="宋体" w:cs="宋体"/>
                <w:b/>
                <w:bCs/>
                <w:sz w:val="24"/>
              </w:rPr>
              <w:t>技术参数</w:t>
            </w:r>
          </w:p>
        </w:tc>
        <w:tc>
          <w:tcPr>
            <w:tcW w:w="1718" w:type="dxa"/>
            <w:noWrap w:val="0"/>
            <w:vAlign w:val="center"/>
          </w:tcPr>
          <w:p w14:paraId="446E236E">
            <w:pPr>
              <w:jc w:val="center"/>
              <w:rPr>
                <w:rFonts w:ascii="宋体" w:hAnsi="宋体" w:cs="宋体"/>
                <w:b/>
                <w:bCs/>
                <w:sz w:val="24"/>
              </w:rPr>
            </w:pPr>
            <w:r>
              <w:rPr>
                <w:rFonts w:hint="eastAsia" w:ascii="宋体" w:hAnsi="宋体" w:cs="宋体"/>
                <w:b/>
                <w:bCs/>
                <w:sz w:val="24"/>
              </w:rPr>
              <w:t>技术参数</w:t>
            </w:r>
          </w:p>
        </w:tc>
        <w:tc>
          <w:tcPr>
            <w:tcW w:w="1256" w:type="dxa"/>
            <w:vMerge w:val="continue"/>
            <w:noWrap w:val="0"/>
            <w:vAlign w:val="center"/>
          </w:tcPr>
          <w:p w14:paraId="3F5A3026">
            <w:pPr>
              <w:jc w:val="center"/>
              <w:rPr>
                <w:rFonts w:ascii="宋体" w:hAnsi="宋体" w:cs="宋体"/>
                <w:sz w:val="24"/>
              </w:rPr>
            </w:pPr>
          </w:p>
        </w:tc>
      </w:tr>
      <w:tr w14:paraId="0C535E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652A0B98">
            <w:pPr>
              <w:rPr>
                <w:rFonts w:ascii="宋体" w:hAnsi="宋体" w:cs="宋体"/>
                <w:sz w:val="24"/>
              </w:rPr>
            </w:pPr>
          </w:p>
        </w:tc>
        <w:tc>
          <w:tcPr>
            <w:tcW w:w="1214" w:type="dxa"/>
            <w:noWrap w:val="0"/>
            <w:vAlign w:val="center"/>
          </w:tcPr>
          <w:p w14:paraId="12CD9BF2">
            <w:pPr>
              <w:rPr>
                <w:rFonts w:ascii="宋体" w:hAnsi="宋体" w:cs="宋体"/>
                <w:sz w:val="24"/>
              </w:rPr>
            </w:pPr>
          </w:p>
        </w:tc>
        <w:tc>
          <w:tcPr>
            <w:tcW w:w="1455" w:type="dxa"/>
            <w:noWrap w:val="0"/>
            <w:vAlign w:val="center"/>
          </w:tcPr>
          <w:p w14:paraId="1B5455B1">
            <w:pPr>
              <w:rPr>
                <w:rFonts w:ascii="宋体" w:hAnsi="宋体" w:cs="宋体"/>
                <w:sz w:val="24"/>
              </w:rPr>
            </w:pPr>
          </w:p>
        </w:tc>
        <w:tc>
          <w:tcPr>
            <w:tcW w:w="992" w:type="dxa"/>
            <w:noWrap w:val="0"/>
            <w:vAlign w:val="center"/>
          </w:tcPr>
          <w:p w14:paraId="7A314801">
            <w:pPr>
              <w:rPr>
                <w:rFonts w:ascii="宋体" w:hAnsi="宋体" w:cs="宋体"/>
                <w:sz w:val="24"/>
              </w:rPr>
            </w:pPr>
          </w:p>
        </w:tc>
        <w:tc>
          <w:tcPr>
            <w:tcW w:w="1562" w:type="dxa"/>
            <w:noWrap w:val="0"/>
            <w:vAlign w:val="center"/>
          </w:tcPr>
          <w:p w14:paraId="625EA97B">
            <w:pPr>
              <w:rPr>
                <w:rFonts w:ascii="宋体" w:hAnsi="宋体" w:cs="宋体"/>
                <w:sz w:val="24"/>
              </w:rPr>
            </w:pPr>
          </w:p>
        </w:tc>
        <w:tc>
          <w:tcPr>
            <w:tcW w:w="1718" w:type="dxa"/>
            <w:noWrap w:val="0"/>
            <w:vAlign w:val="center"/>
          </w:tcPr>
          <w:p w14:paraId="1C4D5CC0">
            <w:pPr>
              <w:rPr>
                <w:rFonts w:ascii="宋体" w:hAnsi="宋体" w:cs="宋体"/>
                <w:sz w:val="24"/>
              </w:rPr>
            </w:pPr>
          </w:p>
        </w:tc>
        <w:tc>
          <w:tcPr>
            <w:tcW w:w="1256" w:type="dxa"/>
            <w:noWrap w:val="0"/>
            <w:vAlign w:val="center"/>
          </w:tcPr>
          <w:p w14:paraId="4B3AC43A">
            <w:pPr>
              <w:rPr>
                <w:rFonts w:ascii="宋体" w:hAnsi="宋体" w:cs="宋体"/>
                <w:sz w:val="24"/>
              </w:rPr>
            </w:pPr>
          </w:p>
        </w:tc>
      </w:tr>
      <w:tr w14:paraId="37E60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13D54548">
            <w:pPr>
              <w:jc w:val="center"/>
              <w:rPr>
                <w:rFonts w:ascii="宋体" w:hAnsi="宋体" w:cs="宋体"/>
                <w:sz w:val="24"/>
              </w:rPr>
            </w:pPr>
          </w:p>
        </w:tc>
        <w:tc>
          <w:tcPr>
            <w:tcW w:w="1214" w:type="dxa"/>
            <w:noWrap w:val="0"/>
            <w:vAlign w:val="center"/>
          </w:tcPr>
          <w:p w14:paraId="7028C7C9">
            <w:pPr>
              <w:rPr>
                <w:rFonts w:ascii="宋体" w:hAnsi="宋体" w:cs="宋体"/>
                <w:sz w:val="24"/>
              </w:rPr>
            </w:pPr>
          </w:p>
        </w:tc>
        <w:tc>
          <w:tcPr>
            <w:tcW w:w="1455" w:type="dxa"/>
            <w:noWrap w:val="0"/>
            <w:vAlign w:val="center"/>
          </w:tcPr>
          <w:p w14:paraId="1E137E3B">
            <w:pPr>
              <w:rPr>
                <w:rFonts w:ascii="宋体" w:hAnsi="宋体" w:cs="宋体"/>
                <w:sz w:val="24"/>
              </w:rPr>
            </w:pPr>
          </w:p>
        </w:tc>
        <w:tc>
          <w:tcPr>
            <w:tcW w:w="992" w:type="dxa"/>
            <w:noWrap w:val="0"/>
            <w:vAlign w:val="center"/>
          </w:tcPr>
          <w:p w14:paraId="17A0C945">
            <w:pPr>
              <w:rPr>
                <w:rFonts w:ascii="宋体" w:hAnsi="宋体" w:cs="宋体"/>
                <w:sz w:val="24"/>
              </w:rPr>
            </w:pPr>
          </w:p>
        </w:tc>
        <w:tc>
          <w:tcPr>
            <w:tcW w:w="1562" w:type="dxa"/>
            <w:noWrap w:val="0"/>
            <w:vAlign w:val="center"/>
          </w:tcPr>
          <w:p w14:paraId="022D322D">
            <w:pPr>
              <w:rPr>
                <w:rFonts w:ascii="宋体" w:hAnsi="宋体" w:cs="宋体"/>
                <w:sz w:val="24"/>
              </w:rPr>
            </w:pPr>
          </w:p>
        </w:tc>
        <w:tc>
          <w:tcPr>
            <w:tcW w:w="1718" w:type="dxa"/>
            <w:noWrap w:val="0"/>
            <w:vAlign w:val="center"/>
          </w:tcPr>
          <w:p w14:paraId="0992EDE7">
            <w:pPr>
              <w:rPr>
                <w:rFonts w:ascii="宋体" w:hAnsi="宋体" w:cs="宋体"/>
                <w:sz w:val="24"/>
              </w:rPr>
            </w:pPr>
          </w:p>
        </w:tc>
        <w:tc>
          <w:tcPr>
            <w:tcW w:w="1256" w:type="dxa"/>
            <w:noWrap w:val="0"/>
            <w:vAlign w:val="center"/>
          </w:tcPr>
          <w:p w14:paraId="210BD6FF">
            <w:pPr>
              <w:rPr>
                <w:rFonts w:ascii="宋体" w:hAnsi="宋体" w:cs="宋体"/>
                <w:sz w:val="24"/>
              </w:rPr>
            </w:pPr>
          </w:p>
        </w:tc>
      </w:tr>
      <w:tr w14:paraId="4771E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5CEE7A1A">
            <w:pPr>
              <w:rPr>
                <w:rFonts w:ascii="宋体" w:hAnsi="宋体" w:cs="宋体"/>
                <w:sz w:val="24"/>
              </w:rPr>
            </w:pPr>
          </w:p>
        </w:tc>
        <w:tc>
          <w:tcPr>
            <w:tcW w:w="1214" w:type="dxa"/>
            <w:noWrap w:val="0"/>
            <w:vAlign w:val="center"/>
          </w:tcPr>
          <w:p w14:paraId="406CB9B9">
            <w:pPr>
              <w:rPr>
                <w:rFonts w:ascii="宋体" w:hAnsi="宋体" w:cs="宋体"/>
                <w:sz w:val="24"/>
              </w:rPr>
            </w:pPr>
          </w:p>
        </w:tc>
        <w:tc>
          <w:tcPr>
            <w:tcW w:w="1455" w:type="dxa"/>
            <w:noWrap w:val="0"/>
            <w:vAlign w:val="center"/>
          </w:tcPr>
          <w:p w14:paraId="008CCCD0">
            <w:pPr>
              <w:rPr>
                <w:rFonts w:ascii="宋体" w:hAnsi="宋体" w:cs="宋体"/>
                <w:sz w:val="24"/>
              </w:rPr>
            </w:pPr>
          </w:p>
        </w:tc>
        <w:tc>
          <w:tcPr>
            <w:tcW w:w="992" w:type="dxa"/>
            <w:noWrap w:val="0"/>
            <w:vAlign w:val="center"/>
          </w:tcPr>
          <w:p w14:paraId="518E9998">
            <w:pPr>
              <w:rPr>
                <w:rFonts w:ascii="宋体" w:hAnsi="宋体" w:cs="宋体"/>
                <w:sz w:val="24"/>
              </w:rPr>
            </w:pPr>
          </w:p>
        </w:tc>
        <w:tc>
          <w:tcPr>
            <w:tcW w:w="1562" w:type="dxa"/>
            <w:noWrap w:val="0"/>
            <w:vAlign w:val="center"/>
          </w:tcPr>
          <w:p w14:paraId="2A006AF5">
            <w:pPr>
              <w:rPr>
                <w:rFonts w:ascii="宋体" w:hAnsi="宋体" w:cs="宋体"/>
                <w:sz w:val="24"/>
              </w:rPr>
            </w:pPr>
          </w:p>
        </w:tc>
        <w:tc>
          <w:tcPr>
            <w:tcW w:w="1718" w:type="dxa"/>
            <w:noWrap w:val="0"/>
            <w:vAlign w:val="center"/>
          </w:tcPr>
          <w:p w14:paraId="60543305">
            <w:pPr>
              <w:rPr>
                <w:rFonts w:ascii="宋体" w:hAnsi="宋体" w:cs="宋体"/>
                <w:sz w:val="24"/>
              </w:rPr>
            </w:pPr>
          </w:p>
        </w:tc>
        <w:tc>
          <w:tcPr>
            <w:tcW w:w="1256" w:type="dxa"/>
            <w:noWrap w:val="0"/>
            <w:vAlign w:val="center"/>
          </w:tcPr>
          <w:p w14:paraId="0A7EA7BD">
            <w:pPr>
              <w:rPr>
                <w:rFonts w:ascii="宋体" w:hAnsi="宋体" w:cs="宋体"/>
                <w:sz w:val="24"/>
              </w:rPr>
            </w:pPr>
          </w:p>
        </w:tc>
      </w:tr>
      <w:tr w14:paraId="4DB03F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7226FDAF">
            <w:pPr>
              <w:jc w:val="center"/>
              <w:rPr>
                <w:rFonts w:ascii="宋体" w:hAnsi="宋体" w:cs="宋体"/>
                <w:sz w:val="24"/>
              </w:rPr>
            </w:pPr>
          </w:p>
        </w:tc>
        <w:tc>
          <w:tcPr>
            <w:tcW w:w="1214" w:type="dxa"/>
            <w:noWrap w:val="0"/>
            <w:vAlign w:val="center"/>
          </w:tcPr>
          <w:p w14:paraId="0DA20ACB">
            <w:pPr>
              <w:rPr>
                <w:rFonts w:ascii="宋体" w:hAnsi="宋体" w:cs="宋体"/>
                <w:sz w:val="24"/>
              </w:rPr>
            </w:pPr>
          </w:p>
        </w:tc>
        <w:tc>
          <w:tcPr>
            <w:tcW w:w="1455" w:type="dxa"/>
            <w:noWrap w:val="0"/>
            <w:vAlign w:val="center"/>
          </w:tcPr>
          <w:p w14:paraId="791142ED">
            <w:pPr>
              <w:rPr>
                <w:rFonts w:ascii="宋体" w:hAnsi="宋体" w:cs="宋体"/>
                <w:sz w:val="24"/>
              </w:rPr>
            </w:pPr>
          </w:p>
        </w:tc>
        <w:tc>
          <w:tcPr>
            <w:tcW w:w="992" w:type="dxa"/>
            <w:noWrap w:val="0"/>
            <w:vAlign w:val="center"/>
          </w:tcPr>
          <w:p w14:paraId="34A01FD9">
            <w:pPr>
              <w:rPr>
                <w:rFonts w:ascii="宋体" w:hAnsi="宋体" w:cs="宋体"/>
                <w:sz w:val="24"/>
              </w:rPr>
            </w:pPr>
          </w:p>
        </w:tc>
        <w:tc>
          <w:tcPr>
            <w:tcW w:w="1562" w:type="dxa"/>
            <w:noWrap w:val="0"/>
            <w:vAlign w:val="center"/>
          </w:tcPr>
          <w:p w14:paraId="48C9B8BB">
            <w:pPr>
              <w:rPr>
                <w:rFonts w:ascii="宋体" w:hAnsi="宋体" w:cs="宋体"/>
                <w:sz w:val="24"/>
              </w:rPr>
            </w:pPr>
          </w:p>
        </w:tc>
        <w:tc>
          <w:tcPr>
            <w:tcW w:w="1718" w:type="dxa"/>
            <w:noWrap w:val="0"/>
            <w:vAlign w:val="center"/>
          </w:tcPr>
          <w:p w14:paraId="1107ED5E">
            <w:pPr>
              <w:rPr>
                <w:rFonts w:ascii="宋体" w:hAnsi="宋体" w:cs="宋体"/>
                <w:sz w:val="24"/>
              </w:rPr>
            </w:pPr>
          </w:p>
        </w:tc>
        <w:tc>
          <w:tcPr>
            <w:tcW w:w="1256" w:type="dxa"/>
            <w:noWrap w:val="0"/>
            <w:vAlign w:val="center"/>
          </w:tcPr>
          <w:p w14:paraId="48AB56A4">
            <w:pPr>
              <w:rPr>
                <w:rFonts w:ascii="宋体" w:hAnsi="宋体" w:cs="宋体"/>
                <w:sz w:val="24"/>
              </w:rPr>
            </w:pPr>
          </w:p>
        </w:tc>
      </w:tr>
      <w:tr w14:paraId="57585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5DF005D6">
            <w:pPr>
              <w:jc w:val="center"/>
              <w:rPr>
                <w:rFonts w:ascii="宋体" w:hAnsi="宋体" w:cs="宋体"/>
                <w:sz w:val="24"/>
              </w:rPr>
            </w:pPr>
          </w:p>
        </w:tc>
        <w:tc>
          <w:tcPr>
            <w:tcW w:w="1214" w:type="dxa"/>
            <w:noWrap w:val="0"/>
            <w:vAlign w:val="center"/>
          </w:tcPr>
          <w:p w14:paraId="18361E0B">
            <w:pPr>
              <w:rPr>
                <w:rFonts w:ascii="宋体" w:hAnsi="宋体" w:cs="宋体"/>
                <w:sz w:val="24"/>
              </w:rPr>
            </w:pPr>
          </w:p>
        </w:tc>
        <w:tc>
          <w:tcPr>
            <w:tcW w:w="1455" w:type="dxa"/>
            <w:noWrap w:val="0"/>
            <w:vAlign w:val="center"/>
          </w:tcPr>
          <w:p w14:paraId="5EF8A8EA">
            <w:pPr>
              <w:rPr>
                <w:rFonts w:ascii="宋体" w:hAnsi="宋体" w:cs="宋体"/>
                <w:sz w:val="24"/>
              </w:rPr>
            </w:pPr>
          </w:p>
        </w:tc>
        <w:tc>
          <w:tcPr>
            <w:tcW w:w="992" w:type="dxa"/>
            <w:noWrap w:val="0"/>
            <w:vAlign w:val="center"/>
          </w:tcPr>
          <w:p w14:paraId="021D7E53">
            <w:pPr>
              <w:rPr>
                <w:rFonts w:ascii="宋体" w:hAnsi="宋体" w:cs="宋体"/>
                <w:sz w:val="24"/>
              </w:rPr>
            </w:pPr>
          </w:p>
        </w:tc>
        <w:tc>
          <w:tcPr>
            <w:tcW w:w="1562" w:type="dxa"/>
            <w:noWrap w:val="0"/>
            <w:vAlign w:val="center"/>
          </w:tcPr>
          <w:p w14:paraId="25122168">
            <w:pPr>
              <w:rPr>
                <w:rFonts w:ascii="宋体" w:hAnsi="宋体" w:cs="宋体"/>
                <w:sz w:val="24"/>
              </w:rPr>
            </w:pPr>
          </w:p>
        </w:tc>
        <w:tc>
          <w:tcPr>
            <w:tcW w:w="1718" w:type="dxa"/>
            <w:noWrap w:val="0"/>
            <w:vAlign w:val="center"/>
          </w:tcPr>
          <w:p w14:paraId="59ACB1C2">
            <w:pPr>
              <w:rPr>
                <w:rFonts w:ascii="宋体" w:hAnsi="宋体" w:cs="宋体"/>
                <w:sz w:val="24"/>
              </w:rPr>
            </w:pPr>
          </w:p>
        </w:tc>
        <w:tc>
          <w:tcPr>
            <w:tcW w:w="1256" w:type="dxa"/>
            <w:noWrap w:val="0"/>
            <w:vAlign w:val="center"/>
          </w:tcPr>
          <w:p w14:paraId="6AF3648C">
            <w:pPr>
              <w:rPr>
                <w:rFonts w:ascii="宋体" w:hAnsi="宋体" w:cs="宋体"/>
                <w:sz w:val="24"/>
              </w:rPr>
            </w:pPr>
          </w:p>
        </w:tc>
      </w:tr>
      <w:tr w14:paraId="7EFE1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552401A0">
            <w:pPr>
              <w:jc w:val="center"/>
              <w:rPr>
                <w:rFonts w:ascii="宋体" w:hAnsi="宋体" w:cs="宋体"/>
                <w:sz w:val="24"/>
              </w:rPr>
            </w:pPr>
          </w:p>
        </w:tc>
        <w:tc>
          <w:tcPr>
            <w:tcW w:w="1214" w:type="dxa"/>
            <w:noWrap w:val="0"/>
            <w:vAlign w:val="center"/>
          </w:tcPr>
          <w:p w14:paraId="7822A666">
            <w:pPr>
              <w:rPr>
                <w:rFonts w:ascii="宋体" w:hAnsi="宋体" w:cs="宋体"/>
                <w:sz w:val="24"/>
              </w:rPr>
            </w:pPr>
          </w:p>
        </w:tc>
        <w:tc>
          <w:tcPr>
            <w:tcW w:w="1455" w:type="dxa"/>
            <w:noWrap w:val="0"/>
            <w:vAlign w:val="center"/>
          </w:tcPr>
          <w:p w14:paraId="68691D1C">
            <w:pPr>
              <w:rPr>
                <w:rFonts w:ascii="宋体" w:hAnsi="宋体" w:cs="宋体"/>
                <w:sz w:val="24"/>
              </w:rPr>
            </w:pPr>
          </w:p>
        </w:tc>
        <w:tc>
          <w:tcPr>
            <w:tcW w:w="992" w:type="dxa"/>
            <w:noWrap w:val="0"/>
            <w:vAlign w:val="center"/>
          </w:tcPr>
          <w:p w14:paraId="32E54F4E">
            <w:pPr>
              <w:rPr>
                <w:rFonts w:ascii="宋体" w:hAnsi="宋体" w:cs="宋体"/>
                <w:sz w:val="24"/>
              </w:rPr>
            </w:pPr>
          </w:p>
        </w:tc>
        <w:tc>
          <w:tcPr>
            <w:tcW w:w="1562" w:type="dxa"/>
            <w:noWrap w:val="0"/>
            <w:vAlign w:val="center"/>
          </w:tcPr>
          <w:p w14:paraId="2E6D2C87">
            <w:pPr>
              <w:rPr>
                <w:rFonts w:ascii="宋体" w:hAnsi="宋体" w:cs="宋体"/>
                <w:sz w:val="24"/>
              </w:rPr>
            </w:pPr>
          </w:p>
        </w:tc>
        <w:tc>
          <w:tcPr>
            <w:tcW w:w="1718" w:type="dxa"/>
            <w:noWrap w:val="0"/>
            <w:vAlign w:val="center"/>
          </w:tcPr>
          <w:p w14:paraId="5C8A17F0">
            <w:pPr>
              <w:rPr>
                <w:rFonts w:ascii="宋体" w:hAnsi="宋体" w:cs="宋体"/>
                <w:sz w:val="24"/>
              </w:rPr>
            </w:pPr>
          </w:p>
        </w:tc>
        <w:tc>
          <w:tcPr>
            <w:tcW w:w="1256" w:type="dxa"/>
            <w:noWrap w:val="0"/>
            <w:vAlign w:val="center"/>
          </w:tcPr>
          <w:p w14:paraId="23CD4509">
            <w:pPr>
              <w:rPr>
                <w:rFonts w:ascii="宋体" w:hAnsi="宋体" w:cs="宋体"/>
                <w:sz w:val="24"/>
              </w:rPr>
            </w:pPr>
          </w:p>
        </w:tc>
      </w:tr>
      <w:tr w14:paraId="5DD310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53EEE66C">
            <w:pPr>
              <w:jc w:val="center"/>
              <w:rPr>
                <w:rFonts w:ascii="宋体" w:hAnsi="宋体" w:cs="宋体"/>
                <w:sz w:val="24"/>
              </w:rPr>
            </w:pPr>
          </w:p>
        </w:tc>
        <w:tc>
          <w:tcPr>
            <w:tcW w:w="1214" w:type="dxa"/>
            <w:noWrap w:val="0"/>
            <w:vAlign w:val="center"/>
          </w:tcPr>
          <w:p w14:paraId="659D0E88">
            <w:pPr>
              <w:rPr>
                <w:rFonts w:ascii="宋体" w:hAnsi="宋体" w:cs="宋体"/>
                <w:sz w:val="24"/>
              </w:rPr>
            </w:pPr>
          </w:p>
        </w:tc>
        <w:tc>
          <w:tcPr>
            <w:tcW w:w="1455" w:type="dxa"/>
            <w:noWrap w:val="0"/>
            <w:vAlign w:val="center"/>
          </w:tcPr>
          <w:p w14:paraId="0F18F530">
            <w:pPr>
              <w:rPr>
                <w:rFonts w:ascii="宋体" w:hAnsi="宋体" w:cs="宋体"/>
                <w:sz w:val="24"/>
              </w:rPr>
            </w:pPr>
          </w:p>
        </w:tc>
        <w:tc>
          <w:tcPr>
            <w:tcW w:w="992" w:type="dxa"/>
            <w:noWrap w:val="0"/>
            <w:vAlign w:val="center"/>
          </w:tcPr>
          <w:p w14:paraId="1F09E050">
            <w:pPr>
              <w:rPr>
                <w:rFonts w:ascii="宋体" w:hAnsi="宋体" w:cs="宋体"/>
                <w:sz w:val="24"/>
              </w:rPr>
            </w:pPr>
          </w:p>
        </w:tc>
        <w:tc>
          <w:tcPr>
            <w:tcW w:w="1562" w:type="dxa"/>
            <w:noWrap w:val="0"/>
            <w:vAlign w:val="center"/>
          </w:tcPr>
          <w:p w14:paraId="4E794406">
            <w:pPr>
              <w:rPr>
                <w:rFonts w:ascii="宋体" w:hAnsi="宋体" w:cs="宋体"/>
                <w:sz w:val="24"/>
              </w:rPr>
            </w:pPr>
          </w:p>
        </w:tc>
        <w:tc>
          <w:tcPr>
            <w:tcW w:w="1718" w:type="dxa"/>
            <w:noWrap w:val="0"/>
            <w:vAlign w:val="center"/>
          </w:tcPr>
          <w:p w14:paraId="1618243F">
            <w:pPr>
              <w:rPr>
                <w:rFonts w:ascii="宋体" w:hAnsi="宋体" w:cs="宋体"/>
                <w:sz w:val="24"/>
              </w:rPr>
            </w:pPr>
          </w:p>
        </w:tc>
        <w:tc>
          <w:tcPr>
            <w:tcW w:w="1256" w:type="dxa"/>
            <w:noWrap w:val="0"/>
            <w:vAlign w:val="center"/>
          </w:tcPr>
          <w:p w14:paraId="24B464A7">
            <w:pPr>
              <w:rPr>
                <w:rFonts w:ascii="宋体" w:hAnsi="宋体" w:cs="宋体"/>
                <w:sz w:val="24"/>
              </w:rPr>
            </w:pPr>
          </w:p>
        </w:tc>
      </w:tr>
      <w:tr w14:paraId="0F761B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1AF4B36D">
            <w:pPr>
              <w:jc w:val="center"/>
              <w:rPr>
                <w:rFonts w:ascii="宋体" w:hAnsi="宋体" w:cs="宋体"/>
                <w:sz w:val="24"/>
              </w:rPr>
            </w:pPr>
          </w:p>
        </w:tc>
        <w:tc>
          <w:tcPr>
            <w:tcW w:w="1214" w:type="dxa"/>
            <w:noWrap w:val="0"/>
            <w:vAlign w:val="center"/>
          </w:tcPr>
          <w:p w14:paraId="0E4DA930">
            <w:pPr>
              <w:rPr>
                <w:rFonts w:ascii="宋体" w:hAnsi="宋体" w:cs="宋体"/>
                <w:sz w:val="24"/>
              </w:rPr>
            </w:pPr>
          </w:p>
        </w:tc>
        <w:tc>
          <w:tcPr>
            <w:tcW w:w="1455" w:type="dxa"/>
            <w:noWrap w:val="0"/>
            <w:vAlign w:val="center"/>
          </w:tcPr>
          <w:p w14:paraId="6CE52094">
            <w:pPr>
              <w:rPr>
                <w:rFonts w:ascii="宋体" w:hAnsi="宋体" w:cs="宋体"/>
                <w:sz w:val="24"/>
              </w:rPr>
            </w:pPr>
          </w:p>
        </w:tc>
        <w:tc>
          <w:tcPr>
            <w:tcW w:w="992" w:type="dxa"/>
            <w:noWrap w:val="0"/>
            <w:vAlign w:val="center"/>
          </w:tcPr>
          <w:p w14:paraId="20918599">
            <w:pPr>
              <w:rPr>
                <w:rFonts w:ascii="宋体" w:hAnsi="宋体" w:cs="宋体"/>
                <w:sz w:val="24"/>
              </w:rPr>
            </w:pPr>
          </w:p>
        </w:tc>
        <w:tc>
          <w:tcPr>
            <w:tcW w:w="1562" w:type="dxa"/>
            <w:noWrap w:val="0"/>
            <w:vAlign w:val="center"/>
          </w:tcPr>
          <w:p w14:paraId="3CD7F1B6">
            <w:pPr>
              <w:rPr>
                <w:rFonts w:ascii="宋体" w:hAnsi="宋体" w:cs="宋体"/>
                <w:sz w:val="24"/>
              </w:rPr>
            </w:pPr>
          </w:p>
        </w:tc>
        <w:tc>
          <w:tcPr>
            <w:tcW w:w="1718" w:type="dxa"/>
            <w:noWrap w:val="0"/>
            <w:vAlign w:val="center"/>
          </w:tcPr>
          <w:p w14:paraId="41EB4BDD">
            <w:pPr>
              <w:rPr>
                <w:rFonts w:ascii="宋体" w:hAnsi="宋体" w:cs="宋体"/>
                <w:sz w:val="24"/>
              </w:rPr>
            </w:pPr>
          </w:p>
        </w:tc>
        <w:tc>
          <w:tcPr>
            <w:tcW w:w="1256" w:type="dxa"/>
            <w:noWrap w:val="0"/>
            <w:vAlign w:val="center"/>
          </w:tcPr>
          <w:p w14:paraId="4991451C">
            <w:pPr>
              <w:rPr>
                <w:rFonts w:ascii="宋体" w:hAnsi="宋体" w:cs="宋体"/>
                <w:sz w:val="24"/>
              </w:rPr>
            </w:pPr>
          </w:p>
        </w:tc>
      </w:tr>
      <w:tr w14:paraId="05CF57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056313A4">
            <w:pPr>
              <w:jc w:val="center"/>
              <w:rPr>
                <w:rFonts w:ascii="宋体" w:hAnsi="宋体" w:cs="宋体"/>
                <w:sz w:val="24"/>
              </w:rPr>
            </w:pPr>
          </w:p>
        </w:tc>
        <w:tc>
          <w:tcPr>
            <w:tcW w:w="1214" w:type="dxa"/>
            <w:noWrap w:val="0"/>
            <w:vAlign w:val="center"/>
          </w:tcPr>
          <w:p w14:paraId="0961D583">
            <w:pPr>
              <w:rPr>
                <w:rFonts w:ascii="宋体" w:hAnsi="宋体" w:cs="宋体"/>
                <w:sz w:val="24"/>
              </w:rPr>
            </w:pPr>
          </w:p>
        </w:tc>
        <w:tc>
          <w:tcPr>
            <w:tcW w:w="1455" w:type="dxa"/>
            <w:noWrap w:val="0"/>
            <w:vAlign w:val="center"/>
          </w:tcPr>
          <w:p w14:paraId="5434C6C6">
            <w:pPr>
              <w:rPr>
                <w:rFonts w:ascii="宋体" w:hAnsi="宋体" w:cs="宋体"/>
                <w:sz w:val="24"/>
              </w:rPr>
            </w:pPr>
          </w:p>
        </w:tc>
        <w:tc>
          <w:tcPr>
            <w:tcW w:w="992" w:type="dxa"/>
            <w:noWrap w:val="0"/>
            <w:vAlign w:val="center"/>
          </w:tcPr>
          <w:p w14:paraId="2AEBF520">
            <w:pPr>
              <w:rPr>
                <w:rFonts w:ascii="宋体" w:hAnsi="宋体" w:cs="宋体"/>
                <w:sz w:val="24"/>
              </w:rPr>
            </w:pPr>
          </w:p>
        </w:tc>
        <w:tc>
          <w:tcPr>
            <w:tcW w:w="1562" w:type="dxa"/>
            <w:noWrap w:val="0"/>
            <w:vAlign w:val="center"/>
          </w:tcPr>
          <w:p w14:paraId="65E984A2">
            <w:pPr>
              <w:rPr>
                <w:rFonts w:ascii="宋体" w:hAnsi="宋体" w:cs="宋体"/>
                <w:sz w:val="24"/>
              </w:rPr>
            </w:pPr>
          </w:p>
        </w:tc>
        <w:tc>
          <w:tcPr>
            <w:tcW w:w="1718" w:type="dxa"/>
            <w:noWrap w:val="0"/>
            <w:vAlign w:val="center"/>
          </w:tcPr>
          <w:p w14:paraId="0D095687">
            <w:pPr>
              <w:rPr>
                <w:rFonts w:ascii="宋体" w:hAnsi="宋体" w:cs="宋体"/>
                <w:sz w:val="24"/>
              </w:rPr>
            </w:pPr>
          </w:p>
        </w:tc>
        <w:tc>
          <w:tcPr>
            <w:tcW w:w="1256" w:type="dxa"/>
            <w:noWrap w:val="0"/>
            <w:vAlign w:val="center"/>
          </w:tcPr>
          <w:p w14:paraId="00D42D2E">
            <w:pPr>
              <w:rPr>
                <w:rFonts w:ascii="宋体" w:hAnsi="宋体" w:cs="宋体"/>
                <w:sz w:val="24"/>
              </w:rPr>
            </w:pPr>
          </w:p>
        </w:tc>
      </w:tr>
      <w:tr w14:paraId="039A75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00" w:type="dxa"/>
            <w:noWrap w:val="0"/>
            <w:vAlign w:val="center"/>
          </w:tcPr>
          <w:p w14:paraId="6CCDFC4F">
            <w:pPr>
              <w:jc w:val="center"/>
              <w:rPr>
                <w:rFonts w:ascii="宋体" w:hAnsi="宋体" w:cs="宋体"/>
                <w:sz w:val="24"/>
              </w:rPr>
            </w:pPr>
          </w:p>
        </w:tc>
        <w:tc>
          <w:tcPr>
            <w:tcW w:w="1214" w:type="dxa"/>
            <w:noWrap w:val="0"/>
            <w:vAlign w:val="center"/>
          </w:tcPr>
          <w:p w14:paraId="765AEDFD">
            <w:pPr>
              <w:rPr>
                <w:rFonts w:ascii="宋体" w:hAnsi="宋体" w:cs="宋体"/>
                <w:sz w:val="24"/>
              </w:rPr>
            </w:pPr>
          </w:p>
        </w:tc>
        <w:tc>
          <w:tcPr>
            <w:tcW w:w="1455" w:type="dxa"/>
            <w:noWrap w:val="0"/>
            <w:vAlign w:val="center"/>
          </w:tcPr>
          <w:p w14:paraId="240920EE">
            <w:pPr>
              <w:rPr>
                <w:rFonts w:ascii="宋体" w:hAnsi="宋体" w:cs="宋体"/>
                <w:sz w:val="24"/>
              </w:rPr>
            </w:pPr>
          </w:p>
        </w:tc>
        <w:tc>
          <w:tcPr>
            <w:tcW w:w="992" w:type="dxa"/>
            <w:noWrap w:val="0"/>
            <w:vAlign w:val="center"/>
          </w:tcPr>
          <w:p w14:paraId="7DC3770F">
            <w:pPr>
              <w:rPr>
                <w:rFonts w:ascii="宋体" w:hAnsi="宋体" w:cs="宋体"/>
                <w:sz w:val="24"/>
              </w:rPr>
            </w:pPr>
          </w:p>
        </w:tc>
        <w:tc>
          <w:tcPr>
            <w:tcW w:w="1562" w:type="dxa"/>
            <w:noWrap w:val="0"/>
            <w:vAlign w:val="center"/>
          </w:tcPr>
          <w:p w14:paraId="6EBC052E">
            <w:pPr>
              <w:rPr>
                <w:rFonts w:ascii="宋体" w:hAnsi="宋体" w:cs="宋体"/>
                <w:sz w:val="24"/>
              </w:rPr>
            </w:pPr>
          </w:p>
        </w:tc>
        <w:tc>
          <w:tcPr>
            <w:tcW w:w="1718" w:type="dxa"/>
            <w:noWrap w:val="0"/>
            <w:vAlign w:val="center"/>
          </w:tcPr>
          <w:p w14:paraId="0D68148E">
            <w:pPr>
              <w:rPr>
                <w:rFonts w:ascii="宋体" w:hAnsi="宋体" w:cs="宋体"/>
                <w:sz w:val="24"/>
              </w:rPr>
            </w:pPr>
          </w:p>
        </w:tc>
        <w:tc>
          <w:tcPr>
            <w:tcW w:w="1256" w:type="dxa"/>
            <w:noWrap w:val="0"/>
            <w:vAlign w:val="center"/>
          </w:tcPr>
          <w:p w14:paraId="7810DB35">
            <w:pPr>
              <w:rPr>
                <w:rFonts w:ascii="宋体" w:hAnsi="宋体" w:cs="宋体"/>
                <w:sz w:val="24"/>
              </w:rPr>
            </w:pPr>
          </w:p>
        </w:tc>
      </w:tr>
    </w:tbl>
    <w:p w14:paraId="3C3A529D">
      <w:pPr>
        <w:tabs>
          <w:tab w:val="left" w:pos="1815"/>
        </w:tabs>
        <w:rPr>
          <w:rFonts w:ascii="宋体" w:hAnsi="宋体" w:cs="宋体"/>
          <w:b/>
          <w:sz w:val="24"/>
        </w:rPr>
      </w:pPr>
    </w:p>
    <w:p w14:paraId="23CC1DDB">
      <w:pPr>
        <w:tabs>
          <w:tab w:val="left" w:pos="1815"/>
        </w:tabs>
        <w:rPr>
          <w:rFonts w:ascii="宋体" w:hAnsi="宋体" w:cs="宋体"/>
          <w:b/>
          <w:sz w:val="24"/>
        </w:rPr>
      </w:pPr>
      <w:r>
        <w:rPr>
          <w:rFonts w:hint="eastAsia" w:ascii="宋体" w:hAnsi="宋体" w:cs="宋体"/>
          <w:b/>
          <w:sz w:val="24"/>
        </w:rPr>
        <w:t>注意：</w:t>
      </w:r>
    </w:p>
    <w:p w14:paraId="58E3DCB6">
      <w:pPr>
        <w:tabs>
          <w:tab w:val="left" w:pos="1815"/>
        </w:tabs>
        <w:spacing w:line="400" w:lineRule="exact"/>
        <w:ind w:firstLine="480" w:firstLineChars="200"/>
        <w:rPr>
          <w:rFonts w:ascii="宋体" w:hAnsi="宋体" w:cs="宋体"/>
          <w:b/>
          <w:sz w:val="24"/>
        </w:rPr>
      </w:pPr>
      <w:r>
        <w:rPr>
          <w:rFonts w:hint="eastAsia" w:ascii="宋体" w:hAnsi="宋体" w:cs="宋体"/>
          <w:sz w:val="24"/>
        </w:rPr>
        <w:t>1、供应商必须将自己所投产品或服务真实、准确地填入“供应商填写”中，必须详细地列明产品的所有参数和品牌型号，不得以“同左”或“同上”形式填写。</w:t>
      </w:r>
    </w:p>
    <w:p w14:paraId="6360693F">
      <w:pPr>
        <w:tabs>
          <w:tab w:val="left" w:pos="1815"/>
        </w:tabs>
        <w:spacing w:line="400" w:lineRule="exact"/>
        <w:ind w:firstLine="480" w:firstLineChars="200"/>
        <w:rPr>
          <w:rFonts w:ascii="宋体" w:hAnsi="宋体" w:cs="宋体"/>
          <w:sz w:val="24"/>
        </w:rPr>
      </w:pPr>
      <w:r>
        <w:rPr>
          <w:rFonts w:hint="eastAsia" w:ascii="宋体" w:hAnsi="宋体" w:cs="宋体"/>
          <w:sz w:val="24"/>
        </w:rPr>
        <w:t>2、供应商必须根据自己所投产品与“单一来源文件要求”的差异情况，实事求是地填写“响应情况”（优于、满足、不满足），并将这些差异内容用加粗的字体显示出来，不得出现通过改动单一来源文件的技术参数而使</w:t>
      </w:r>
      <w:r>
        <w:rPr>
          <w:rFonts w:hint="eastAsia" w:ascii="宋体" w:hAnsi="宋体" w:cs="宋体"/>
          <w:sz w:val="24"/>
          <w:lang w:eastAsia="zh-CN"/>
        </w:rPr>
        <w:t>自己</w:t>
      </w:r>
      <w:r>
        <w:rPr>
          <w:rFonts w:hint="eastAsia" w:ascii="宋体" w:hAnsi="宋体" w:cs="宋体"/>
          <w:sz w:val="24"/>
        </w:rPr>
        <w:t>的产品满足要求的情况。</w:t>
      </w:r>
    </w:p>
    <w:p w14:paraId="24B5CB35">
      <w:pPr>
        <w:tabs>
          <w:tab w:val="left" w:pos="1815"/>
        </w:tabs>
        <w:spacing w:line="400" w:lineRule="exact"/>
        <w:ind w:firstLine="480" w:firstLineChars="200"/>
        <w:rPr>
          <w:rFonts w:ascii="宋体" w:hAnsi="宋体" w:cs="宋体"/>
          <w:sz w:val="24"/>
        </w:rPr>
      </w:pPr>
      <w:r>
        <w:rPr>
          <w:rFonts w:hint="eastAsia" w:ascii="宋体" w:hAnsi="宋体" w:cs="宋体"/>
          <w:sz w:val="24"/>
        </w:rPr>
        <w:t>3、如果供应商没有按前述要求去做，在项目评审中将可能被认为是未对单一来源文件作出实质上的响应，或被视作不诚信供应商而拒绝对其做进一步的评审。</w:t>
      </w:r>
    </w:p>
    <w:p w14:paraId="56AB712E">
      <w:pPr>
        <w:pStyle w:val="5"/>
        <w:spacing w:before="156" w:beforeLines="50" w:after="156" w:afterLines="50" w:line="560" w:lineRule="exact"/>
        <w:jc w:val="center"/>
        <w:rPr>
          <w:rFonts w:ascii="宋体" w:hAnsi="宋体" w:cs="宋体"/>
          <w:sz w:val="24"/>
        </w:rPr>
      </w:pPr>
      <w:r>
        <w:rPr>
          <w:rFonts w:hint="eastAsia" w:ascii="宋体" w:hAnsi="宋体" w:cs="宋体"/>
          <w:sz w:val="24"/>
        </w:rPr>
        <w:br w:type="page"/>
      </w:r>
    </w:p>
    <w:bookmarkEnd w:id="55"/>
    <w:bookmarkEnd w:id="56"/>
    <w:bookmarkEnd w:id="60"/>
    <w:p w14:paraId="6D094A91">
      <w:pPr>
        <w:pStyle w:val="5"/>
        <w:spacing w:before="156" w:beforeLines="50" w:after="156" w:afterLines="50" w:line="560" w:lineRule="exact"/>
        <w:jc w:val="center"/>
        <w:rPr>
          <w:rFonts w:ascii="宋体" w:hAnsi="宋体" w:eastAsia="宋体" w:cs="宋体"/>
          <w:sz w:val="24"/>
          <w:szCs w:val="24"/>
        </w:rPr>
      </w:pPr>
      <w:bookmarkStart w:id="61" w:name="_Toc29403"/>
      <w:bookmarkStart w:id="62" w:name="_Toc18671571"/>
      <w:r>
        <w:rPr>
          <w:rFonts w:hint="eastAsia" w:ascii="宋体" w:hAnsi="宋体" w:eastAsia="宋体" w:cs="宋体"/>
          <w:sz w:val="24"/>
          <w:szCs w:val="24"/>
        </w:rPr>
        <w:t>七、方案</w:t>
      </w:r>
      <w:bookmarkEnd w:id="61"/>
      <w:bookmarkEnd w:id="62"/>
    </w:p>
    <w:p w14:paraId="37FFA585">
      <w:pPr>
        <w:spacing w:line="440" w:lineRule="exact"/>
        <w:jc w:val="left"/>
        <w:rPr>
          <w:rFonts w:ascii="宋体" w:hAnsi="宋体" w:cs="宋体"/>
          <w:sz w:val="24"/>
        </w:rPr>
      </w:pPr>
      <w:r>
        <w:rPr>
          <w:rFonts w:hint="eastAsia" w:ascii="宋体" w:hAnsi="宋体" w:cs="宋体"/>
          <w:b/>
          <w:sz w:val="24"/>
        </w:rPr>
        <w:t>（一）安装、调试、培训、验收等各类方案（详细说明）</w:t>
      </w:r>
    </w:p>
    <w:p w14:paraId="114AF698">
      <w:pPr>
        <w:spacing w:line="440" w:lineRule="exact"/>
        <w:jc w:val="left"/>
        <w:rPr>
          <w:rFonts w:ascii="宋体" w:hAnsi="宋体" w:cs="宋体"/>
          <w:b/>
          <w:sz w:val="24"/>
        </w:rPr>
      </w:pPr>
      <w:r>
        <w:rPr>
          <w:rFonts w:hint="eastAsia" w:ascii="宋体" w:hAnsi="宋体" w:cs="宋体"/>
          <w:b/>
          <w:sz w:val="24"/>
        </w:rPr>
        <w:t>（二）质量及售后服务等</w:t>
      </w:r>
    </w:p>
    <w:p w14:paraId="61C5AF20">
      <w:pPr>
        <w:spacing w:line="440" w:lineRule="exact"/>
        <w:ind w:firstLine="2706" w:firstLineChars="1123"/>
        <w:jc w:val="left"/>
        <w:rPr>
          <w:rFonts w:asciiTheme="minorEastAsia" w:hAnsiTheme="minorEastAsia" w:eastAsiaTheme="minorEastAsia" w:cstheme="minorEastAsia"/>
          <w:b/>
          <w:sz w:val="24"/>
        </w:rPr>
      </w:pPr>
    </w:p>
    <w:p w14:paraId="603C5FB4">
      <w:pPr>
        <w:numPr>
          <w:ilvl w:val="0"/>
          <w:numId w:val="3"/>
        </w:numPr>
        <w:spacing w:before="156" w:beforeLines="50" w:after="156" w:afterLines="50" w:line="5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br w:type="page"/>
      </w:r>
      <w:bookmarkStart w:id="63" w:name="_Toc18671573"/>
      <w:bookmarkStart w:id="64" w:name="_Toc30204"/>
      <w:bookmarkStart w:id="65" w:name="_Toc15376906"/>
      <w:r>
        <w:rPr>
          <w:rStyle w:val="31"/>
          <w:rFonts w:hint="eastAsia" w:ascii="宋体" w:hAnsi="宋体" w:eastAsia="宋体" w:cs="宋体"/>
          <w:sz w:val="24"/>
          <w:szCs w:val="24"/>
        </w:rPr>
        <w:t>联合体协议</w:t>
      </w:r>
      <w:bookmarkEnd w:id="63"/>
      <w:bookmarkEnd w:id="64"/>
      <w:bookmarkEnd w:id="65"/>
    </w:p>
    <w:p w14:paraId="4CC46720">
      <w:pPr>
        <w:jc w:val="center"/>
        <w:rPr>
          <w:rFonts w:asciiTheme="minorEastAsia" w:hAnsiTheme="minorEastAsia" w:eastAsiaTheme="minorEastAsia" w:cstheme="minorEastAsia"/>
          <w:sz w:val="24"/>
        </w:rPr>
      </w:pPr>
      <w:r>
        <w:rPr>
          <w:rFonts w:hint="eastAsia"/>
          <w:sz w:val="24"/>
        </w:rPr>
        <w:t>（不允许联合体投标或未组成联合体投标，不需此件）</w:t>
      </w:r>
    </w:p>
    <w:p w14:paraId="792AD5E4">
      <w:pPr>
        <w:rPr>
          <w:rFonts w:asciiTheme="minorEastAsia" w:hAnsiTheme="minorEastAsia" w:eastAsiaTheme="minorEastAsia" w:cstheme="minorEastAsia"/>
          <w:sz w:val="24"/>
        </w:rPr>
      </w:pPr>
    </w:p>
    <w:p w14:paraId="29CF39E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就“</w:t>
      </w:r>
      <w:r>
        <w:rPr>
          <w:rFonts w:hint="eastAsia" w:asciiTheme="minorEastAsia" w:hAnsiTheme="minorEastAsia" w:eastAsiaTheme="minorEastAsia" w:cstheme="minorEastAsia"/>
          <w:sz w:val="24"/>
          <w:u w:val="single"/>
        </w:rPr>
        <w:t>某项目</w:t>
      </w: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某编号</w:t>
      </w:r>
      <w:r>
        <w:rPr>
          <w:rFonts w:hint="eastAsia" w:asciiTheme="minorEastAsia" w:hAnsiTheme="minorEastAsia" w:eastAsiaTheme="minorEastAsia" w:cstheme="minorEastAsia"/>
          <w:sz w:val="24"/>
        </w:rPr>
        <w:t>）的响应有关事宜，经充分协商一致，达成如下协议：</w:t>
      </w:r>
    </w:p>
    <w:p w14:paraId="2E90E03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一、由</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牵头，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参加，组成联合体共同参加本项目的单一来源活动。</w:t>
      </w:r>
    </w:p>
    <w:p w14:paraId="07AAC72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本次响应的主体方，联合体以主体方的名义参加单一来源活动。主体方负责单一来源项目的一切组织、协调工作，并授权代理人以联合体的名义参加项目的单一来源活动，代理人在参加单一来源活动过程中所签署的一切文件和处理与本次单一来源活动的有关一切事物，联合体各方均予以承认并承担法律责任。联合体成交后，联合体各方共同与采购人签订合同，就本项目对采购人承担连带责任。</w:t>
      </w:r>
    </w:p>
    <w:p w14:paraId="2D9FC1B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三、如联合体成交，则主体方负责</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等工作；参加方负责</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等工作。各方各自承担相应的责任。</w:t>
      </w:r>
    </w:p>
    <w:p w14:paraId="254F507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四、各方不得再以自己名义单独在本项目中参加单一来源活动，也不得组成新的联合体参加本项目单一来源活动。</w:t>
      </w:r>
    </w:p>
    <w:p w14:paraId="2E6DC40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五、参加方负责内容的合同金额占联合体协议合同总金额百分之</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4DCCD08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六、主体方负责内容的合同金额占联合体协议合同总金额百分之</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6DB858A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七、未成交，本协议自动废止。</w:t>
      </w:r>
    </w:p>
    <w:p w14:paraId="6A03D8A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主体方：（公章）                       参加方：（公章）</w:t>
      </w:r>
    </w:p>
    <w:p w14:paraId="7A898E6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法定代表人： </w:t>
      </w:r>
    </w:p>
    <w:p w14:paraId="6319277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                                 地址：</w:t>
      </w:r>
    </w:p>
    <w:p w14:paraId="53EDA3F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                                 邮编：</w:t>
      </w:r>
    </w:p>
    <w:p w14:paraId="642DF04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                                 电话：</w:t>
      </w:r>
    </w:p>
    <w:p w14:paraId="0E6D0F72">
      <w:pPr>
        <w:pStyle w:val="12"/>
        <w:spacing w:line="360" w:lineRule="auto"/>
        <w:rPr>
          <w:rFonts w:asciiTheme="minorEastAsia" w:hAnsiTheme="minorEastAsia" w:eastAsiaTheme="minorEastAsia" w:cstheme="minorEastAsia"/>
          <w:szCs w:val="24"/>
        </w:rPr>
      </w:pPr>
    </w:p>
    <w:p w14:paraId="56751D18"/>
    <w:p w14:paraId="3685CF61">
      <w:pPr>
        <w:ind w:right="120"/>
        <w:jc w:val="righ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签订日期: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月</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日</w:t>
      </w:r>
    </w:p>
    <w:p w14:paraId="65E3C6A0">
      <w:pPr>
        <w:rPr>
          <w:rFonts w:hAnsi="宋体" w:cs="宋体"/>
          <w:sz w:val="24"/>
          <w:szCs w:val="32"/>
        </w:rPr>
      </w:pPr>
      <w:r>
        <w:rPr>
          <w:rFonts w:hAnsi="宋体" w:cs="宋体"/>
          <w:sz w:val="24"/>
          <w:szCs w:val="32"/>
        </w:rPr>
        <w:br w:type="page"/>
      </w:r>
    </w:p>
    <w:p w14:paraId="18E240DA">
      <w:pPr>
        <w:outlineLvl w:val="0"/>
        <w:rPr>
          <w:rStyle w:val="48"/>
          <w:rFonts w:hint="eastAsia" w:ascii="宋体" w:hAnsi="宋体" w:eastAsia="宋体" w:cs="宋体"/>
          <w:sz w:val="24"/>
          <w:szCs w:val="24"/>
          <w:lang w:val="en-US" w:eastAsia="zh-CN"/>
        </w:rPr>
      </w:pPr>
      <w:r>
        <w:rPr>
          <w:rStyle w:val="48"/>
          <w:rFonts w:hint="eastAsia" w:ascii="宋体" w:hAnsi="宋体" w:eastAsia="宋体" w:cs="宋体"/>
          <w:sz w:val="24"/>
          <w:szCs w:val="24"/>
          <w:lang w:val="en-US" w:eastAsia="zh-CN"/>
        </w:rPr>
        <w:t>额外附件（无需编入响应文件）</w:t>
      </w:r>
    </w:p>
    <w:p w14:paraId="43195FA0">
      <w:pPr>
        <w:spacing w:line="360" w:lineRule="auto"/>
        <w:jc w:val="center"/>
        <w:rPr>
          <w:rFonts w:hint="eastAsia" w:ascii="宋体" w:hAnsi="宋体" w:eastAsia="宋体" w:cs="宋体"/>
          <w:b/>
          <w:bCs w:val="0"/>
          <w:sz w:val="24"/>
          <w:szCs w:val="24"/>
        </w:rPr>
      </w:pPr>
    </w:p>
    <w:p w14:paraId="5CF3C30B">
      <w:pPr>
        <w:spacing w:line="360" w:lineRule="auto"/>
        <w:jc w:val="center"/>
        <w:rPr>
          <w:rFonts w:hint="eastAsia" w:ascii="宋体" w:hAnsi="宋体" w:eastAsia="宋体" w:cs="宋体"/>
          <w:b/>
          <w:bCs w:val="0"/>
          <w:sz w:val="24"/>
          <w:szCs w:val="24"/>
        </w:rPr>
      </w:pPr>
      <w:r>
        <w:rPr>
          <w:rFonts w:hint="eastAsia" w:ascii="宋体" w:hAnsi="宋体" w:cs="宋体"/>
          <w:b/>
          <w:bCs w:val="0"/>
          <w:sz w:val="24"/>
          <w:szCs w:val="24"/>
          <w:lang w:val="en-US" w:eastAsia="zh-CN"/>
        </w:rPr>
        <w:t>第</w:t>
      </w:r>
      <w:r>
        <w:rPr>
          <w:rFonts w:hint="eastAsia" w:ascii="宋体" w:hAnsi="宋体" w:cs="宋体"/>
          <w:b/>
          <w:bCs w:val="0"/>
          <w:sz w:val="24"/>
          <w:szCs w:val="24"/>
          <w:u w:val="single"/>
          <w:lang w:val="en-US" w:eastAsia="zh-CN"/>
        </w:rPr>
        <w:t xml:space="preserve">    </w:t>
      </w:r>
      <w:r>
        <w:rPr>
          <w:rFonts w:hint="eastAsia" w:ascii="宋体" w:hAnsi="宋体" w:eastAsia="宋体" w:cs="宋体"/>
          <w:b/>
          <w:bCs w:val="0"/>
          <w:sz w:val="24"/>
          <w:szCs w:val="24"/>
          <w:lang w:val="en-US" w:eastAsia="zh-CN"/>
        </w:rPr>
        <w:t>轮</w:t>
      </w:r>
      <w:r>
        <w:rPr>
          <w:rFonts w:hint="eastAsia" w:ascii="宋体" w:hAnsi="宋体" w:eastAsia="宋体" w:cs="宋体"/>
          <w:b/>
          <w:bCs w:val="0"/>
          <w:sz w:val="24"/>
          <w:szCs w:val="24"/>
        </w:rPr>
        <w:t>报价函</w:t>
      </w:r>
    </w:p>
    <w:p w14:paraId="64E2DA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致：</w:t>
      </w:r>
      <w:r>
        <w:rPr>
          <w:rFonts w:hint="eastAsia" w:ascii="宋体" w:hAnsi="宋体" w:eastAsia="宋体" w:cs="宋体"/>
          <w:bCs/>
          <w:sz w:val="24"/>
          <w:szCs w:val="24"/>
          <w:u w:val="single"/>
        </w:rPr>
        <w:t>( 采购人</w:t>
      </w:r>
      <w:r>
        <w:rPr>
          <w:rFonts w:hint="eastAsia" w:ascii="宋体" w:hAnsi="宋体" w:eastAsia="宋体" w:cs="宋体"/>
          <w:bCs/>
          <w:sz w:val="24"/>
          <w:szCs w:val="24"/>
          <w:u w:val="single"/>
          <w:lang w:val="en-US" w:eastAsia="zh-CN"/>
        </w:rPr>
        <w:t>名称</w:t>
      </w:r>
      <w:r>
        <w:rPr>
          <w:rFonts w:hint="eastAsia" w:ascii="宋体" w:hAnsi="宋体" w:eastAsia="宋体" w:cs="宋体"/>
          <w:bCs/>
          <w:sz w:val="24"/>
          <w:szCs w:val="24"/>
          <w:u w:val="single"/>
        </w:rPr>
        <w:t xml:space="preserve"> )</w:t>
      </w:r>
    </w:p>
    <w:p w14:paraId="3463C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1、我方愿在前一轮</w:t>
      </w:r>
      <w:r>
        <w:rPr>
          <w:rFonts w:hint="eastAsia" w:ascii="宋体" w:hAnsi="宋体" w:cs="宋体"/>
          <w:bCs/>
          <w:sz w:val="24"/>
          <w:szCs w:val="24"/>
          <w:lang w:val="en-US" w:eastAsia="zh-CN"/>
        </w:rPr>
        <w:t>响应</w:t>
      </w:r>
      <w:r>
        <w:rPr>
          <w:rFonts w:hint="eastAsia" w:ascii="宋体" w:hAnsi="宋体" w:eastAsia="宋体" w:cs="宋体"/>
          <w:bCs/>
          <w:sz w:val="24"/>
          <w:szCs w:val="24"/>
        </w:rPr>
        <w:t>（响应文件）报价的基础上再次让利，让利后响应报价为人民币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元。如果我方有幸成为成交单位，报价费用为所委托项目范围内全部工作，该费用不再调整。</w:t>
      </w:r>
    </w:p>
    <w:p w14:paraId="6FD43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2、其他部分与响应性文件内容一致。</w:t>
      </w:r>
    </w:p>
    <w:p w14:paraId="3DC4A78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p>
    <w:p w14:paraId="1421CE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供应商：（公章）</w:t>
      </w:r>
    </w:p>
    <w:p w14:paraId="50A72C5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法定代表人（或委托代理人）：（签字或盖章）       </w:t>
      </w:r>
    </w:p>
    <w:p w14:paraId="5C9C0D1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日期： 年  月  日 </w:t>
      </w:r>
    </w:p>
    <w:p w14:paraId="26D9B0BE">
      <w:pPr>
        <w:spacing w:line="360" w:lineRule="auto"/>
        <w:jc w:val="center"/>
        <w:rPr>
          <w:rFonts w:hint="eastAsia" w:ascii="宋体" w:hAnsi="宋体" w:eastAsia="宋体" w:cs="宋体"/>
          <w:bCs/>
          <w:sz w:val="24"/>
          <w:szCs w:val="24"/>
        </w:rPr>
      </w:pPr>
    </w:p>
    <w:p w14:paraId="7D7AC9D9">
      <w:pPr>
        <w:spacing w:line="360" w:lineRule="auto"/>
        <w:jc w:val="center"/>
        <w:rPr>
          <w:rFonts w:hint="eastAsia" w:ascii="宋体" w:hAnsi="宋体" w:eastAsia="宋体" w:cs="宋体"/>
          <w:bCs/>
          <w:sz w:val="24"/>
          <w:szCs w:val="24"/>
        </w:rPr>
      </w:pPr>
    </w:p>
    <w:p w14:paraId="7C716F17">
      <w:pPr>
        <w:spacing w:line="360" w:lineRule="auto"/>
        <w:jc w:val="both"/>
        <w:rPr>
          <w:rFonts w:hint="eastAsia" w:ascii="宋体" w:hAnsi="宋体" w:eastAsia="宋体" w:cs="宋体"/>
          <w:bCs/>
          <w:sz w:val="24"/>
          <w:szCs w:val="24"/>
        </w:rPr>
      </w:pPr>
    </w:p>
    <w:p w14:paraId="27FA419C">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rPr>
        <w:t>注：</w:t>
      </w:r>
    </w:p>
    <w:p w14:paraId="3112249C">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最终报价单位为元，最多保留两位小数。</w:t>
      </w:r>
    </w:p>
    <w:p w14:paraId="7C9958E6">
      <w:pPr>
        <w:spacing w:line="360" w:lineRule="auto"/>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w:t>
      </w:r>
      <w:r>
        <w:rPr>
          <w:rFonts w:hint="eastAsia" w:ascii="宋体" w:hAnsi="宋体" w:cs="宋体"/>
          <w:b/>
          <w:bCs w:val="0"/>
          <w:sz w:val="24"/>
          <w:szCs w:val="24"/>
          <w:lang w:val="en-US" w:eastAsia="zh-CN"/>
        </w:rPr>
        <w:t>2</w:t>
      </w:r>
      <w:r>
        <w:rPr>
          <w:rFonts w:hint="eastAsia" w:ascii="宋体" w:hAnsi="宋体" w:eastAsia="宋体" w:cs="宋体"/>
          <w:b/>
          <w:bCs w:val="0"/>
          <w:sz w:val="24"/>
          <w:szCs w:val="24"/>
          <w:lang w:val="en-US" w:eastAsia="zh-CN"/>
        </w:rPr>
        <w:t>）各供应商单独备足空白“</w:t>
      </w:r>
      <w:r>
        <w:rPr>
          <w:rFonts w:hint="eastAsia" w:ascii="宋体" w:hAnsi="宋体" w:cs="宋体"/>
          <w:b/>
          <w:bCs w:val="0"/>
          <w:sz w:val="24"/>
          <w:szCs w:val="24"/>
          <w:lang w:val="en-US" w:eastAsia="zh-CN"/>
        </w:rPr>
        <w:t>报价函</w:t>
      </w:r>
      <w:r>
        <w:rPr>
          <w:rFonts w:hint="eastAsia" w:ascii="宋体" w:hAnsi="宋体" w:eastAsia="宋体" w:cs="宋体"/>
          <w:b/>
          <w:bCs w:val="0"/>
          <w:sz w:val="24"/>
          <w:szCs w:val="24"/>
          <w:lang w:val="en-US" w:eastAsia="zh-CN"/>
        </w:rPr>
        <w:t>”并加盖单位公章及签字，用于二次报价时填写。</w:t>
      </w:r>
    </w:p>
    <w:p w14:paraId="17436D70">
      <w:pPr>
        <w:pStyle w:val="2"/>
      </w:pPr>
    </w:p>
    <w:sectPr>
      <w:headerReference r:id="rId5" w:type="default"/>
      <w:footerReference r:id="rId6" w:type="default"/>
      <w:footerReference r:id="rId7" w:type="even"/>
      <w:pgSz w:w="11906" w:h="16838"/>
      <w:pgMar w:top="1440" w:right="1800" w:bottom="1440" w:left="1800" w:header="113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1D1AC9-8AB4-48B3-8ABB-33261AB11E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6A60D9-57DD-493A-98A6-712CEEBA16BB}"/>
  </w:font>
  <w:font w:name="仿宋_GB2312">
    <w:altName w:val="仿宋"/>
    <w:panose1 w:val="02010609030101010101"/>
    <w:charset w:val="86"/>
    <w:family w:val="modern"/>
    <w:pitch w:val="default"/>
    <w:sig w:usb0="00000000" w:usb1="00000000" w:usb2="00000000" w:usb3="00000000" w:csb0="00040000" w:csb1="00000000"/>
    <w:embedRegular r:id="rId3" w:fontKey="{ED734AB6-4CFE-4927-A73D-9E948DDF7D50}"/>
  </w:font>
  <w:font w:name="仿宋">
    <w:panose1 w:val="02010609060101010101"/>
    <w:charset w:val="86"/>
    <w:family w:val="auto"/>
    <w:pitch w:val="default"/>
    <w:sig w:usb0="800002BF" w:usb1="38CF7CFA" w:usb2="00000016" w:usb3="00000000" w:csb0="00040001" w:csb1="00000000"/>
    <w:embedRegular r:id="rId4" w:fontKey="{0FFF34A7-DCB9-461B-B20B-EF854DD54C58}"/>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5" w:fontKey="{A6443A5A-2F2D-4E7B-868B-F90018CCFE04}"/>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E04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56D1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56D1C">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4D6A5D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52F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8E24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A8E24F">
                    <w:pPr>
                      <w:pStyle w:val="9"/>
                    </w:pPr>
                    <w:r>
                      <w:fldChar w:fldCharType="begin"/>
                    </w:r>
                    <w:r>
                      <w:instrText xml:space="preserve"> PAGE  \* MERGEFORMAT </w:instrText>
                    </w:r>
                    <w:r>
                      <w:fldChar w:fldCharType="separate"/>
                    </w:r>
                    <w:r>
                      <w:t>3</w:t>
                    </w:r>
                    <w:r>
                      <w:fldChar w:fldCharType="end"/>
                    </w:r>
                  </w:p>
                </w:txbxContent>
              </v:textbox>
            </v:shape>
          </w:pict>
        </mc:Fallback>
      </mc:AlternateContent>
    </w:r>
  </w:p>
  <w:p w14:paraId="78A118E8">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A41B">
    <w:pPr>
      <w:pStyle w:val="9"/>
      <w:pBdr>
        <w:top w:val="single" w:color="auto" w:sz="4" w:space="1"/>
      </w:pBdr>
      <w:ind w:right="360"/>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2BD4B">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2BD4B">
                    <w:pPr>
                      <w:pStyle w:val="9"/>
                    </w:pPr>
                    <w:r>
                      <w:fldChar w:fldCharType="begin"/>
                    </w:r>
                    <w:r>
                      <w:instrText xml:space="preserve"> PAGE  \* MERGEFORMAT </w:instrText>
                    </w:r>
                    <w:r>
                      <w:fldChar w:fldCharType="separate"/>
                    </w:r>
                    <w:r>
                      <w:t>18</w:t>
                    </w:r>
                    <w:r>
                      <w:fldChar w:fldCharType="end"/>
                    </w:r>
                  </w:p>
                </w:txbxContent>
              </v:textbox>
            </v:shape>
          </w:pict>
        </mc:Fallback>
      </mc:AlternateContent>
    </w:r>
  </w:p>
  <w:p w14:paraId="350AAD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3EDF">
    <w:pPr>
      <w:pStyle w:val="9"/>
      <w:framePr w:wrap="around" w:vAnchor="text" w:hAnchor="margin" w:xAlign="right" w:y="1"/>
      <w:rPr>
        <w:rStyle w:val="20"/>
      </w:rPr>
    </w:pPr>
    <w:r>
      <w:fldChar w:fldCharType="begin"/>
    </w:r>
    <w:r>
      <w:rPr>
        <w:rStyle w:val="20"/>
      </w:rPr>
      <w:instrText xml:space="preserve">PAGE  </w:instrText>
    </w:r>
    <w:r>
      <w:fldChar w:fldCharType="end"/>
    </w:r>
  </w:p>
  <w:p w14:paraId="327EEBF6">
    <w:pPr>
      <w:pStyle w:val="9"/>
      <w:ind w:right="360"/>
    </w:pPr>
  </w:p>
  <w:p w14:paraId="6C883E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3F0B">
    <w:pPr>
      <w:pStyle w:val="10"/>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5187CC9C"/>
    <w:multiLevelType w:val="singleLevel"/>
    <w:tmpl w:val="5187CC9C"/>
    <w:lvl w:ilvl="0" w:tentative="0">
      <w:start w:val="1"/>
      <w:numFmt w:val="decimal"/>
      <w:suff w:val="nothing"/>
      <w:lvlText w:val="%1、"/>
      <w:lvlJc w:val="left"/>
    </w:lvl>
  </w:abstractNum>
  <w:abstractNum w:abstractNumId="2">
    <w:nsid w:val="57E98523"/>
    <w:multiLevelType w:val="singleLevel"/>
    <w:tmpl w:val="57E98523"/>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33528"/>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81283"/>
    <w:rsid w:val="004C3D64"/>
    <w:rsid w:val="00502F86"/>
    <w:rsid w:val="00554AED"/>
    <w:rsid w:val="00573D8E"/>
    <w:rsid w:val="005B7F2A"/>
    <w:rsid w:val="005C36B3"/>
    <w:rsid w:val="005E629F"/>
    <w:rsid w:val="005F257E"/>
    <w:rsid w:val="005F31BF"/>
    <w:rsid w:val="0062612B"/>
    <w:rsid w:val="00641E35"/>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97D30"/>
    <w:rsid w:val="009C15CF"/>
    <w:rsid w:val="009C2971"/>
    <w:rsid w:val="009D484D"/>
    <w:rsid w:val="00A0731A"/>
    <w:rsid w:val="00A40483"/>
    <w:rsid w:val="00A53F70"/>
    <w:rsid w:val="00A72BE0"/>
    <w:rsid w:val="00AB14BC"/>
    <w:rsid w:val="00AC096B"/>
    <w:rsid w:val="00AE137C"/>
    <w:rsid w:val="00AE30B0"/>
    <w:rsid w:val="00B0397C"/>
    <w:rsid w:val="00B11A1A"/>
    <w:rsid w:val="00B403CD"/>
    <w:rsid w:val="00B519D7"/>
    <w:rsid w:val="00B60525"/>
    <w:rsid w:val="00B75680"/>
    <w:rsid w:val="00B91F55"/>
    <w:rsid w:val="00B92E69"/>
    <w:rsid w:val="00B93C87"/>
    <w:rsid w:val="00BA0C8C"/>
    <w:rsid w:val="00BB413B"/>
    <w:rsid w:val="00BC12F0"/>
    <w:rsid w:val="00BC3B7F"/>
    <w:rsid w:val="00BD2778"/>
    <w:rsid w:val="00BE32F3"/>
    <w:rsid w:val="00C11019"/>
    <w:rsid w:val="00C36B5B"/>
    <w:rsid w:val="00C44682"/>
    <w:rsid w:val="00C73E3E"/>
    <w:rsid w:val="00C75E31"/>
    <w:rsid w:val="00C84172"/>
    <w:rsid w:val="00C905B8"/>
    <w:rsid w:val="00D009EA"/>
    <w:rsid w:val="00D40D69"/>
    <w:rsid w:val="00D45394"/>
    <w:rsid w:val="00D62FCB"/>
    <w:rsid w:val="00D64BD5"/>
    <w:rsid w:val="00D76247"/>
    <w:rsid w:val="00D9012D"/>
    <w:rsid w:val="00D90AFE"/>
    <w:rsid w:val="00D96E63"/>
    <w:rsid w:val="00DC661F"/>
    <w:rsid w:val="00DC6BD9"/>
    <w:rsid w:val="00DE4501"/>
    <w:rsid w:val="00E1437E"/>
    <w:rsid w:val="00E25D2A"/>
    <w:rsid w:val="00E37283"/>
    <w:rsid w:val="00E43CD1"/>
    <w:rsid w:val="00E815D1"/>
    <w:rsid w:val="00EC71D2"/>
    <w:rsid w:val="00ED4AA4"/>
    <w:rsid w:val="00EF7950"/>
    <w:rsid w:val="00F07E7E"/>
    <w:rsid w:val="00F24888"/>
    <w:rsid w:val="00F44726"/>
    <w:rsid w:val="00FA7A82"/>
    <w:rsid w:val="00FB3DFE"/>
    <w:rsid w:val="00FE651F"/>
    <w:rsid w:val="01284C10"/>
    <w:rsid w:val="01395070"/>
    <w:rsid w:val="014B08FF"/>
    <w:rsid w:val="014C6B51"/>
    <w:rsid w:val="015155C3"/>
    <w:rsid w:val="0168325F"/>
    <w:rsid w:val="016C134C"/>
    <w:rsid w:val="018E53BB"/>
    <w:rsid w:val="01967DCC"/>
    <w:rsid w:val="019948FF"/>
    <w:rsid w:val="01A52705"/>
    <w:rsid w:val="01AA1AC9"/>
    <w:rsid w:val="01AF5332"/>
    <w:rsid w:val="01B36BD0"/>
    <w:rsid w:val="01D134FA"/>
    <w:rsid w:val="01DA23AF"/>
    <w:rsid w:val="01E62509"/>
    <w:rsid w:val="01F36FCC"/>
    <w:rsid w:val="01FB2325"/>
    <w:rsid w:val="02021905"/>
    <w:rsid w:val="02105DD0"/>
    <w:rsid w:val="02111B48"/>
    <w:rsid w:val="021F6ED0"/>
    <w:rsid w:val="02313F99"/>
    <w:rsid w:val="024E68F9"/>
    <w:rsid w:val="025C7268"/>
    <w:rsid w:val="02663EAD"/>
    <w:rsid w:val="02693733"/>
    <w:rsid w:val="02702D13"/>
    <w:rsid w:val="02785724"/>
    <w:rsid w:val="027D2D3A"/>
    <w:rsid w:val="028265A2"/>
    <w:rsid w:val="0288500D"/>
    <w:rsid w:val="0297204E"/>
    <w:rsid w:val="029F0F02"/>
    <w:rsid w:val="029F74CA"/>
    <w:rsid w:val="02A23F5D"/>
    <w:rsid w:val="02BA5D3C"/>
    <w:rsid w:val="02D313B6"/>
    <w:rsid w:val="02D92666"/>
    <w:rsid w:val="02DF7AA4"/>
    <w:rsid w:val="02E828A9"/>
    <w:rsid w:val="02E86730"/>
    <w:rsid w:val="02E903CF"/>
    <w:rsid w:val="02F72AEC"/>
    <w:rsid w:val="03011BBD"/>
    <w:rsid w:val="030D41CD"/>
    <w:rsid w:val="03125B78"/>
    <w:rsid w:val="03171BF9"/>
    <w:rsid w:val="03190CB5"/>
    <w:rsid w:val="031B2C7F"/>
    <w:rsid w:val="033E696D"/>
    <w:rsid w:val="03440AAD"/>
    <w:rsid w:val="03451AAA"/>
    <w:rsid w:val="03522419"/>
    <w:rsid w:val="035D3297"/>
    <w:rsid w:val="0365214C"/>
    <w:rsid w:val="03667C72"/>
    <w:rsid w:val="03697A90"/>
    <w:rsid w:val="036A7762"/>
    <w:rsid w:val="038F0F77"/>
    <w:rsid w:val="0397744C"/>
    <w:rsid w:val="039C3694"/>
    <w:rsid w:val="03A72764"/>
    <w:rsid w:val="03AC7D7B"/>
    <w:rsid w:val="03AF33C7"/>
    <w:rsid w:val="03B20153"/>
    <w:rsid w:val="03C52BEB"/>
    <w:rsid w:val="03EA08A3"/>
    <w:rsid w:val="040A4AA1"/>
    <w:rsid w:val="040B2A74"/>
    <w:rsid w:val="041476CE"/>
    <w:rsid w:val="041871BE"/>
    <w:rsid w:val="042C2C6A"/>
    <w:rsid w:val="04473600"/>
    <w:rsid w:val="044955CA"/>
    <w:rsid w:val="04531FA4"/>
    <w:rsid w:val="045F6B9B"/>
    <w:rsid w:val="0461636B"/>
    <w:rsid w:val="046A2717"/>
    <w:rsid w:val="04784101"/>
    <w:rsid w:val="047D34C5"/>
    <w:rsid w:val="047F723D"/>
    <w:rsid w:val="04826D2E"/>
    <w:rsid w:val="04874344"/>
    <w:rsid w:val="048900BC"/>
    <w:rsid w:val="04891E6A"/>
    <w:rsid w:val="048B7990"/>
    <w:rsid w:val="049251C3"/>
    <w:rsid w:val="04A10F62"/>
    <w:rsid w:val="04A4420B"/>
    <w:rsid w:val="04A96068"/>
    <w:rsid w:val="04E11CA6"/>
    <w:rsid w:val="04E92909"/>
    <w:rsid w:val="04FB16CE"/>
    <w:rsid w:val="05184F9C"/>
    <w:rsid w:val="052102F4"/>
    <w:rsid w:val="052878D5"/>
    <w:rsid w:val="05573D16"/>
    <w:rsid w:val="0564343C"/>
    <w:rsid w:val="05720B50"/>
    <w:rsid w:val="058D4B01"/>
    <w:rsid w:val="0596483F"/>
    <w:rsid w:val="05A52CD4"/>
    <w:rsid w:val="05B9052D"/>
    <w:rsid w:val="05B9677F"/>
    <w:rsid w:val="05C50C80"/>
    <w:rsid w:val="05CF2FDE"/>
    <w:rsid w:val="05DE7F94"/>
    <w:rsid w:val="05E25CD6"/>
    <w:rsid w:val="05EA6938"/>
    <w:rsid w:val="060E0879"/>
    <w:rsid w:val="061340E1"/>
    <w:rsid w:val="06163BD1"/>
    <w:rsid w:val="0624009C"/>
    <w:rsid w:val="062C6F51"/>
    <w:rsid w:val="06316315"/>
    <w:rsid w:val="064047AA"/>
    <w:rsid w:val="06562220"/>
    <w:rsid w:val="06691F53"/>
    <w:rsid w:val="06693130"/>
    <w:rsid w:val="067526A6"/>
    <w:rsid w:val="067D77AC"/>
    <w:rsid w:val="067F1777"/>
    <w:rsid w:val="06896151"/>
    <w:rsid w:val="06982838"/>
    <w:rsid w:val="069B7C33"/>
    <w:rsid w:val="06A411DD"/>
    <w:rsid w:val="06A765D7"/>
    <w:rsid w:val="06B342AD"/>
    <w:rsid w:val="06BD5DFB"/>
    <w:rsid w:val="06C947A0"/>
    <w:rsid w:val="06D51397"/>
    <w:rsid w:val="06D82C35"/>
    <w:rsid w:val="06E15F8D"/>
    <w:rsid w:val="06EE4206"/>
    <w:rsid w:val="07397B77"/>
    <w:rsid w:val="07477E74"/>
    <w:rsid w:val="07666493"/>
    <w:rsid w:val="076F5347"/>
    <w:rsid w:val="07837045"/>
    <w:rsid w:val="07937C68"/>
    <w:rsid w:val="0797489E"/>
    <w:rsid w:val="07990616"/>
    <w:rsid w:val="079B5FAE"/>
    <w:rsid w:val="07A20778"/>
    <w:rsid w:val="07B05960"/>
    <w:rsid w:val="07B733C4"/>
    <w:rsid w:val="07BB67DE"/>
    <w:rsid w:val="07C5765D"/>
    <w:rsid w:val="07D77390"/>
    <w:rsid w:val="07ED349A"/>
    <w:rsid w:val="08092B10"/>
    <w:rsid w:val="082F0F7A"/>
    <w:rsid w:val="08514A4D"/>
    <w:rsid w:val="085602B5"/>
    <w:rsid w:val="086329D2"/>
    <w:rsid w:val="087E15BA"/>
    <w:rsid w:val="0888779C"/>
    <w:rsid w:val="0891753F"/>
    <w:rsid w:val="08A40A20"/>
    <w:rsid w:val="08B80F70"/>
    <w:rsid w:val="08CE0793"/>
    <w:rsid w:val="08CE2E53"/>
    <w:rsid w:val="08D12A6B"/>
    <w:rsid w:val="08D51B22"/>
    <w:rsid w:val="08D538D0"/>
    <w:rsid w:val="08F024B8"/>
    <w:rsid w:val="08F655F4"/>
    <w:rsid w:val="09122521"/>
    <w:rsid w:val="091A3FB8"/>
    <w:rsid w:val="091A5787"/>
    <w:rsid w:val="09271C52"/>
    <w:rsid w:val="09383E5F"/>
    <w:rsid w:val="093C56FD"/>
    <w:rsid w:val="09541963"/>
    <w:rsid w:val="09707B14"/>
    <w:rsid w:val="09732A37"/>
    <w:rsid w:val="097C116F"/>
    <w:rsid w:val="098D41AA"/>
    <w:rsid w:val="09905A49"/>
    <w:rsid w:val="09971291"/>
    <w:rsid w:val="099A0675"/>
    <w:rsid w:val="09A21F4E"/>
    <w:rsid w:val="09AC2C7C"/>
    <w:rsid w:val="09AF4121"/>
    <w:rsid w:val="09D15427"/>
    <w:rsid w:val="09D92E75"/>
    <w:rsid w:val="09EA6F07"/>
    <w:rsid w:val="0A0124A3"/>
    <w:rsid w:val="0A0501E5"/>
    <w:rsid w:val="0A075837"/>
    <w:rsid w:val="0A08006A"/>
    <w:rsid w:val="0A195A3E"/>
    <w:rsid w:val="0A1B3564"/>
    <w:rsid w:val="0A210AF1"/>
    <w:rsid w:val="0A280703"/>
    <w:rsid w:val="0A2D5046"/>
    <w:rsid w:val="0A2E773B"/>
    <w:rsid w:val="0A3B3C06"/>
    <w:rsid w:val="0A3D797F"/>
    <w:rsid w:val="0A4834A5"/>
    <w:rsid w:val="0A495578"/>
    <w:rsid w:val="0A4C5E14"/>
    <w:rsid w:val="0A5C3C67"/>
    <w:rsid w:val="0A726EFC"/>
    <w:rsid w:val="0A886720"/>
    <w:rsid w:val="0A8F3F52"/>
    <w:rsid w:val="0A95202C"/>
    <w:rsid w:val="0A9607F5"/>
    <w:rsid w:val="0AA55524"/>
    <w:rsid w:val="0AAA48E8"/>
    <w:rsid w:val="0AAB0D8C"/>
    <w:rsid w:val="0AB1211B"/>
    <w:rsid w:val="0AB1595C"/>
    <w:rsid w:val="0AB67731"/>
    <w:rsid w:val="0AC0235E"/>
    <w:rsid w:val="0AC41E4E"/>
    <w:rsid w:val="0AD55E09"/>
    <w:rsid w:val="0AEE0C79"/>
    <w:rsid w:val="0B0C55A3"/>
    <w:rsid w:val="0B0D1F83"/>
    <w:rsid w:val="0B185CF6"/>
    <w:rsid w:val="0B1C059C"/>
    <w:rsid w:val="0B270E55"/>
    <w:rsid w:val="0B2D79F3"/>
    <w:rsid w:val="0B344594"/>
    <w:rsid w:val="0B3F32C0"/>
    <w:rsid w:val="0B402762"/>
    <w:rsid w:val="0B4765DB"/>
    <w:rsid w:val="0B4E1717"/>
    <w:rsid w:val="0B680A2B"/>
    <w:rsid w:val="0B73117E"/>
    <w:rsid w:val="0B8769D7"/>
    <w:rsid w:val="0B8D2240"/>
    <w:rsid w:val="0B9730BE"/>
    <w:rsid w:val="0BC1013B"/>
    <w:rsid w:val="0BCB2A5E"/>
    <w:rsid w:val="0BCF2F63"/>
    <w:rsid w:val="0BD25EA5"/>
    <w:rsid w:val="0BD32EFE"/>
    <w:rsid w:val="0BDA2FAB"/>
    <w:rsid w:val="0C0727E4"/>
    <w:rsid w:val="0C2030B4"/>
    <w:rsid w:val="0C2A3F33"/>
    <w:rsid w:val="0C3C77C2"/>
    <w:rsid w:val="0C43404D"/>
    <w:rsid w:val="0C450D6C"/>
    <w:rsid w:val="0C4A518C"/>
    <w:rsid w:val="0C61547A"/>
    <w:rsid w:val="0C790A16"/>
    <w:rsid w:val="0C8E2713"/>
    <w:rsid w:val="0C985340"/>
    <w:rsid w:val="0CA248BC"/>
    <w:rsid w:val="0CA75589"/>
    <w:rsid w:val="0CAF61E6"/>
    <w:rsid w:val="0CC9374C"/>
    <w:rsid w:val="0CCD48BE"/>
    <w:rsid w:val="0CDB31C5"/>
    <w:rsid w:val="0CDB522D"/>
    <w:rsid w:val="0CE75980"/>
    <w:rsid w:val="0CF462EF"/>
    <w:rsid w:val="0CF92A3E"/>
    <w:rsid w:val="0D0C53E6"/>
    <w:rsid w:val="0D1843F4"/>
    <w:rsid w:val="0D200E92"/>
    <w:rsid w:val="0D336E17"/>
    <w:rsid w:val="0D3A01A5"/>
    <w:rsid w:val="0D3F3A0E"/>
    <w:rsid w:val="0D5154EF"/>
    <w:rsid w:val="0D592054"/>
    <w:rsid w:val="0D5A43A4"/>
    <w:rsid w:val="0D614AED"/>
    <w:rsid w:val="0D646FD0"/>
    <w:rsid w:val="0D6F756B"/>
    <w:rsid w:val="0D851A87"/>
    <w:rsid w:val="0D925950"/>
    <w:rsid w:val="0DB735A4"/>
    <w:rsid w:val="0DC12675"/>
    <w:rsid w:val="0DD51251"/>
    <w:rsid w:val="0DED2C29"/>
    <w:rsid w:val="0DF071A5"/>
    <w:rsid w:val="0DFF4F4B"/>
    <w:rsid w:val="0E06277D"/>
    <w:rsid w:val="0E0662D9"/>
    <w:rsid w:val="0E213113"/>
    <w:rsid w:val="0E2826F4"/>
    <w:rsid w:val="0E3C1CFB"/>
    <w:rsid w:val="0E407A3D"/>
    <w:rsid w:val="0E4B725D"/>
    <w:rsid w:val="0E6C0832"/>
    <w:rsid w:val="0E7019A5"/>
    <w:rsid w:val="0E7B78BC"/>
    <w:rsid w:val="0E811E04"/>
    <w:rsid w:val="0E960DA4"/>
    <w:rsid w:val="0E990EFC"/>
    <w:rsid w:val="0EA04BD9"/>
    <w:rsid w:val="0EBE4E06"/>
    <w:rsid w:val="0EC35F79"/>
    <w:rsid w:val="0ECA566D"/>
    <w:rsid w:val="0EDE591C"/>
    <w:rsid w:val="0EDF43DC"/>
    <w:rsid w:val="0EE91E83"/>
    <w:rsid w:val="0EEF6D6E"/>
    <w:rsid w:val="0EF56A7A"/>
    <w:rsid w:val="0EFE5203"/>
    <w:rsid w:val="0F00663B"/>
    <w:rsid w:val="0F024CF3"/>
    <w:rsid w:val="0F0C791F"/>
    <w:rsid w:val="0F1A4EA2"/>
    <w:rsid w:val="0F323C80"/>
    <w:rsid w:val="0F386966"/>
    <w:rsid w:val="0F470958"/>
    <w:rsid w:val="0F6B0AEA"/>
    <w:rsid w:val="0F707EAE"/>
    <w:rsid w:val="0F751969"/>
    <w:rsid w:val="0F931DEF"/>
    <w:rsid w:val="0F957915"/>
    <w:rsid w:val="0FAC2EB1"/>
    <w:rsid w:val="0FB26719"/>
    <w:rsid w:val="0FB3426A"/>
    <w:rsid w:val="0FBD50BE"/>
    <w:rsid w:val="0FC05C73"/>
    <w:rsid w:val="0FDE750E"/>
    <w:rsid w:val="0FDF6DE2"/>
    <w:rsid w:val="0FE4264A"/>
    <w:rsid w:val="0FE663C2"/>
    <w:rsid w:val="0FF02D9D"/>
    <w:rsid w:val="0FFF56D6"/>
    <w:rsid w:val="10044A9B"/>
    <w:rsid w:val="1008681F"/>
    <w:rsid w:val="10260EB5"/>
    <w:rsid w:val="104024BB"/>
    <w:rsid w:val="10563548"/>
    <w:rsid w:val="106F280D"/>
    <w:rsid w:val="107E158A"/>
    <w:rsid w:val="108B0D18"/>
    <w:rsid w:val="10B93AD7"/>
    <w:rsid w:val="10BE10ED"/>
    <w:rsid w:val="10C36704"/>
    <w:rsid w:val="10CD1330"/>
    <w:rsid w:val="10D161C4"/>
    <w:rsid w:val="10D4446D"/>
    <w:rsid w:val="10DA7B9E"/>
    <w:rsid w:val="10DB57FB"/>
    <w:rsid w:val="10E723F2"/>
    <w:rsid w:val="10F44B0F"/>
    <w:rsid w:val="11407D54"/>
    <w:rsid w:val="114B56D0"/>
    <w:rsid w:val="11511F61"/>
    <w:rsid w:val="116003F7"/>
    <w:rsid w:val="11651569"/>
    <w:rsid w:val="11665A0D"/>
    <w:rsid w:val="11755C50"/>
    <w:rsid w:val="11847C41"/>
    <w:rsid w:val="118B7221"/>
    <w:rsid w:val="118F65E6"/>
    <w:rsid w:val="11A1491C"/>
    <w:rsid w:val="11B5111E"/>
    <w:rsid w:val="11C40985"/>
    <w:rsid w:val="11C60F64"/>
    <w:rsid w:val="11C72224"/>
    <w:rsid w:val="11D02E86"/>
    <w:rsid w:val="11DF756D"/>
    <w:rsid w:val="11F748B7"/>
    <w:rsid w:val="11FA6155"/>
    <w:rsid w:val="11FF19BD"/>
    <w:rsid w:val="121073DE"/>
    <w:rsid w:val="121D3BF2"/>
    <w:rsid w:val="12260CF8"/>
    <w:rsid w:val="1235718D"/>
    <w:rsid w:val="12535865"/>
    <w:rsid w:val="12647A72"/>
    <w:rsid w:val="126857B5"/>
    <w:rsid w:val="12751C80"/>
    <w:rsid w:val="12796516"/>
    <w:rsid w:val="12837EF9"/>
    <w:rsid w:val="1288550F"/>
    <w:rsid w:val="128C7765"/>
    <w:rsid w:val="129F0AAB"/>
    <w:rsid w:val="12A2123C"/>
    <w:rsid w:val="12AF5192"/>
    <w:rsid w:val="12B24C82"/>
    <w:rsid w:val="12C16C73"/>
    <w:rsid w:val="12CD5618"/>
    <w:rsid w:val="12DB2E87"/>
    <w:rsid w:val="12EA441C"/>
    <w:rsid w:val="12EF558E"/>
    <w:rsid w:val="13023513"/>
    <w:rsid w:val="131775E8"/>
    <w:rsid w:val="13294F44"/>
    <w:rsid w:val="132D4308"/>
    <w:rsid w:val="1334693B"/>
    <w:rsid w:val="13421B62"/>
    <w:rsid w:val="13541895"/>
    <w:rsid w:val="135B124E"/>
    <w:rsid w:val="13623155"/>
    <w:rsid w:val="13771000"/>
    <w:rsid w:val="138959E3"/>
    <w:rsid w:val="13897791"/>
    <w:rsid w:val="13936861"/>
    <w:rsid w:val="13A20852"/>
    <w:rsid w:val="13B3480E"/>
    <w:rsid w:val="13D22765"/>
    <w:rsid w:val="13D36C5E"/>
    <w:rsid w:val="13DF5603"/>
    <w:rsid w:val="13E04764"/>
    <w:rsid w:val="13F07810"/>
    <w:rsid w:val="13F866C4"/>
    <w:rsid w:val="141F1A80"/>
    <w:rsid w:val="14276FAA"/>
    <w:rsid w:val="142E6509"/>
    <w:rsid w:val="14305E5E"/>
    <w:rsid w:val="143454D8"/>
    <w:rsid w:val="143811B7"/>
    <w:rsid w:val="14537D9F"/>
    <w:rsid w:val="145558C5"/>
    <w:rsid w:val="145A737F"/>
    <w:rsid w:val="14643D5A"/>
    <w:rsid w:val="147321EF"/>
    <w:rsid w:val="14740441"/>
    <w:rsid w:val="14785667"/>
    <w:rsid w:val="14787805"/>
    <w:rsid w:val="14812B5E"/>
    <w:rsid w:val="14832432"/>
    <w:rsid w:val="14891A12"/>
    <w:rsid w:val="148E0DD7"/>
    <w:rsid w:val="14902DA1"/>
    <w:rsid w:val="14926B19"/>
    <w:rsid w:val="14956609"/>
    <w:rsid w:val="14C30A80"/>
    <w:rsid w:val="14D62EA9"/>
    <w:rsid w:val="14D727D0"/>
    <w:rsid w:val="14D7452C"/>
    <w:rsid w:val="150D1F93"/>
    <w:rsid w:val="15175270"/>
    <w:rsid w:val="15273705"/>
    <w:rsid w:val="1534197E"/>
    <w:rsid w:val="153455CA"/>
    <w:rsid w:val="154047C7"/>
    <w:rsid w:val="15453B8B"/>
    <w:rsid w:val="15521101"/>
    <w:rsid w:val="156F29B6"/>
    <w:rsid w:val="15712BD2"/>
    <w:rsid w:val="15714980"/>
    <w:rsid w:val="157306F8"/>
    <w:rsid w:val="1574621E"/>
    <w:rsid w:val="15980968"/>
    <w:rsid w:val="15C14ABA"/>
    <w:rsid w:val="15D867AD"/>
    <w:rsid w:val="15EE4223"/>
    <w:rsid w:val="15F7693B"/>
    <w:rsid w:val="15FB249C"/>
    <w:rsid w:val="161517B0"/>
    <w:rsid w:val="161A5018"/>
    <w:rsid w:val="161C0D90"/>
    <w:rsid w:val="161E0F3C"/>
    <w:rsid w:val="161E145D"/>
    <w:rsid w:val="1638549E"/>
    <w:rsid w:val="163A2FC4"/>
    <w:rsid w:val="163C4F8E"/>
    <w:rsid w:val="16436D08"/>
    <w:rsid w:val="16450281"/>
    <w:rsid w:val="164976AB"/>
    <w:rsid w:val="164B6F7F"/>
    <w:rsid w:val="1651030E"/>
    <w:rsid w:val="165A18B8"/>
    <w:rsid w:val="16691AFB"/>
    <w:rsid w:val="166B13D0"/>
    <w:rsid w:val="167364D6"/>
    <w:rsid w:val="16783AEC"/>
    <w:rsid w:val="167A7865"/>
    <w:rsid w:val="168626AD"/>
    <w:rsid w:val="16871B76"/>
    <w:rsid w:val="16881F81"/>
    <w:rsid w:val="16923636"/>
    <w:rsid w:val="16BD4EA7"/>
    <w:rsid w:val="16BE1E47"/>
    <w:rsid w:val="16D36F75"/>
    <w:rsid w:val="16D52CED"/>
    <w:rsid w:val="16DE6045"/>
    <w:rsid w:val="16E16F3A"/>
    <w:rsid w:val="16E41182"/>
    <w:rsid w:val="16F45869"/>
    <w:rsid w:val="170B670F"/>
    <w:rsid w:val="17283764"/>
    <w:rsid w:val="172D2B29"/>
    <w:rsid w:val="17377504"/>
    <w:rsid w:val="173C4B1A"/>
    <w:rsid w:val="175D340E"/>
    <w:rsid w:val="175E0F34"/>
    <w:rsid w:val="175E6B6A"/>
    <w:rsid w:val="1768590F"/>
    <w:rsid w:val="176A436F"/>
    <w:rsid w:val="177249E0"/>
    <w:rsid w:val="1776627E"/>
    <w:rsid w:val="17793FC0"/>
    <w:rsid w:val="178A7F7B"/>
    <w:rsid w:val="17936E30"/>
    <w:rsid w:val="17B07BF3"/>
    <w:rsid w:val="17B40B54"/>
    <w:rsid w:val="17C678CB"/>
    <w:rsid w:val="17D36241"/>
    <w:rsid w:val="17EB6C6C"/>
    <w:rsid w:val="17EC4792"/>
    <w:rsid w:val="17FE566D"/>
    <w:rsid w:val="181635BD"/>
    <w:rsid w:val="18291542"/>
    <w:rsid w:val="18365A0D"/>
    <w:rsid w:val="18381785"/>
    <w:rsid w:val="183C74C7"/>
    <w:rsid w:val="18420856"/>
    <w:rsid w:val="18493992"/>
    <w:rsid w:val="184E2D57"/>
    <w:rsid w:val="18534811"/>
    <w:rsid w:val="185F31B6"/>
    <w:rsid w:val="187A1D9E"/>
    <w:rsid w:val="187D53EA"/>
    <w:rsid w:val="18820C52"/>
    <w:rsid w:val="188B3FAB"/>
    <w:rsid w:val="18A40BC9"/>
    <w:rsid w:val="18AC1CDC"/>
    <w:rsid w:val="18AE7C99"/>
    <w:rsid w:val="18B76B4E"/>
    <w:rsid w:val="18BD045D"/>
    <w:rsid w:val="18D05E62"/>
    <w:rsid w:val="18DC0363"/>
    <w:rsid w:val="18E11E1D"/>
    <w:rsid w:val="18FA4C8D"/>
    <w:rsid w:val="18FB6DC4"/>
    <w:rsid w:val="18FD1A72"/>
    <w:rsid w:val="18FF22A3"/>
    <w:rsid w:val="19137AFC"/>
    <w:rsid w:val="19287A4C"/>
    <w:rsid w:val="192F4936"/>
    <w:rsid w:val="1934019F"/>
    <w:rsid w:val="193E726F"/>
    <w:rsid w:val="194859F8"/>
    <w:rsid w:val="19520625"/>
    <w:rsid w:val="196A0064"/>
    <w:rsid w:val="19792055"/>
    <w:rsid w:val="19AF1F1B"/>
    <w:rsid w:val="19BE5CBA"/>
    <w:rsid w:val="19CA465F"/>
    <w:rsid w:val="19CD414F"/>
    <w:rsid w:val="19D379B8"/>
    <w:rsid w:val="19D83220"/>
    <w:rsid w:val="19E26AD1"/>
    <w:rsid w:val="19FD4A34"/>
    <w:rsid w:val="1A07140F"/>
    <w:rsid w:val="1A0A7151"/>
    <w:rsid w:val="1A134258"/>
    <w:rsid w:val="1A136006"/>
    <w:rsid w:val="1A2E2E40"/>
    <w:rsid w:val="1A2F1DF7"/>
    <w:rsid w:val="1A381F10"/>
    <w:rsid w:val="1A3D3083"/>
    <w:rsid w:val="1A431F25"/>
    <w:rsid w:val="1A437ED6"/>
    <w:rsid w:val="1A473F02"/>
    <w:rsid w:val="1A5664B6"/>
    <w:rsid w:val="1A584361"/>
    <w:rsid w:val="1A607D8E"/>
    <w:rsid w:val="1A69031C"/>
    <w:rsid w:val="1A7A361D"/>
    <w:rsid w:val="1A82318C"/>
    <w:rsid w:val="1A846F04"/>
    <w:rsid w:val="1AB01AA7"/>
    <w:rsid w:val="1ACB068F"/>
    <w:rsid w:val="1ADA4D76"/>
    <w:rsid w:val="1AE16104"/>
    <w:rsid w:val="1AE23C2A"/>
    <w:rsid w:val="1AED4AA9"/>
    <w:rsid w:val="1AF75EF5"/>
    <w:rsid w:val="1B0B5973"/>
    <w:rsid w:val="1B133E17"/>
    <w:rsid w:val="1B177D78"/>
    <w:rsid w:val="1B2A7AAB"/>
    <w:rsid w:val="1B3E5305"/>
    <w:rsid w:val="1B4D72F6"/>
    <w:rsid w:val="1B544B28"/>
    <w:rsid w:val="1B66161C"/>
    <w:rsid w:val="1B750FCE"/>
    <w:rsid w:val="1B770817"/>
    <w:rsid w:val="1B8371BB"/>
    <w:rsid w:val="1B903686"/>
    <w:rsid w:val="1B917B2A"/>
    <w:rsid w:val="1BA01BB2"/>
    <w:rsid w:val="1BB455C7"/>
    <w:rsid w:val="1BD47A17"/>
    <w:rsid w:val="1BE0460E"/>
    <w:rsid w:val="1BEA0FE8"/>
    <w:rsid w:val="1BEA2D97"/>
    <w:rsid w:val="1BF80FCF"/>
    <w:rsid w:val="1C0C0F5F"/>
    <w:rsid w:val="1C1553FF"/>
    <w:rsid w:val="1C166281"/>
    <w:rsid w:val="1C283304"/>
    <w:rsid w:val="1C295FB5"/>
    <w:rsid w:val="1C3B7A96"/>
    <w:rsid w:val="1C641230"/>
    <w:rsid w:val="1C676ADD"/>
    <w:rsid w:val="1C705992"/>
    <w:rsid w:val="1C782A98"/>
    <w:rsid w:val="1C7B7E93"/>
    <w:rsid w:val="1C9978FC"/>
    <w:rsid w:val="1C9F0025"/>
    <w:rsid w:val="1CA27B15"/>
    <w:rsid w:val="1CAB5C51"/>
    <w:rsid w:val="1CAC2742"/>
    <w:rsid w:val="1CAC3B3D"/>
    <w:rsid w:val="1CBA4E5F"/>
    <w:rsid w:val="1CCC06EE"/>
    <w:rsid w:val="1CE75528"/>
    <w:rsid w:val="1CED18DB"/>
    <w:rsid w:val="1CF06AD2"/>
    <w:rsid w:val="1CFE11EF"/>
    <w:rsid w:val="1D022362"/>
    <w:rsid w:val="1D036806"/>
    <w:rsid w:val="1D0866CB"/>
    <w:rsid w:val="1D09129C"/>
    <w:rsid w:val="1D0D1432"/>
    <w:rsid w:val="1D1E3640"/>
    <w:rsid w:val="1D3159D0"/>
    <w:rsid w:val="1D3C1D18"/>
    <w:rsid w:val="1D3D339A"/>
    <w:rsid w:val="1D3F7112"/>
    <w:rsid w:val="1D5277E1"/>
    <w:rsid w:val="1D530C7D"/>
    <w:rsid w:val="1D632B53"/>
    <w:rsid w:val="1D644DCB"/>
    <w:rsid w:val="1D6B7F07"/>
    <w:rsid w:val="1D6D0123"/>
    <w:rsid w:val="1D6F3E9B"/>
    <w:rsid w:val="1DA72630"/>
    <w:rsid w:val="1DBE44DB"/>
    <w:rsid w:val="1DC1221D"/>
    <w:rsid w:val="1DC615E1"/>
    <w:rsid w:val="1DC835AB"/>
    <w:rsid w:val="1DCD2970"/>
    <w:rsid w:val="1DDC7057"/>
    <w:rsid w:val="1DE008F5"/>
    <w:rsid w:val="1DE2466D"/>
    <w:rsid w:val="1DE960B7"/>
    <w:rsid w:val="1DEF77E3"/>
    <w:rsid w:val="1DFB74DD"/>
    <w:rsid w:val="1E110AAE"/>
    <w:rsid w:val="1E18008F"/>
    <w:rsid w:val="1E1E31CB"/>
    <w:rsid w:val="1E220F0E"/>
    <w:rsid w:val="1E25455A"/>
    <w:rsid w:val="1E3173A3"/>
    <w:rsid w:val="1E37428D"/>
    <w:rsid w:val="1E3D5D47"/>
    <w:rsid w:val="1E4D585F"/>
    <w:rsid w:val="1E562965"/>
    <w:rsid w:val="1E6257AE"/>
    <w:rsid w:val="1E8821E9"/>
    <w:rsid w:val="1E9242EB"/>
    <w:rsid w:val="1E935967"/>
    <w:rsid w:val="1EA062D6"/>
    <w:rsid w:val="1EB458DE"/>
    <w:rsid w:val="1EBF675C"/>
    <w:rsid w:val="1EC45B21"/>
    <w:rsid w:val="1EE2069D"/>
    <w:rsid w:val="1EEB273B"/>
    <w:rsid w:val="1F046865"/>
    <w:rsid w:val="1F095C2A"/>
    <w:rsid w:val="1F396124"/>
    <w:rsid w:val="1F3A5DE3"/>
    <w:rsid w:val="1F460C2C"/>
    <w:rsid w:val="1F550E6F"/>
    <w:rsid w:val="1F5A0233"/>
    <w:rsid w:val="1F5A46D7"/>
    <w:rsid w:val="1F5A6485"/>
    <w:rsid w:val="1F5F074C"/>
    <w:rsid w:val="1F63358C"/>
    <w:rsid w:val="1F737547"/>
    <w:rsid w:val="1F7761F1"/>
    <w:rsid w:val="1F925C1F"/>
    <w:rsid w:val="1F95570F"/>
    <w:rsid w:val="1FC049E7"/>
    <w:rsid w:val="1FD2426D"/>
    <w:rsid w:val="1FDE70B6"/>
    <w:rsid w:val="1FEB532F"/>
    <w:rsid w:val="2001472C"/>
    <w:rsid w:val="20014B53"/>
    <w:rsid w:val="20115428"/>
    <w:rsid w:val="20350899"/>
    <w:rsid w:val="203B19C0"/>
    <w:rsid w:val="20436F19"/>
    <w:rsid w:val="20601879"/>
    <w:rsid w:val="206C46C2"/>
    <w:rsid w:val="207B66B3"/>
    <w:rsid w:val="207D68CF"/>
    <w:rsid w:val="20803CC9"/>
    <w:rsid w:val="20937EA1"/>
    <w:rsid w:val="209B0B03"/>
    <w:rsid w:val="20A53730"/>
    <w:rsid w:val="20A73065"/>
    <w:rsid w:val="20B16579"/>
    <w:rsid w:val="20B87907"/>
    <w:rsid w:val="20BD316F"/>
    <w:rsid w:val="20C22534"/>
    <w:rsid w:val="20C46ABB"/>
    <w:rsid w:val="20C52024"/>
    <w:rsid w:val="20D504B9"/>
    <w:rsid w:val="20E06E5E"/>
    <w:rsid w:val="20FF5536"/>
    <w:rsid w:val="21020B82"/>
    <w:rsid w:val="21052AC9"/>
    <w:rsid w:val="210669F5"/>
    <w:rsid w:val="21182CA5"/>
    <w:rsid w:val="21224918"/>
    <w:rsid w:val="2126612C"/>
    <w:rsid w:val="2130749E"/>
    <w:rsid w:val="21366A7E"/>
    <w:rsid w:val="2139763B"/>
    <w:rsid w:val="21423675"/>
    <w:rsid w:val="214B166A"/>
    <w:rsid w:val="215018EE"/>
    <w:rsid w:val="21553BAC"/>
    <w:rsid w:val="21690C01"/>
    <w:rsid w:val="2177331E"/>
    <w:rsid w:val="2188160C"/>
    <w:rsid w:val="2197576F"/>
    <w:rsid w:val="2197751D"/>
    <w:rsid w:val="21983295"/>
    <w:rsid w:val="219C7306"/>
    <w:rsid w:val="219C7685"/>
    <w:rsid w:val="21A244F3"/>
    <w:rsid w:val="21A51C1A"/>
    <w:rsid w:val="21B6299C"/>
    <w:rsid w:val="21B87493"/>
    <w:rsid w:val="21BE0F4D"/>
    <w:rsid w:val="21BF4251"/>
    <w:rsid w:val="21D818E3"/>
    <w:rsid w:val="21E64000"/>
    <w:rsid w:val="21EB1616"/>
    <w:rsid w:val="21F7620D"/>
    <w:rsid w:val="22186033"/>
    <w:rsid w:val="221E7C3E"/>
    <w:rsid w:val="22327245"/>
    <w:rsid w:val="2237485C"/>
    <w:rsid w:val="223E3E3C"/>
    <w:rsid w:val="223F5AB8"/>
    <w:rsid w:val="224A458F"/>
    <w:rsid w:val="224F429B"/>
    <w:rsid w:val="224F6049"/>
    <w:rsid w:val="227B6E3E"/>
    <w:rsid w:val="22857CBD"/>
    <w:rsid w:val="22A16179"/>
    <w:rsid w:val="22A34EAB"/>
    <w:rsid w:val="22B66D05"/>
    <w:rsid w:val="22BA5184"/>
    <w:rsid w:val="22D622C7"/>
    <w:rsid w:val="22F62969"/>
    <w:rsid w:val="22FD3CF7"/>
    <w:rsid w:val="230E7CB2"/>
    <w:rsid w:val="23122DE5"/>
    <w:rsid w:val="231A178A"/>
    <w:rsid w:val="23294AEC"/>
    <w:rsid w:val="232A43C0"/>
    <w:rsid w:val="23393203"/>
    <w:rsid w:val="233D205C"/>
    <w:rsid w:val="234B73CC"/>
    <w:rsid w:val="2358717F"/>
    <w:rsid w:val="235F22BC"/>
    <w:rsid w:val="237613B4"/>
    <w:rsid w:val="23812232"/>
    <w:rsid w:val="23906919"/>
    <w:rsid w:val="239312F5"/>
    <w:rsid w:val="23980A4F"/>
    <w:rsid w:val="23A81EB5"/>
    <w:rsid w:val="23A83C63"/>
    <w:rsid w:val="23AD74CB"/>
    <w:rsid w:val="23C465C3"/>
    <w:rsid w:val="23CB5BA3"/>
    <w:rsid w:val="23FC5D5D"/>
    <w:rsid w:val="24044C11"/>
    <w:rsid w:val="240B41F2"/>
    <w:rsid w:val="24107A5A"/>
    <w:rsid w:val="24253506"/>
    <w:rsid w:val="24341EB9"/>
    <w:rsid w:val="24373239"/>
    <w:rsid w:val="24392B0D"/>
    <w:rsid w:val="244D65B8"/>
    <w:rsid w:val="245416F5"/>
    <w:rsid w:val="245B0CD5"/>
    <w:rsid w:val="245B7E1B"/>
    <w:rsid w:val="2466767A"/>
    <w:rsid w:val="247E49C4"/>
    <w:rsid w:val="2480073C"/>
    <w:rsid w:val="2492221D"/>
    <w:rsid w:val="24A32B10"/>
    <w:rsid w:val="24A501A2"/>
    <w:rsid w:val="24B44889"/>
    <w:rsid w:val="24B808B0"/>
    <w:rsid w:val="24C22B02"/>
    <w:rsid w:val="24C26FA6"/>
    <w:rsid w:val="24DB5972"/>
    <w:rsid w:val="24F609FE"/>
    <w:rsid w:val="24FE5B05"/>
    <w:rsid w:val="25021151"/>
    <w:rsid w:val="250274DC"/>
    <w:rsid w:val="250749B9"/>
    <w:rsid w:val="251009E1"/>
    <w:rsid w:val="2517003B"/>
    <w:rsid w:val="251D41DD"/>
    <w:rsid w:val="25461985"/>
    <w:rsid w:val="255319AC"/>
    <w:rsid w:val="255816B9"/>
    <w:rsid w:val="255F69BB"/>
    <w:rsid w:val="25787665"/>
    <w:rsid w:val="25A22934"/>
    <w:rsid w:val="25A246E2"/>
    <w:rsid w:val="25A428FF"/>
    <w:rsid w:val="25C26B32"/>
    <w:rsid w:val="25CB1E8B"/>
    <w:rsid w:val="25CD5AD7"/>
    <w:rsid w:val="25D105C8"/>
    <w:rsid w:val="25E60A73"/>
    <w:rsid w:val="25F50CB6"/>
    <w:rsid w:val="25F56F08"/>
    <w:rsid w:val="2604634A"/>
    <w:rsid w:val="26062EC3"/>
    <w:rsid w:val="2609650F"/>
    <w:rsid w:val="260F621B"/>
    <w:rsid w:val="26211AAB"/>
    <w:rsid w:val="2633160E"/>
    <w:rsid w:val="264D6D44"/>
    <w:rsid w:val="26502390"/>
    <w:rsid w:val="265417DD"/>
    <w:rsid w:val="2657371E"/>
    <w:rsid w:val="265C24B0"/>
    <w:rsid w:val="267C3185"/>
    <w:rsid w:val="2685203A"/>
    <w:rsid w:val="2696426F"/>
    <w:rsid w:val="2697245B"/>
    <w:rsid w:val="26A024D9"/>
    <w:rsid w:val="26A338B2"/>
    <w:rsid w:val="26A64C5A"/>
    <w:rsid w:val="26A84A0A"/>
    <w:rsid w:val="26A85D28"/>
    <w:rsid w:val="26B172D2"/>
    <w:rsid w:val="26B50445"/>
    <w:rsid w:val="26B80661"/>
    <w:rsid w:val="26CD1546"/>
    <w:rsid w:val="26E31456"/>
    <w:rsid w:val="26E641FB"/>
    <w:rsid w:val="26EC030B"/>
    <w:rsid w:val="26ED5E31"/>
    <w:rsid w:val="26F176CF"/>
    <w:rsid w:val="26FB67A0"/>
    <w:rsid w:val="270D0281"/>
    <w:rsid w:val="27221F7E"/>
    <w:rsid w:val="274517C9"/>
    <w:rsid w:val="274A6DDF"/>
    <w:rsid w:val="275807AF"/>
    <w:rsid w:val="2768712B"/>
    <w:rsid w:val="27871DE1"/>
    <w:rsid w:val="2790513A"/>
    <w:rsid w:val="27910EB2"/>
    <w:rsid w:val="27B90C4D"/>
    <w:rsid w:val="27CA2B44"/>
    <w:rsid w:val="28043B56"/>
    <w:rsid w:val="280B3CFB"/>
    <w:rsid w:val="280B656E"/>
    <w:rsid w:val="281E2746"/>
    <w:rsid w:val="282633A8"/>
    <w:rsid w:val="282F4953"/>
    <w:rsid w:val="28414686"/>
    <w:rsid w:val="285F4B0C"/>
    <w:rsid w:val="287265EE"/>
    <w:rsid w:val="28734E32"/>
    <w:rsid w:val="287C7332"/>
    <w:rsid w:val="288051AE"/>
    <w:rsid w:val="288A7DDB"/>
    <w:rsid w:val="289C366A"/>
    <w:rsid w:val="28AB374F"/>
    <w:rsid w:val="28AF45D0"/>
    <w:rsid w:val="28B72697"/>
    <w:rsid w:val="28BB09C3"/>
    <w:rsid w:val="28BE7A85"/>
    <w:rsid w:val="28CA642A"/>
    <w:rsid w:val="28CB1816"/>
    <w:rsid w:val="28D472A8"/>
    <w:rsid w:val="28DB23E5"/>
    <w:rsid w:val="28E13773"/>
    <w:rsid w:val="2900153D"/>
    <w:rsid w:val="29226266"/>
    <w:rsid w:val="292E4C0A"/>
    <w:rsid w:val="293D6BFB"/>
    <w:rsid w:val="294F2457"/>
    <w:rsid w:val="295126A7"/>
    <w:rsid w:val="295B1778"/>
    <w:rsid w:val="29657F00"/>
    <w:rsid w:val="29665200"/>
    <w:rsid w:val="296672B1"/>
    <w:rsid w:val="297E7214"/>
    <w:rsid w:val="298365D8"/>
    <w:rsid w:val="29A273A6"/>
    <w:rsid w:val="29AE7AF9"/>
    <w:rsid w:val="29AF73CD"/>
    <w:rsid w:val="29C76E0D"/>
    <w:rsid w:val="29D11A3A"/>
    <w:rsid w:val="29D357B2"/>
    <w:rsid w:val="29E67293"/>
    <w:rsid w:val="29FA0F90"/>
    <w:rsid w:val="2A046DA4"/>
    <w:rsid w:val="2A1F27A5"/>
    <w:rsid w:val="2A3E70CF"/>
    <w:rsid w:val="2A473AAA"/>
    <w:rsid w:val="2A481CFC"/>
    <w:rsid w:val="2A497822"/>
    <w:rsid w:val="2A5A558B"/>
    <w:rsid w:val="2A5E32CD"/>
    <w:rsid w:val="2A5E66E7"/>
    <w:rsid w:val="2A68414C"/>
    <w:rsid w:val="2A693A20"/>
    <w:rsid w:val="2A832D34"/>
    <w:rsid w:val="2A915A0E"/>
    <w:rsid w:val="2A9D36CA"/>
    <w:rsid w:val="2A9D3745"/>
    <w:rsid w:val="2AB23619"/>
    <w:rsid w:val="2AB2780B"/>
    <w:rsid w:val="2AB7478C"/>
    <w:rsid w:val="2ABE32E0"/>
    <w:rsid w:val="2ABF7AE4"/>
    <w:rsid w:val="2AC375D4"/>
    <w:rsid w:val="2ACD0453"/>
    <w:rsid w:val="2ACF41CB"/>
    <w:rsid w:val="2AEA0A59"/>
    <w:rsid w:val="2AFA4548"/>
    <w:rsid w:val="2B255B99"/>
    <w:rsid w:val="2B3E30FF"/>
    <w:rsid w:val="2B612949"/>
    <w:rsid w:val="2B7663F5"/>
    <w:rsid w:val="2B876854"/>
    <w:rsid w:val="2BA50A88"/>
    <w:rsid w:val="2BA967CA"/>
    <w:rsid w:val="2BAA42F0"/>
    <w:rsid w:val="2BB1633C"/>
    <w:rsid w:val="2BB313F7"/>
    <w:rsid w:val="2BBD2276"/>
    <w:rsid w:val="2BCF3D57"/>
    <w:rsid w:val="2BDD46C6"/>
    <w:rsid w:val="2BE27F2E"/>
    <w:rsid w:val="2BE5357A"/>
    <w:rsid w:val="2BE617CC"/>
    <w:rsid w:val="2BF832AE"/>
    <w:rsid w:val="2C1125C1"/>
    <w:rsid w:val="2C210F6D"/>
    <w:rsid w:val="2C2440A3"/>
    <w:rsid w:val="2C275941"/>
    <w:rsid w:val="2C3C763E"/>
    <w:rsid w:val="2C4402A1"/>
    <w:rsid w:val="2C5F332D"/>
    <w:rsid w:val="2C7A3CC3"/>
    <w:rsid w:val="2C8763E0"/>
    <w:rsid w:val="2CA945A8"/>
    <w:rsid w:val="2CB73169"/>
    <w:rsid w:val="2CC3566A"/>
    <w:rsid w:val="2CD258AD"/>
    <w:rsid w:val="2CD71115"/>
    <w:rsid w:val="2CE82102"/>
    <w:rsid w:val="2CEA709A"/>
    <w:rsid w:val="2CF00429"/>
    <w:rsid w:val="2D0A14EA"/>
    <w:rsid w:val="2D0F4D53"/>
    <w:rsid w:val="2D1660E1"/>
    <w:rsid w:val="2D1F486A"/>
    <w:rsid w:val="2D23435A"/>
    <w:rsid w:val="2D300825"/>
    <w:rsid w:val="2D360531"/>
    <w:rsid w:val="2D4744ED"/>
    <w:rsid w:val="2D517119"/>
    <w:rsid w:val="2D5D3C4E"/>
    <w:rsid w:val="2D5E35E4"/>
    <w:rsid w:val="2D744BB6"/>
    <w:rsid w:val="2D8E201B"/>
    <w:rsid w:val="2DA30746"/>
    <w:rsid w:val="2DB94CBF"/>
    <w:rsid w:val="2DBB0A37"/>
    <w:rsid w:val="2DC86CB0"/>
    <w:rsid w:val="2DCF6290"/>
    <w:rsid w:val="2DE24215"/>
    <w:rsid w:val="2DE63220"/>
    <w:rsid w:val="2DEC6E42"/>
    <w:rsid w:val="2DF61A6F"/>
    <w:rsid w:val="2DFE0923"/>
    <w:rsid w:val="2E0221C2"/>
    <w:rsid w:val="2E035D14"/>
    <w:rsid w:val="2E0A72C8"/>
    <w:rsid w:val="2E0E6A8A"/>
    <w:rsid w:val="2E0E6DB8"/>
    <w:rsid w:val="2E156399"/>
    <w:rsid w:val="2E1B7727"/>
    <w:rsid w:val="2E3305CD"/>
    <w:rsid w:val="2E352597"/>
    <w:rsid w:val="2E4427DA"/>
    <w:rsid w:val="2E4647A4"/>
    <w:rsid w:val="2E50117F"/>
    <w:rsid w:val="2E786928"/>
    <w:rsid w:val="2E8A5B37"/>
    <w:rsid w:val="2E935510"/>
    <w:rsid w:val="2EE62049"/>
    <w:rsid w:val="2EE67D35"/>
    <w:rsid w:val="2EED4C20"/>
    <w:rsid w:val="2EEE2746"/>
    <w:rsid w:val="2EFF2BA5"/>
    <w:rsid w:val="2F0506B8"/>
    <w:rsid w:val="2F0A3A24"/>
    <w:rsid w:val="2F0B779C"/>
    <w:rsid w:val="2F34284F"/>
    <w:rsid w:val="2F432A92"/>
    <w:rsid w:val="2F4A4EE0"/>
    <w:rsid w:val="2F536455"/>
    <w:rsid w:val="2F5729E1"/>
    <w:rsid w:val="2F5E7918"/>
    <w:rsid w:val="2F68074A"/>
    <w:rsid w:val="2F725125"/>
    <w:rsid w:val="2F735CB0"/>
    <w:rsid w:val="2F807842"/>
    <w:rsid w:val="2F8B61E7"/>
    <w:rsid w:val="2F927A56"/>
    <w:rsid w:val="2F930C2B"/>
    <w:rsid w:val="2F9432ED"/>
    <w:rsid w:val="2FA07EE4"/>
    <w:rsid w:val="2FA63021"/>
    <w:rsid w:val="2FBC1EE1"/>
    <w:rsid w:val="2FD04090"/>
    <w:rsid w:val="2FD31515"/>
    <w:rsid w:val="2FE853E7"/>
    <w:rsid w:val="2FEA2971"/>
    <w:rsid w:val="2FF124EE"/>
    <w:rsid w:val="2FFE4C0B"/>
    <w:rsid w:val="300E30A0"/>
    <w:rsid w:val="3011493E"/>
    <w:rsid w:val="30135AFB"/>
    <w:rsid w:val="30202DD3"/>
    <w:rsid w:val="30403541"/>
    <w:rsid w:val="30534F57"/>
    <w:rsid w:val="305F38FB"/>
    <w:rsid w:val="306233EC"/>
    <w:rsid w:val="30631D01"/>
    <w:rsid w:val="308360CB"/>
    <w:rsid w:val="308A649E"/>
    <w:rsid w:val="309537C1"/>
    <w:rsid w:val="30977539"/>
    <w:rsid w:val="30980BBB"/>
    <w:rsid w:val="30A734F4"/>
    <w:rsid w:val="30C23E8A"/>
    <w:rsid w:val="30C52318"/>
    <w:rsid w:val="30C776F3"/>
    <w:rsid w:val="30CB7EF2"/>
    <w:rsid w:val="30CE542D"/>
    <w:rsid w:val="30D05A2B"/>
    <w:rsid w:val="30DA7426"/>
    <w:rsid w:val="30E402A4"/>
    <w:rsid w:val="30E43E01"/>
    <w:rsid w:val="30EB518F"/>
    <w:rsid w:val="30F32296"/>
    <w:rsid w:val="31175D92"/>
    <w:rsid w:val="31181CFC"/>
    <w:rsid w:val="311A0B44"/>
    <w:rsid w:val="312A17C7"/>
    <w:rsid w:val="312C15FD"/>
    <w:rsid w:val="31413001"/>
    <w:rsid w:val="3152520E"/>
    <w:rsid w:val="315A40C3"/>
    <w:rsid w:val="315C42DF"/>
    <w:rsid w:val="31A16195"/>
    <w:rsid w:val="31B82C24"/>
    <w:rsid w:val="31BB1005"/>
    <w:rsid w:val="31C81974"/>
    <w:rsid w:val="31CA1248"/>
    <w:rsid w:val="31D200FD"/>
    <w:rsid w:val="31D40319"/>
    <w:rsid w:val="31F42769"/>
    <w:rsid w:val="31F44517"/>
    <w:rsid w:val="320C1861"/>
    <w:rsid w:val="32116E77"/>
    <w:rsid w:val="322A618B"/>
    <w:rsid w:val="323A4620"/>
    <w:rsid w:val="323F6B41"/>
    <w:rsid w:val="3240150B"/>
    <w:rsid w:val="32546D64"/>
    <w:rsid w:val="32690A61"/>
    <w:rsid w:val="32696CB3"/>
    <w:rsid w:val="328C6723"/>
    <w:rsid w:val="32A47CEB"/>
    <w:rsid w:val="32B1065A"/>
    <w:rsid w:val="32BF493A"/>
    <w:rsid w:val="32D3412D"/>
    <w:rsid w:val="32DB0C08"/>
    <w:rsid w:val="32EB3B6C"/>
    <w:rsid w:val="32F26CA9"/>
    <w:rsid w:val="33105381"/>
    <w:rsid w:val="33114C55"/>
    <w:rsid w:val="332901F1"/>
    <w:rsid w:val="33380434"/>
    <w:rsid w:val="334D7931"/>
    <w:rsid w:val="335039CF"/>
    <w:rsid w:val="33605869"/>
    <w:rsid w:val="33727DEA"/>
    <w:rsid w:val="33760038"/>
    <w:rsid w:val="3390201E"/>
    <w:rsid w:val="33947D60"/>
    <w:rsid w:val="33A61841"/>
    <w:rsid w:val="33AE3B69"/>
    <w:rsid w:val="33AF6948"/>
    <w:rsid w:val="33BC1065"/>
    <w:rsid w:val="33C323F3"/>
    <w:rsid w:val="33C61EE3"/>
    <w:rsid w:val="33C65A3F"/>
    <w:rsid w:val="33CD760B"/>
    <w:rsid w:val="33D4015C"/>
    <w:rsid w:val="33D939C5"/>
    <w:rsid w:val="33DE547F"/>
    <w:rsid w:val="33F22CD8"/>
    <w:rsid w:val="34060532"/>
    <w:rsid w:val="34076784"/>
    <w:rsid w:val="34164C19"/>
    <w:rsid w:val="342015F4"/>
    <w:rsid w:val="34254E5C"/>
    <w:rsid w:val="3434509F"/>
    <w:rsid w:val="34425A0E"/>
    <w:rsid w:val="344A1462"/>
    <w:rsid w:val="345E3ECA"/>
    <w:rsid w:val="346702DF"/>
    <w:rsid w:val="348A2F11"/>
    <w:rsid w:val="34993154"/>
    <w:rsid w:val="349B511E"/>
    <w:rsid w:val="34A042EE"/>
    <w:rsid w:val="34C46423"/>
    <w:rsid w:val="34D80120"/>
    <w:rsid w:val="34EC3BCC"/>
    <w:rsid w:val="35007112"/>
    <w:rsid w:val="351B1DBB"/>
    <w:rsid w:val="351F5D4F"/>
    <w:rsid w:val="352D221A"/>
    <w:rsid w:val="35305866"/>
    <w:rsid w:val="353115DE"/>
    <w:rsid w:val="353C06AF"/>
    <w:rsid w:val="35651D20"/>
    <w:rsid w:val="3566572C"/>
    <w:rsid w:val="356B2D42"/>
    <w:rsid w:val="35702107"/>
    <w:rsid w:val="357B1FA8"/>
    <w:rsid w:val="358F4C83"/>
    <w:rsid w:val="35B446E9"/>
    <w:rsid w:val="35C27DD4"/>
    <w:rsid w:val="35C81F43"/>
    <w:rsid w:val="35DF103A"/>
    <w:rsid w:val="35E02753"/>
    <w:rsid w:val="35FF348B"/>
    <w:rsid w:val="362178A5"/>
    <w:rsid w:val="36257395"/>
    <w:rsid w:val="3627005D"/>
    <w:rsid w:val="3627310D"/>
    <w:rsid w:val="3636463B"/>
    <w:rsid w:val="363B44C3"/>
    <w:rsid w:val="364041CF"/>
    <w:rsid w:val="364A6DFC"/>
    <w:rsid w:val="364C2B74"/>
    <w:rsid w:val="364D069A"/>
    <w:rsid w:val="364F7F6E"/>
    <w:rsid w:val="36592B9B"/>
    <w:rsid w:val="366652B8"/>
    <w:rsid w:val="367B0D63"/>
    <w:rsid w:val="36820344"/>
    <w:rsid w:val="36910587"/>
    <w:rsid w:val="36914A2B"/>
    <w:rsid w:val="369167D9"/>
    <w:rsid w:val="36A06A1C"/>
    <w:rsid w:val="36A75FFC"/>
    <w:rsid w:val="36A858D0"/>
    <w:rsid w:val="36A91D74"/>
    <w:rsid w:val="36AA789A"/>
    <w:rsid w:val="36AD2EE7"/>
    <w:rsid w:val="36CC5A63"/>
    <w:rsid w:val="36E20DE2"/>
    <w:rsid w:val="36E326B9"/>
    <w:rsid w:val="36E7289C"/>
    <w:rsid w:val="37054AD1"/>
    <w:rsid w:val="3705678E"/>
    <w:rsid w:val="37092813"/>
    <w:rsid w:val="370F76FD"/>
    <w:rsid w:val="371511B8"/>
    <w:rsid w:val="371F3DE4"/>
    <w:rsid w:val="37307DA0"/>
    <w:rsid w:val="37386C54"/>
    <w:rsid w:val="373A29CC"/>
    <w:rsid w:val="37425D25"/>
    <w:rsid w:val="374260F0"/>
    <w:rsid w:val="37461371"/>
    <w:rsid w:val="374D1678"/>
    <w:rsid w:val="37500442"/>
    <w:rsid w:val="376302F8"/>
    <w:rsid w:val="376D2DA2"/>
    <w:rsid w:val="37754C22"/>
    <w:rsid w:val="378123A9"/>
    <w:rsid w:val="378679C0"/>
    <w:rsid w:val="3787198A"/>
    <w:rsid w:val="378E2D18"/>
    <w:rsid w:val="37976071"/>
    <w:rsid w:val="37987968"/>
    <w:rsid w:val="37991DE9"/>
    <w:rsid w:val="37A2797E"/>
    <w:rsid w:val="37A46C12"/>
    <w:rsid w:val="37AE5168"/>
    <w:rsid w:val="37B65D16"/>
    <w:rsid w:val="37BA3B0D"/>
    <w:rsid w:val="37C130EE"/>
    <w:rsid w:val="37C52BDE"/>
    <w:rsid w:val="37C93D50"/>
    <w:rsid w:val="37D2523E"/>
    <w:rsid w:val="37E1109A"/>
    <w:rsid w:val="37E56DDC"/>
    <w:rsid w:val="37EF1A09"/>
    <w:rsid w:val="37F76B0F"/>
    <w:rsid w:val="38003C16"/>
    <w:rsid w:val="380134EA"/>
    <w:rsid w:val="3809239F"/>
    <w:rsid w:val="380D00E1"/>
    <w:rsid w:val="381274A5"/>
    <w:rsid w:val="38233460"/>
    <w:rsid w:val="382F44FB"/>
    <w:rsid w:val="38301749"/>
    <w:rsid w:val="38303DCF"/>
    <w:rsid w:val="38325D99"/>
    <w:rsid w:val="383270B5"/>
    <w:rsid w:val="38393E83"/>
    <w:rsid w:val="383E64EC"/>
    <w:rsid w:val="386A108F"/>
    <w:rsid w:val="38795776"/>
    <w:rsid w:val="3885411B"/>
    <w:rsid w:val="38983E4E"/>
    <w:rsid w:val="38A00F55"/>
    <w:rsid w:val="38AD71CE"/>
    <w:rsid w:val="38B60778"/>
    <w:rsid w:val="38C06F01"/>
    <w:rsid w:val="38C67BD5"/>
    <w:rsid w:val="38D04F99"/>
    <w:rsid w:val="38D46734"/>
    <w:rsid w:val="38E057F5"/>
    <w:rsid w:val="38FA68B7"/>
    <w:rsid w:val="38FA6AC4"/>
    <w:rsid w:val="39126EC4"/>
    <w:rsid w:val="39241B86"/>
    <w:rsid w:val="39382F3B"/>
    <w:rsid w:val="3949339B"/>
    <w:rsid w:val="3958538C"/>
    <w:rsid w:val="39616936"/>
    <w:rsid w:val="39763A64"/>
    <w:rsid w:val="39797168"/>
    <w:rsid w:val="39810D86"/>
    <w:rsid w:val="39AB7BB1"/>
    <w:rsid w:val="39C40C73"/>
    <w:rsid w:val="39CE641A"/>
    <w:rsid w:val="39D210D0"/>
    <w:rsid w:val="39D72754"/>
    <w:rsid w:val="39EA2D8B"/>
    <w:rsid w:val="39EC3D26"/>
    <w:rsid w:val="39FA28E7"/>
    <w:rsid w:val="3A064DE8"/>
    <w:rsid w:val="3A0D6176"/>
    <w:rsid w:val="3A125E82"/>
    <w:rsid w:val="3A2B2AA0"/>
    <w:rsid w:val="3A2F07E2"/>
    <w:rsid w:val="3A2F2590"/>
    <w:rsid w:val="3A305520"/>
    <w:rsid w:val="3A6A35C8"/>
    <w:rsid w:val="3A761B04"/>
    <w:rsid w:val="3A8328DC"/>
    <w:rsid w:val="3A836438"/>
    <w:rsid w:val="3A946897"/>
    <w:rsid w:val="3AAF722D"/>
    <w:rsid w:val="3AB900AC"/>
    <w:rsid w:val="3AC802EF"/>
    <w:rsid w:val="3ADB6274"/>
    <w:rsid w:val="3AE3337B"/>
    <w:rsid w:val="3AEF1D0C"/>
    <w:rsid w:val="3B0A6B5A"/>
    <w:rsid w:val="3B0F5F1E"/>
    <w:rsid w:val="3B133C60"/>
    <w:rsid w:val="3B1479D8"/>
    <w:rsid w:val="3B194FEF"/>
    <w:rsid w:val="3B31058A"/>
    <w:rsid w:val="3B312338"/>
    <w:rsid w:val="3B567FF1"/>
    <w:rsid w:val="3B820DE6"/>
    <w:rsid w:val="3B844B5E"/>
    <w:rsid w:val="3B9603ED"/>
    <w:rsid w:val="3BAB20EB"/>
    <w:rsid w:val="3BDF3B42"/>
    <w:rsid w:val="3BE15B0C"/>
    <w:rsid w:val="3BE63123"/>
    <w:rsid w:val="3BEE0229"/>
    <w:rsid w:val="3BF375EE"/>
    <w:rsid w:val="3C0812EB"/>
    <w:rsid w:val="3C371BD0"/>
    <w:rsid w:val="3C460065"/>
    <w:rsid w:val="3C552056"/>
    <w:rsid w:val="3C616C4D"/>
    <w:rsid w:val="3C746980"/>
    <w:rsid w:val="3C8C0310"/>
    <w:rsid w:val="3C921909"/>
    <w:rsid w:val="3C9E1C4F"/>
    <w:rsid w:val="3CA52FDE"/>
    <w:rsid w:val="3CAF1767"/>
    <w:rsid w:val="3CB7686D"/>
    <w:rsid w:val="3CC01BC6"/>
    <w:rsid w:val="3CC03974"/>
    <w:rsid w:val="3CD13DD3"/>
    <w:rsid w:val="3CDD2778"/>
    <w:rsid w:val="3CED6733"/>
    <w:rsid w:val="3CF11D7F"/>
    <w:rsid w:val="3CF47AC1"/>
    <w:rsid w:val="3CFB2BFE"/>
    <w:rsid w:val="3D053A7C"/>
    <w:rsid w:val="3D09356D"/>
    <w:rsid w:val="3D0E080C"/>
    <w:rsid w:val="3D197528"/>
    <w:rsid w:val="3D2832C7"/>
    <w:rsid w:val="3D2959BD"/>
    <w:rsid w:val="3D4520CB"/>
    <w:rsid w:val="3D4E0F7F"/>
    <w:rsid w:val="3D4E5423"/>
    <w:rsid w:val="3D5F318D"/>
    <w:rsid w:val="3D6F7148"/>
    <w:rsid w:val="3D766728"/>
    <w:rsid w:val="3D8250CD"/>
    <w:rsid w:val="3D8B21D4"/>
    <w:rsid w:val="3D931088"/>
    <w:rsid w:val="3DA768E2"/>
    <w:rsid w:val="3DA96E02"/>
    <w:rsid w:val="3DBFFBF0"/>
    <w:rsid w:val="3DC454EF"/>
    <w:rsid w:val="3DCB6A74"/>
    <w:rsid w:val="3DCE3E6E"/>
    <w:rsid w:val="3DE511B8"/>
    <w:rsid w:val="3DE6740A"/>
    <w:rsid w:val="3DF2454E"/>
    <w:rsid w:val="3E043D34"/>
    <w:rsid w:val="3E0F771B"/>
    <w:rsid w:val="3E140565"/>
    <w:rsid w:val="3E1877DF"/>
    <w:rsid w:val="3E203BE4"/>
    <w:rsid w:val="3E2919ED"/>
    <w:rsid w:val="3E377C66"/>
    <w:rsid w:val="3E495BEB"/>
    <w:rsid w:val="3E4D7489"/>
    <w:rsid w:val="3E5E3444"/>
    <w:rsid w:val="3E7C00E1"/>
    <w:rsid w:val="3E824A11"/>
    <w:rsid w:val="3E854E75"/>
    <w:rsid w:val="3E907376"/>
    <w:rsid w:val="3E9277BD"/>
    <w:rsid w:val="3EA3354D"/>
    <w:rsid w:val="3EA352FB"/>
    <w:rsid w:val="3EBC460F"/>
    <w:rsid w:val="3EBC63BD"/>
    <w:rsid w:val="3EC05EAD"/>
    <w:rsid w:val="3ED05677"/>
    <w:rsid w:val="3EED2A1A"/>
    <w:rsid w:val="3EF63F99"/>
    <w:rsid w:val="3F0C10F2"/>
    <w:rsid w:val="3F163D1F"/>
    <w:rsid w:val="3F171845"/>
    <w:rsid w:val="3F185CE9"/>
    <w:rsid w:val="3F1E7077"/>
    <w:rsid w:val="3F364027"/>
    <w:rsid w:val="3F375A43"/>
    <w:rsid w:val="3F4C5993"/>
    <w:rsid w:val="3F577E93"/>
    <w:rsid w:val="3F634A8A"/>
    <w:rsid w:val="3F6727CC"/>
    <w:rsid w:val="3F6E3B5B"/>
    <w:rsid w:val="3F79605C"/>
    <w:rsid w:val="3F7B211F"/>
    <w:rsid w:val="3F7D436F"/>
    <w:rsid w:val="3F917849"/>
    <w:rsid w:val="3FA05CDE"/>
    <w:rsid w:val="3FA23805"/>
    <w:rsid w:val="3FA7706D"/>
    <w:rsid w:val="3FB5178A"/>
    <w:rsid w:val="3FB84DD6"/>
    <w:rsid w:val="3FC65745"/>
    <w:rsid w:val="3FE756BB"/>
    <w:rsid w:val="3FFD0A3B"/>
    <w:rsid w:val="3FFF47B3"/>
    <w:rsid w:val="40055B41"/>
    <w:rsid w:val="400D3374"/>
    <w:rsid w:val="40295CD4"/>
    <w:rsid w:val="402E5885"/>
    <w:rsid w:val="404843AC"/>
    <w:rsid w:val="405A40DF"/>
    <w:rsid w:val="405C7E57"/>
    <w:rsid w:val="4084115C"/>
    <w:rsid w:val="40AC3EF0"/>
    <w:rsid w:val="40AD06B3"/>
    <w:rsid w:val="40CD2B03"/>
    <w:rsid w:val="40E36EF3"/>
    <w:rsid w:val="40E901A0"/>
    <w:rsid w:val="40FD43DA"/>
    <w:rsid w:val="410022C0"/>
    <w:rsid w:val="411B561D"/>
    <w:rsid w:val="411C75E7"/>
    <w:rsid w:val="412067A0"/>
    <w:rsid w:val="412169AB"/>
    <w:rsid w:val="412A3AB2"/>
    <w:rsid w:val="412C5A7C"/>
    <w:rsid w:val="41494DE3"/>
    <w:rsid w:val="414A76CF"/>
    <w:rsid w:val="414C66FF"/>
    <w:rsid w:val="41652D3C"/>
    <w:rsid w:val="41682EF1"/>
    <w:rsid w:val="41685B7A"/>
    <w:rsid w:val="41727207"/>
    <w:rsid w:val="41792343"/>
    <w:rsid w:val="41931657"/>
    <w:rsid w:val="41C73BAC"/>
    <w:rsid w:val="41CC2DBB"/>
    <w:rsid w:val="41D028AB"/>
    <w:rsid w:val="41D90C14"/>
    <w:rsid w:val="41EA4FEF"/>
    <w:rsid w:val="41F45E6E"/>
    <w:rsid w:val="420E40CE"/>
    <w:rsid w:val="42106E96"/>
    <w:rsid w:val="422624CB"/>
    <w:rsid w:val="4230334A"/>
    <w:rsid w:val="42380450"/>
    <w:rsid w:val="423D7815"/>
    <w:rsid w:val="423F17DF"/>
    <w:rsid w:val="42462B6D"/>
    <w:rsid w:val="42562684"/>
    <w:rsid w:val="4267663F"/>
    <w:rsid w:val="42703746"/>
    <w:rsid w:val="427E2307"/>
    <w:rsid w:val="42862F6A"/>
    <w:rsid w:val="42AF11ED"/>
    <w:rsid w:val="42B25F39"/>
    <w:rsid w:val="42BC2E2F"/>
    <w:rsid w:val="42D24401"/>
    <w:rsid w:val="42EA799C"/>
    <w:rsid w:val="42F205FF"/>
    <w:rsid w:val="42FE0D52"/>
    <w:rsid w:val="43210EE4"/>
    <w:rsid w:val="43252782"/>
    <w:rsid w:val="4328518F"/>
    <w:rsid w:val="4334739A"/>
    <w:rsid w:val="4340600B"/>
    <w:rsid w:val="435412BA"/>
    <w:rsid w:val="4355293C"/>
    <w:rsid w:val="4356724C"/>
    <w:rsid w:val="43572B58"/>
    <w:rsid w:val="436C6603"/>
    <w:rsid w:val="436D5ED7"/>
    <w:rsid w:val="43720088"/>
    <w:rsid w:val="43743CE6"/>
    <w:rsid w:val="43776D56"/>
    <w:rsid w:val="437B6846"/>
    <w:rsid w:val="43911BC6"/>
    <w:rsid w:val="439671DC"/>
    <w:rsid w:val="439711A6"/>
    <w:rsid w:val="43A044FF"/>
    <w:rsid w:val="43BE1126"/>
    <w:rsid w:val="43C31F9B"/>
    <w:rsid w:val="43F108B7"/>
    <w:rsid w:val="44056110"/>
    <w:rsid w:val="44093E52"/>
    <w:rsid w:val="44191BBB"/>
    <w:rsid w:val="44352E99"/>
    <w:rsid w:val="444200F5"/>
    <w:rsid w:val="444529B0"/>
    <w:rsid w:val="44472BCC"/>
    <w:rsid w:val="445A46AE"/>
    <w:rsid w:val="44623562"/>
    <w:rsid w:val="446472DA"/>
    <w:rsid w:val="4466124E"/>
    <w:rsid w:val="446C618F"/>
    <w:rsid w:val="447119F7"/>
    <w:rsid w:val="4475773A"/>
    <w:rsid w:val="44B10046"/>
    <w:rsid w:val="44C77869"/>
    <w:rsid w:val="44E05323"/>
    <w:rsid w:val="44EF6789"/>
    <w:rsid w:val="44F00B6E"/>
    <w:rsid w:val="45054FDF"/>
    <w:rsid w:val="451C7BB5"/>
    <w:rsid w:val="451E1B7F"/>
    <w:rsid w:val="451F1453"/>
    <w:rsid w:val="452A22D2"/>
    <w:rsid w:val="452D3B70"/>
    <w:rsid w:val="452E1696"/>
    <w:rsid w:val="453E7B2C"/>
    <w:rsid w:val="45440EBA"/>
    <w:rsid w:val="45444586"/>
    <w:rsid w:val="45614516"/>
    <w:rsid w:val="456A6B72"/>
    <w:rsid w:val="457C5F26"/>
    <w:rsid w:val="45800144"/>
    <w:rsid w:val="458B103A"/>
    <w:rsid w:val="458C3E37"/>
    <w:rsid w:val="45A7777B"/>
    <w:rsid w:val="45AF27D7"/>
    <w:rsid w:val="45B33B9B"/>
    <w:rsid w:val="45C02C36"/>
    <w:rsid w:val="45C6267D"/>
    <w:rsid w:val="45DE4E6B"/>
    <w:rsid w:val="45E07589"/>
    <w:rsid w:val="45E306D3"/>
    <w:rsid w:val="45E561F9"/>
    <w:rsid w:val="45ED3300"/>
    <w:rsid w:val="45ED50AE"/>
    <w:rsid w:val="45F40516"/>
    <w:rsid w:val="460102A4"/>
    <w:rsid w:val="460348D1"/>
    <w:rsid w:val="461049EC"/>
    <w:rsid w:val="4614088C"/>
    <w:rsid w:val="461C6EB7"/>
    <w:rsid w:val="464216D6"/>
    <w:rsid w:val="46504C6F"/>
    <w:rsid w:val="4651388E"/>
    <w:rsid w:val="465313B5"/>
    <w:rsid w:val="4654527A"/>
    <w:rsid w:val="4662784A"/>
    <w:rsid w:val="466730B2"/>
    <w:rsid w:val="4678706D"/>
    <w:rsid w:val="4682613E"/>
    <w:rsid w:val="468E063F"/>
    <w:rsid w:val="469F45FA"/>
    <w:rsid w:val="46A95479"/>
    <w:rsid w:val="46AC31BB"/>
    <w:rsid w:val="46AC4F69"/>
    <w:rsid w:val="46BD7176"/>
    <w:rsid w:val="46C60C8F"/>
    <w:rsid w:val="46C73B51"/>
    <w:rsid w:val="46C92DA7"/>
    <w:rsid w:val="46D958AA"/>
    <w:rsid w:val="46DC75FC"/>
    <w:rsid w:val="46E2098A"/>
    <w:rsid w:val="470D5A07"/>
    <w:rsid w:val="470E79D1"/>
    <w:rsid w:val="471E7C15"/>
    <w:rsid w:val="47240FA3"/>
    <w:rsid w:val="472D42FC"/>
    <w:rsid w:val="472E597E"/>
    <w:rsid w:val="47310DEC"/>
    <w:rsid w:val="47332F94"/>
    <w:rsid w:val="47372465"/>
    <w:rsid w:val="47376F28"/>
    <w:rsid w:val="473C62ED"/>
    <w:rsid w:val="47411B55"/>
    <w:rsid w:val="477C493B"/>
    <w:rsid w:val="477F442B"/>
    <w:rsid w:val="478F28C0"/>
    <w:rsid w:val="47AA594C"/>
    <w:rsid w:val="47AB5220"/>
    <w:rsid w:val="47BE31A6"/>
    <w:rsid w:val="47CC58C3"/>
    <w:rsid w:val="47DB78B4"/>
    <w:rsid w:val="47E0136E"/>
    <w:rsid w:val="480F3A01"/>
    <w:rsid w:val="481D611E"/>
    <w:rsid w:val="481E3AAF"/>
    <w:rsid w:val="48207910"/>
    <w:rsid w:val="48253225"/>
    <w:rsid w:val="483671E0"/>
    <w:rsid w:val="483B0352"/>
    <w:rsid w:val="483B08B4"/>
    <w:rsid w:val="484C255F"/>
    <w:rsid w:val="48592ECE"/>
    <w:rsid w:val="48711FC6"/>
    <w:rsid w:val="48724537"/>
    <w:rsid w:val="48895562"/>
    <w:rsid w:val="488B69F8"/>
    <w:rsid w:val="488F069E"/>
    <w:rsid w:val="48904B42"/>
    <w:rsid w:val="489C351F"/>
    <w:rsid w:val="48B14AB8"/>
    <w:rsid w:val="48BB76E5"/>
    <w:rsid w:val="48C90054"/>
    <w:rsid w:val="48CC36A0"/>
    <w:rsid w:val="48D84455"/>
    <w:rsid w:val="48F350D1"/>
    <w:rsid w:val="48F50E49"/>
    <w:rsid w:val="48FA296C"/>
    <w:rsid w:val="48FD7CFE"/>
    <w:rsid w:val="48FF75D2"/>
    <w:rsid w:val="490270C2"/>
    <w:rsid w:val="49027548"/>
    <w:rsid w:val="49211C3E"/>
    <w:rsid w:val="4950590D"/>
    <w:rsid w:val="495105E0"/>
    <w:rsid w:val="495C67D2"/>
    <w:rsid w:val="49634005"/>
    <w:rsid w:val="496833C9"/>
    <w:rsid w:val="497C0C22"/>
    <w:rsid w:val="49886DB4"/>
    <w:rsid w:val="49970D05"/>
    <w:rsid w:val="49A91C65"/>
    <w:rsid w:val="49AD34D2"/>
    <w:rsid w:val="49DE368B"/>
    <w:rsid w:val="49EE703D"/>
    <w:rsid w:val="4A0B376B"/>
    <w:rsid w:val="4A0F1A96"/>
    <w:rsid w:val="4A2D016F"/>
    <w:rsid w:val="4A2F038B"/>
    <w:rsid w:val="4A431F7F"/>
    <w:rsid w:val="4A6F4C2B"/>
    <w:rsid w:val="4A7D10F6"/>
    <w:rsid w:val="4A9C0758"/>
    <w:rsid w:val="4AA26FEC"/>
    <w:rsid w:val="4AA34422"/>
    <w:rsid w:val="4AB26488"/>
    <w:rsid w:val="4ABF170F"/>
    <w:rsid w:val="4AD827D0"/>
    <w:rsid w:val="4AEA53B9"/>
    <w:rsid w:val="4AEC627C"/>
    <w:rsid w:val="4AF84C20"/>
    <w:rsid w:val="4AFD2237"/>
    <w:rsid w:val="4B007631"/>
    <w:rsid w:val="4B0C4228"/>
    <w:rsid w:val="4B124C8E"/>
    <w:rsid w:val="4B157580"/>
    <w:rsid w:val="4B1C7C90"/>
    <w:rsid w:val="4B2257F9"/>
    <w:rsid w:val="4B2623E8"/>
    <w:rsid w:val="4B2E6D15"/>
    <w:rsid w:val="4B412124"/>
    <w:rsid w:val="4B4B4D50"/>
    <w:rsid w:val="4B50680B"/>
    <w:rsid w:val="4B5D2CD5"/>
    <w:rsid w:val="4B6D78CD"/>
    <w:rsid w:val="4B83098E"/>
    <w:rsid w:val="4B8E10E1"/>
    <w:rsid w:val="4B971D44"/>
    <w:rsid w:val="4B9761E7"/>
    <w:rsid w:val="4B9A5CD8"/>
    <w:rsid w:val="4B9E1324"/>
    <w:rsid w:val="4BBC79FC"/>
    <w:rsid w:val="4BC30D8B"/>
    <w:rsid w:val="4BD05255"/>
    <w:rsid w:val="4BDB2578"/>
    <w:rsid w:val="4BE60F1D"/>
    <w:rsid w:val="4BFE6267"/>
    <w:rsid w:val="4C082C41"/>
    <w:rsid w:val="4C1E06B7"/>
    <w:rsid w:val="4C215AB1"/>
    <w:rsid w:val="4C2630C7"/>
    <w:rsid w:val="4C2F4672"/>
    <w:rsid w:val="4C4579F1"/>
    <w:rsid w:val="4C515898"/>
    <w:rsid w:val="4C6E62A3"/>
    <w:rsid w:val="4CB54D28"/>
    <w:rsid w:val="4CC56D84"/>
    <w:rsid w:val="4CD174D7"/>
    <w:rsid w:val="4CEC4311"/>
    <w:rsid w:val="4CF3569F"/>
    <w:rsid w:val="4CF60CEC"/>
    <w:rsid w:val="4CFB09F8"/>
    <w:rsid w:val="4D007DBC"/>
    <w:rsid w:val="4D07739D"/>
    <w:rsid w:val="4D0C6BFE"/>
    <w:rsid w:val="4D0E4287"/>
    <w:rsid w:val="4D0F7FFF"/>
    <w:rsid w:val="4D241CFD"/>
    <w:rsid w:val="4D387556"/>
    <w:rsid w:val="4D5A127B"/>
    <w:rsid w:val="4D673998"/>
    <w:rsid w:val="4D77007F"/>
    <w:rsid w:val="4D8207D1"/>
    <w:rsid w:val="4D8C33FE"/>
    <w:rsid w:val="4D994499"/>
    <w:rsid w:val="4D9D385D"/>
    <w:rsid w:val="4DA2520B"/>
    <w:rsid w:val="4DA30E74"/>
    <w:rsid w:val="4DB43081"/>
    <w:rsid w:val="4DB52955"/>
    <w:rsid w:val="4DBA61BD"/>
    <w:rsid w:val="4DBB3CB6"/>
    <w:rsid w:val="4DD059E1"/>
    <w:rsid w:val="4DD86643"/>
    <w:rsid w:val="4DEC481B"/>
    <w:rsid w:val="4E087FAC"/>
    <w:rsid w:val="4E127DA7"/>
    <w:rsid w:val="4E151645"/>
    <w:rsid w:val="4E165AE9"/>
    <w:rsid w:val="4E2A50F1"/>
    <w:rsid w:val="4E3E10AE"/>
    <w:rsid w:val="4E3F66C2"/>
    <w:rsid w:val="4E516261"/>
    <w:rsid w:val="4E5263F6"/>
    <w:rsid w:val="4E5B79A0"/>
    <w:rsid w:val="4E7E368F"/>
    <w:rsid w:val="4E8862BB"/>
    <w:rsid w:val="4E946A0E"/>
    <w:rsid w:val="4E9702AC"/>
    <w:rsid w:val="4EC30EDE"/>
    <w:rsid w:val="4EC372F3"/>
    <w:rsid w:val="4EC54E1A"/>
    <w:rsid w:val="4ECA0682"/>
    <w:rsid w:val="4ECC264C"/>
    <w:rsid w:val="4ED60DD5"/>
    <w:rsid w:val="4EF92D15"/>
    <w:rsid w:val="4EFF4E69"/>
    <w:rsid w:val="4F1B2C8C"/>
    <w:rsid w:val="4F244236"/>
    <w:rsid w:val="4F2558B8"/>
    <w:rsid w:val="4F544CA2"/>
    <w:rsid w:val="4F560168"/>
    <w:rsid w:val="4F5A5BD2"/>
    <w:rsid w:val="4F5A7C58"/>
    <w:rsid w:val="4F9842DC"/>
    <w:rsid w:val="4F9B0FCB"/>
    <w:rsid w:val="4F9D18F3"/>
    <w:rsid w:val="4FB07878"/>
    <w:rsid w:val="4FB70C06"/>
    <w:rsid w:val="4FBA6948"/>
    <w:rsid w:val="4FCB2904"/>
    <w:rsid w:val="4FCC3F86"/>
    <w:rsid w:val="4FD07F1A"/>
    <w:rsid w:val="4FD73056"/>
    <w:rsid w:val="4FDE2637"/>
    <w:rsid w:val="4FE4386B"/>
    <w:rsid w:val="4FF04118"/>
    <w:rsid w:val="4FF43C08"/>
    <w:rsid w:val="4FF5172F"/>
    <w:rsid w:val="4FFA4F97"/>
    <w:rsid w:val="500C2E3A"/>
    <w:rsid w:val="502C7E07"/>
    <w:rsid w:val="505428F9"/>
    <w:rsid w:val="50575F45"/>
    <w:rsid w:val="50586F25"/>
    <w:rsid w:val="50593A6B"/>
    <w:rsid w:val="506A1275"/>
    <w:rsid w:val="5079410E"/>
    <w:rsid w:val="50875879"/>
    <w:rsid w:val="50B138A7"/>
    <w:rsid w:val="50B27620"/>
    <w:rsid w:val="50BB64D4"/>
    <w:rsid w:val="50BD1F39"/>
    <w:rsid w:val="50D50081"/>
    <w:rsid w:val="50F10148"/>
    <w:rsid w:val="50F43794"/>
    <w:rsid w:val="50F96FFC"/>
    <w:rsid w:val="50FC1EF9"/>
    <w:rsid w:val="50FD4D3F"/>
    <w:rsid w:val="510F6820"/>
    <w:rsid w:val="511107EA"/>
    <w:rsid w:val="51136310"/>
    <w:rsid w:val="511F2F07"/>
    <w:rsid w:val="5139389D"/>
    <w:rsid w:val="513B13C3"/>
    <w:rsid w:val="513F5357"/>
    <w:rsid w:val="51404C2B"/>
    <w:rsid w:val="5167040A"/>
    <w:rsid w:val="516C3C72"/>
    <w:rsid w:val="516D233C"/>
    <w:rsid w:val="517D5E7F"/>
    <w:rsid w:val="519805C3"/>
    <w:rsid w:val="51B03B5F"/>
    <w:rsid w:val="51C63383"/>
    <w:rsid w:val="51E30784"/>
    <w:rsid w:val="51EB103B"/>
    <w:rsid w:val="51FD0C55"/>
    <w:rsid w:val="52102850"/>
    <w:rsid w:val="5224454D"/>
    <w:rsid w:val="52416EAD"/>
    <w:rsid w:val="525B1B56"/>
    <w:rsid w:val="525B6B2A"/>
    <w:rsid w:val="526B3F2A"/>
    <w:rsid w:val="52701540"/>
    <w:rsid w:val="52843CD5"/>
    <w:rsid w:val="52854FEC"/>
    <w:rsid w:val="528D20F2"/>
    <w:rsid w:val="529214B7"/>
    <w:rsid w:val="529F5982"/>
    <w:rsid w:val="52A35472"/>
    <w:rsid w:val="52B256B5"/>
    <w:rsid w:val="52B70F1D"/>
    <w:rsid w:val="52C97AC4"/>
    <w:rsid w:val="52CA50F4"/>
    <w:rsid w:val="52D852D5"/>
    <w:rsid w:val="52DE46FC"/>
    <w:rsid w:val="52ED287F"/>
    <w:rsid w:val="52F12681"/>
    <w:rsid w:val="52F42171"/>
    <w:rsid w:val="52FD1026"/>
    <w:rsid w:val="530879CB"/>
    <w:rsid w:val="530F0D59"/>
    <w:rsid w:val="535350EA"/>
    <w:rsid w:val="53603363"/>
    <w:rsid w:val="53642E53"/>
    <w:rsid w:val="5369498A"/>
    <w:rsid w:val="537E1A3B"/>
    <w:rsid w:val="537F5EDF"/>
    <w:rsid w:val="5394125E"/>
    <w:rsid w:val="53987EBC"/>
    <w:rsid w:val="53A019B1"/>
    <w:rsid w:val="53A40EB9"/>
    <w:rsid w:val="53C63C53"/>
    <w:rsid w:val="53D0673A"/>
    <w:rsid w:val="53DF5F6C"/>
    <w:rsid w:val="53F561A1"/>
    <w:rsid w:val="53F66196"/>
    <w:rsid w:val="53F71F19"/>
    <w:rsid w:val="53FC471D"/>
    <w:rsid w:val="54324CFF"/>
    <w:rsid w:val="54332825"/>
    <w:rsid w:val="544B7B6F"/>
    <w:rsid w:val="544F3B03"/>
    <w:rsid w:val="54505070"/>
    <w:rsid w:val="54547704"/>
    <w:rsid w:val="545A24A8"/>
    <w:rsid w:val="54784B7D"/>
    <w:rsid w:val="548B2661"/>
    <w:rsid w:val="549332C4"/>
    <w:rsid w:val="54A13C33"/>
    <w:rsid w:val="54A43723"/>
    <w:rsid w:val="54A6749B"/>
    <w:rsid w:val="54B03E76"/>
    <w:rsid w:val="54B27BEE"/>
    <w:rsid w:val="54C067AF"/>
    <w:rsid w:val="54CD2C7A"/>
    <w:rsid w:val="54DD5EE3"/>
    <w:rsid w:val="54EA7388"/>
    <w:rsid w:val="54F40207"/>
    <w:rsid w:val="54FE1085"/>
    <w:rsid w:val="55052414"/>
    <w:rsid w:val="551B39E5"/>
    <w:rsid w:val="55256612"/>
    <w:rsid w:val="553C395C"/>
    <w:rsid w:val="55456CB4"/>
    <w:rsid w:val="554F7B33"/>
    <w:rsid w:val="55524F2D"/>
    <w:rsid w:val="557B0928"/>
    <w:rsid w:val="55821CB6"/>
    <w:rsid w:val="559F4616"/>
    <w:rsid w:val="55A439DB"/>
    <w:rsid w:val="55A82D9F"/>
    <w:rsid w:val="55CB540B"/>
    <w:rsid w:val="55CF47D0"/>
    <w:rsid w:val="55D6790C"/>
    <w:rsid w:val="55D7082B"/>
    <w:rsid w:val="55D77440"/>
    <w:rsid w:val="55DD513F"/>
    <w:rsid w:val="55E069DD"/>
    <w:rsid w:val="55F81F79"/>
    <w:rsid w:val="56073F6A"/>
    <w:rsid w:val="56075D18"/>
    <w:rsid w:val="560A5808"/>
    <w:rsid w:val="56141C33"/>
    <w:rsid w:val="562763BA"/>
    <w:rsid w:val="562E048C"/>
    <w:rsid w:val="56336B0D"/>
    <w:rsid w:val="563C1E65"/>
    <w:rsid w:val="564009F8"/>
    <w:rsid w:val="564927D4"/>
    <w:rsid w:val="565A678F"/>
    <w:rsid w:val="56705FB3"/>
    <w:rsid w:val="567315FF"/>
    <w:rsid w:val="567710EF"/>
    <w:rsid w:val="56772E9D"/>
    <w:rsid w:val="56B62522"/>
    <w:rsid w:val="56F02FEC"/>
    <w:rsid w:val="56F3629C"/>
    <w:rsid w:val="56FA587C"/>
    <w:rsid w:val="57032983"/>
    <w:rsid w:val="570B5583"/>
    <w:rsid w:val="57122BC6"/>
    <w:rsid w:val="57286DB3"/>
    <w:rsid w:val="57392849"/>
    <w:rsid w:val="573B036F"/>
    <w:rsid w:val="57462870"/>
    <w:rsid w:val="574865E8"/>
    <w:rsid w:val="575B456D"/>
    <w:rsid w:val="575E405D"/>
    <w:rsid w:val="576A47B0"/>
    <w:rsid w:val="577B4C0F"/>
    <w:rsid w:val="577E025B"/>
    <w:rsid w:val="579E08FE"/>
    <w:rsid w:val="57A37CC2"/>
    <w:rsid w:val="57C40364"/>
    <w:rsid w:val="57C53579"/>
    <w:rsid w:val="57E02CC4"/>
    <w:rsid w:val="57E26A3C"/>
    <w:rsid w:val="57E502DB"/>
    <w:rsid w:val="57E9601D"/>
    <w:rsid w:val="57FD5624"/>
    <w:rsid w:val="580746F5"/>
    <w:rsid w:val="580B1D35"/>
    <w:rsid w:val="58150BC0"/>
    <w:rsid w:val="58220F38"/>
    <w:rsid w:val="58237473"/>
    <w:rsid w:val="5829466B"/>
    <w:rsid w:val="582D2ECA"/>
    <w:rsid w:val="585316E8"/>
    <w:rsid w:val="586B4F13"/>
    <w:rsid w:val="58847AF3"/>
    <w:rsid w:val="588B0E82"/>
    <w:rsid w:val="588E44CE"/>
    <w:rsid w:val="589E62EB"/>
    <w:rsid w:val="58A61818"/>
    <w:rsid w:val="58B24994"/>
    <w:rsid w:val="58B5571B"/>
    <w:rsid w:val="58BC103B"/>
    <w:rsid w:val="58C148A4"/>
    <w:rsid w:val="58D06FBA"/>
    <w:rsid w:val="58D5034F"/>
    <w:rsid w:val="58DD0763"/>
    <w:rsid w:val="58E14F46"/>
    <w:rsid w:val="59036C6A"/>
    <w:rsid w:val="590A0F1B"/>
    <w:rsid w:val="59215342"/>
    <w:rsid w:val="59246BE1"/>
    <w:rsid w:val="5936284C"/>
    <w:rsid w:val="59376DAF"/>
    <w:rsid w:val="593A4CA4"/>
    <w:rsid w:val="593C03CE"/>
    <w:rsid w:val="593E5EF4"/>
    <w:rsid w:val="59575208"/>
    <w:rsid w:val="596B480F"/>
    <w:rsid w:val="59875AED"/>
    <w:rsid w:val="598D4786"/>
    <w:rsid w:val="59B2243E"/>
    <w:rsid w:val="59B63CDD"/>
    <w:rsid w:val="59B93F54"/>
    <w:rsid w:val="59BB7545"/>
    <w:rsid w:val="59BD150F"/>
    <w:rsid w:val="59D620C4"/>
    <w:rsid w:val="59E22D24"/>
    <w:rsid w:val="59EF3692"/>
    <w:rsid w:val="59FB2037"/>
    <w:rsid w:val="5A2309DB"/>
    <w:rsid w:val="5A24333C"/>
    <w:rsid w:val="5A2F1CE1"/>
    <w:rsid w:val="5A5359CF"/>
    <w:rsid w:val="5A5B4884"/>
    <w:rsid w:val="5A5F4374"/>
    <w:rsid w:val="5A663955"/>
    <w:rsid w:val="5A76346C"/>
    <w:rsid w:val="5A767910"/>
    <w:rsid w:val="5A7C139D"/>
    <w:rsid w:val="5A7C4F26"/>
    <w:rsid w:val="5A8913F1"/>
    <w:rsid w:val="5AD05272"/>
    <w:rsid w:val="5AE623A0"/>
    <w:rsid w:val="5AE72A9B"/>
    <w:rsid w:val="5AF80C77"/>
    <w:rsid w:val="5B044F1C"/>
    <w:rsid w:val="5B092532"/>
    <w:rsid w:val="5B0A0784"/>
    <w:rsid w:val="5B0B0058"/>
    <w:rsid w:val="5B0D5B7E"/>
    <w:rsid w:val="5B2D7FCE"/>
    <w:rsid w:val="5B3651C4"/>
    <w:rsid w:val="5B800A46"/>
    <w:rsid w:val="5B90055D"/>
    <w:rsid w:val="5B94004E"/>
    <w:rsid w:val="5B9E2C7A"/>
    <w:rsid w:val="5BC12002"/>
    <w:rsid w:val="5BD963A8"/>
    <w:rsid w:val="5BED3C02"/>
    <w:rsid w:val="5BEF1728"/>
    <w:rsid w:val="5BFD3E45"/>
    <w:rsid w:val="5C096952"/>
    <w:rsid w:val="5C164F06"/>
    <w:rsid w:val="5C1E636D"/>
    <w:rsid w:val="5C237623"/>
    <w:rsid w:val="5C3B496D"/>
    <w:rsid w:val="5C3E7FB9"/>
    <w:rsid w:val="5C49779D"/>
    <w:rsid w:val="5C4A2E02"/>
    <w:rsid w:val="5C4C26D6"/>
    <w:rsid w:val="5C4E28F2"/>
    <w:rsid w:val="5C533A65"/>
    <w:rsid w:val="5C6A0DAE"/>
    <w:rsid w:val="5C7E46C1"/>
    <w:rsid w:val="5C902F0B"/>
    <w:rsid w:val="5C950521"/>
    <w:rsid w:val="5C974299"/>
    <w:rsid w:val="5CA61CC5"/>
    <w:rsid w:val="5CA72002"/>
    <w:rsid w:val="5CB309A7"/>
    <w:rsid w:val="5CBC0084"/>
    <w:rsid w:val="5CCB5CF1"/>
    <w:rsid w:val="5CCE57E1"/>
    <w:rsid w:val="5CD47089"/>
    <w:rsid w:val="5CDA4186"/>
    <w:rsid w:val="5CEE60FC"/>
    <w:rsid w:val="5CF214D0"/>
    <w:rsid w:val="5CF35248"/>
    <w:rsid w:val="5CF50FC0"/>
    <w:rsid w:val="5D107BA8"/>
    <w:rsid w:val="5D1319DA"/>
    <w:rsid w:val="5D211DB5"/>
    <w:rsid w:val="5D283143"/>
    <w:rsid w:val="5D2F1BE8"/>
    <w:rsid w:val="5D467A6D"/>
    <w:rsid w:val="5D6F2B20"/>
    <w:rsid w:val="5D8F31C2"/>
    <w:rsid w:val="5D942587"/>
    <w:rsid w:val="5D947D71"/>
    <w:rsid w:val="5D99194B"/>
    <w:rsid w:val="5D9A50C1"/>
    <w:rsid w:val="5D9E3405"/>
    <w:rsid w:val="5DAF5613"/>
    <w:rsid w:val="5DCA244C"/>
    <w:rsid w:val="5DCA7D57"/>
    <w:rsid w:val="5DDD2180"/>
    <w:rsid w:val="5DEA664B"/>
    <w:rsid w:val="5DEC1E56"/>
    <w:rsid w:val="5DEF3C61"/>
    <w:rsid w:val="5E0A2849"/>
    <w:rsid w:val="5E14191A"/>
    <w:rsid w:val="5E2C5A66"/>
    <w:rsid w:val="5E2D4789"/>
    <w:rsid w:val="5E3972E5"/>
    <w:rsid w:val="5E3F6694"/>
    <w:rsid w:val="5E5341F0"/>
    <w:rsid w:val="5E563CE0"/>
    <w:rsid w:val="5E5D0BCB"/>
    <w:rsid w:val="5E6261E1"/>
    <w:rsid w:val="5E695530"/>
    <w:rsid w:val="5E774777"/>
    <w:rsid w:val="5E783C56"/>
    <w:rsid w:val="5E7A79CF"/>
    <w:rsid w:val="5E875C48"/>
    <w:rsid w:val="5E9C4600"/>
    <w:rsid w:val="5EAC6A18"/>
    <w:rsid w:val="5EAF519E"/>
    <w:rsid w:val="5EBA601D"/>
    <w:rsid w:val="5ED82947"/>
    <w:rsid w:val="5EF77271"/>
    <w:rsid w:val="5F0E45BB"/>
    <w:rsid w:val="5F142678"/>
    <w:rsid w:val="5F20356F"/>
    <w:rsid w:val="5F294F51"/>
    <w:rsid w:val="5F334021"/>
    <w:rsid w:val="5F342CE9"/>
    <w:rsid w:val="5F36141C"/>
    <w:rsid w:val="5F3833E6"/>
    <w:rsid w:val="5F557AF4"/>
    <w:rsid w:val="5F610B8F"/>
    <w:rsid w:val="5F6661A5"/>
    <w:rsid w:val="5F6E5059"/>
    <w:rsid w:val="5F7D704B"/>
    <w:rsid w:val="5F812FDF"/>
    <w:rsid w:val="5F816B3B"/>
    <w:rsid w:val="5F87745E"/>
    <w:rsid w:val="5F990328"/>
    <w:rsid w:val="5FA725A1"/>
    <w:rsid w:val="5FAB3BB8"/>
    <w:rsid w:val="5FBF1411"/>
    <w:rsid w:val="5FC8476A"/>
    <w:rsid w:val="5FCF78A6"/>
    <w:rsid w:val="5FE13A7D"/>
    <w:rsid w:val="5FE61094"/>
    <w:rsid w:val="5FFA1A80"/>
    <w:rsid w:val="600D03CE"/>
    <w:rsid w:val="60145C01"/>
    <w:rsid w:val="60193217"/>
    <w:rsid w:val="6022031E"/>
    <w:rsid w:val="605129B1"/>
    <w:rsid w:val="60575AEE"/>
    <w:rsid w:val="60634492"/>
    <w:rsid w:val="606E3563"/>
    <w:rsid w:val="60714E01"/>
    <w:rsid w:val="608D150F"/>
    <w:rsid w:val="608E59B3"/>
    <w:rsid w:val="60932FCA"/>
    <w:rsid w:val="60AA20C1"/>
    <w:rsid w:val="60D86C2E"/>
    <w:rsid w:val="60DB41E3"/>
    <w:rsid w:val="60E16DC7"/>
    <w:rsid w:val="60E303C2"/>
    <w:rsid w:val="60E750C3"/>
    <w:rsid w:val="60F875EA"/>
    <w:rsid w:val="60FD6695"/>
    <w:rsid w:val="61167757"/>
    <w:rsid w:val="612B4FB0"/>
    <w:rsid w:val="61355E2F"/>
    <w:rsid w:val="614B5652"/>
    <w:rsid w:val="614E5143"/>
    <w:rsid w:val="6151078F"/>
    <w:rsid w:val="61557096"/>
    <w:rsid w:val="61686204"/>
    <w:rsid w:val="61700C15"/>
    <w:rsid w:val="61750921"/>
    <w:rsid w:val="617F354E"/>
    <w:rsid w:val="6185437C"/>
    <w:rsid w:val="61860438"/>
    <w:rsid w:val="61930DA7"/>
    <w:rsid w:val="619A1751"/>
    <w:rsid w:val="619F720E"/>
    <w:rsid w:val="61B52ACC"/>
    <w:rsid w:val="61C55405"/>
    <w:rsid w:val="61D45A07"/>
    <w:rsid w:val="61DA0784"/>
    <w:rsid w:val="61E729D2"/>
    <w:rsid w:val="61EA6C19"/>
    <w:rsid w:val="61F421C0"/>
    <w:rsid w:val="61FD726F"/>
    <w:rsid w:val="622163B3"/>
    <w:rsid w:val="622171F9"/>
    <w:rsid w:val="62317338"/>
    <w:rsid w:val="623B56C7"/>
    <w:rsid w:val="62407B32"/>
    <w:rsid w:val="624F2F20"/>
    <w:rsid w:val="62562501"/>
    <w:rsid w:val="62570027"/>
    <w:rsid w:val="627209BD"/>
    <w:rsid w:val="627925D2"/>
    <w:rsid w:val="6284492C"/>
    <w:rsid w:val="62864468"/>
    <w:rsid w:val="62A74B0A"/>
    <w:rsid w:val="62A768B8"/>
    <w:rsid w:val="62C46226"/>
    <w:rsid w:val="62C523FB"/>
    <w:rsid w:val="62C531E2"/>
    <w:rsid w:val="62CA25A7"/>
    <w:rsid w:val="62CB52E1"/>
    <w:rsid w:val="62D022B3"/>
    <w:rsid w:val="62D11B87"/>
    <w:rsid w:val="62F13FD7"/>
    <w:rsid w:val="62F37D50"/>
    <w:rsid w:val="6300421A"/>
    <w:rsid w:val="63103592"/>
    <w:rsid w:val="63155F18"/>
    <w:rsid w:val="63350368"/>
    <w:rsid w:val="633778C5"/>
    <w:rsid w:val="6345292E"/>
    <w:rsid w:val="635A392B"/>
    <w:rsid w:val="636B1FDC"/>
    <w:rsid w:val="637A221F"/>
    <w:rsid w:val="63846BFA"/>
    <w:rsid w:val="638906B4"/>
    <w:rsid w:val="638B442C"/>
    <w:rsid w:val="638E7A78"/>
    <w:rsid w:val="639860B9"/>
    <w:rsid w:val="639D7CBB"/>
    <w:rsid w:val="63B15515"/>
    <w:rsid w:val="63BA086D"/>
    <w:rsid w:val="63C9253A"/>
    <w:rsid w:val="63D00091"/>
    <w:rsid w:val="63E31B72"/>
    <w:rsid w:val="63ED4609"/>
    <w:rsid w:val="63F41FD1"/>
    <w:rsid w:val="63F773CC"/>
    <w:rsid w:val="641E3E83"/>
    <w:rsid w:val="642B52C7"/>
    <w:rsid w:val="64616F3B"/>
    <w:rsid w:val="646D1D84"/>
    <w:rsid w:val="64713A6A"/>
    <w:rsid w:val="647B624F"/>
    <w:rsid w:val="648D1ADE"/>
    <w:rsid w:val="648D5F82"/>
    <w:rsid w:val="648F14D8"/>
    <w:rsid w:val="64947310"/>
    <w:rsid w:val="64A05CB5"/>
    <w:rsid w:val="64A15589"/>
    <w:rsid w:val="64A241DD"/>
    <w:rsid w:val="64A64D5A"/>
    <w:rsid w:val="64AC465A"/>
    <w:rsid w:val="64BF74AD"/>
    <w:rsid w:val="64C71494"/>
    <w:rsid w:val="64CC0858"/>
    <w:rsid w:val="64D12312"/>
    <w:rsid w:val="64D94D23"/>
    <w:rsid w:val="64DC4BF4"/>
    <w:rsid w:val="64DE67DD"/>
    <w:rsid w:val="64EC4A56"/>
    <w:rsid w:val="64F41B5D"/>
    <w:rsid w:val="64F8164D"/>
    <w:rsid w:val="651B533C"/>
    <w:rsid w:val="651F62A0"/>
    <w:rsid w:val="652C579B"/>
    <w:rsid w:val="653E3F84"/>
    <w:rsid w:val="655B1BDC"/>
    <w:rsid w:val="657C227E"/>
    <w:rsid w:val="658E1FB1"/>
    <w:rsid w:val="65AB796D"/>
    <w:rsid w:val="65C42D57"/>
    <w:rsid w:val="65CC4888"/>
    <w:rsid w:val="65E87914"/>
    <w:rsid w:val="65EE0CA2"/>
    <w:rsid w:val="65F242EE"/>
    <w:rsid w:val="66012783"/>
    <w:rsid w:val="660404C6"/>
    <w:rsid w:val="6606102C"/>
    <w:rsid w:val="661A55F3"/>
    <w:rsid w:val="66206A18"/>
    <w:rsid w:val="662B5A52"/>
    <w:rsid w:val="662E7EAC"/>
    <w:rsid w:val="663012BB"/>
    <w:rsid w:val="66342B59"/>
    <w:rsid w:val="66354F05"/>
    <w:rsid w:val="663E7534"/>
    <w:rsid w:val="66501015"/>
    <w:rsid w:val="66540B05"/>
    <w:rsid w:val="666F1DE3"/>
    <w:rsid w:val="6672630C"/>
    <w:rsid w:val="667967BE"/>
    <w:rsid w:val="667C005C"/>
    <w:rsid w:val="667C4500"/>
    <w:rsid w:val="669C24AC"/>
    <w:rsid w:val="66A7157D"/>
    <w:rsid w:val="66AF2C9C"/>
    <w:rsid w:val="66D06D96"/>
    <w:rsid w:val="66D122FD"/>
    <w:rsid w:val="66F45E44"/>
    <w:rsid w:val="66FC791B"/>
    <w:rsid w:val="670A1B0C"/>
    <w:rsid w:val="67242BCD"/>
    <w:rsid w:val="672C3830"/>
    <w:rsid w:val="6732696D"/>
    <w:rsid w:val="673426E5"/>
    <w:rsid w:val="673F17B5"/>
    <w:rsid w:val="6746681E"/>
    <w:rsid w:val="67492634"/>
    <w:rsid w:val="674E19F8"/>
    <w:rsid w:val="67513297"/>
    <w:rsid w:val="675C219F"/>
    <w:rsid w:val="6796514D"/>
    <w:rsid w:val="679A2E90"/>
    <w:rsid w:val="67A55390"/>
    <w:rsid w:val="67A91325"/>
    <w:rsid w:val="67AB6E4B"/>
    <w:rsid w:val="67B215EE"/>
    <w:rsid w:val="67C27CF0"/>
    <w:rsid w:val="67C47F0C"/>
    <w:rsid w:val="67C73559"/>
    <w:rsid w:val="67CA4DF7"/>
    <w:rsid w:val="67CB102B"/>
    <w:rsid w:val="67DD2D7C"/>
    <w:rsid w:val="67E20393"/>
    <w:rsid w:val="67E91721"/>
    <w:rsid w:val="67EB5179"/>
    <w:rsid w:val="67EB5499"/>
    <w:rsid w:val="67F34959"/>
    <w:rsid w:val="67F56318"/>
    <w:rsid w:val="67F87BB6"/>
    <w:rsid w:val="67FF2CF3"/>
    <w:rsid w:val="68294213"/>
    <w:rsid w:val="682965BB"/>
    <w:rsid w:val="683A4A13"/>
    <w:rsid w:val="683C3F47"/>
    <w:rsid w:val="683F7593"/>
    <w:rsid w:val="684352D5"/>
    <w:rsid w:val="685272C6"/>
    <w:rsid w:val="686314D3"/>
    <w:rsid w:val="68662D72"/>
    <w:rsid w:val="687436E1"/>
    <w:rsid w:val="688B0A2A"/>
    <w:rsid w:val="688F22C8"/>
    <w:rsid w:val="689E3B8A"/>
    <w:rsid w:val="68B57855"/>
    <w:rsid w:val="68B7537B"/>
    <w:rsid w:val="68B93CF2"/>
    <w:rsid w:val="68BB30BE"/>
    <w:rsid w:val="68DC4DE2"/>
    <w:rsid w:val="68F44821"/>
    <w:rsid w:val="690A7BA1"/>
    <w:rsid w:val="690D143F"/>
    <w:rsid w:val="69197DE4"/>
    <w:rsid w:val="691C78D4"/>
    <w:rsid w:val="691E2D99"/>
    <w:rsid w:val="692C3FBB"/>
    <w:rsid w:val="692E40F3"/>
    <w:rsid w:val="69362744"/>
    <w:rsid w:val="6942558D"/>
    <w:rsid w:val="69567CE1"/>
    <w:rsid w:val="69603C65"/>
    <w:rsid w:val="69623EDE"/>
    <w:rsid w:val="6966717F"/>
    <w:rsid w:val="696C085C"/>
    <w:rsid w:val="69763488"/>
    <w:rsid w:val="699B4C9D"/>
    <w:rsid w:val="69A1722F"/>
    <w:rsid w:val="69A62BA0"/>
    <w:rsid w:val="69B61AD7"/>
    <w:rsid w:val="69BB533F"/>
    <w:rsid w:val="69DB153D"/>
    <w:rsid w:val="69E20B1E"/>
    <w:rsid w:val="69F262CB"/>
    <w:rsid w:val="69F85C4B"/>
    <w:rsid w:val="6A253A30"/>
    <w:rsid w:val="6A334ED5"/>
    <w:rsid w:val="6A3749C6"/>
    <w:rsid w:val="6A4964A7"/>
    <w:rsid w:val="6A5C442C"/>
    <w:rsid w:val="6A682DD1"/>
    <w:rsid w:val="6A7D3FB6"/>
    <w:rsid w:val="6AA95198"/>
    <w:rsid w:val="6AB778B5"/>
    <w:rsid w:val="6ABC311D"/>
    <w:rsid w:val="6ABF6769"/>
    <w:rsid w:val="6ADF0BB9"/>
    <w:rsid w:val="6AF503DD"/>
    <w:rsid w:val="6AF705F9"/>
    <w:rsid w:val="6B064398"/>
    <w:rsid w:val="6B133AE7"/>
    <w:rsid w:val="6B170353"/>
    <w:rsid w:val="6B1D5E72"/>
    <w:rsid w:val="6B3E28C1"/>
    <w:rsid w:val="6B476E8A"/>
    <w:rsid w:val="6B4B046E"/>
    <w:rsid w:val="6B4C0C26"/>
    <w:rsid w:val="6B52582F"/>
    <w:rsid w:val="6B5259F4"/>
    <w:rsid w:val="6B7316A4"/>
    <w:rsid w:val="6B7B2FD8"/>
    <w:rsid w:val="6B7E4C5D"/>
    <w:rsid w:val="6B984AE5"/>
    <w:rsid w:val="6BA047ED"/>
    <w:rsid w:val="6BBB1626"/>
    <w:rsid w:val="6BBC47BD"/>
    <w:rsid w:val="6BCFCE22"/>
    <w:rsid w:val="6BEC17E0"/>
    <w:rsid w:val="6BF568E6"/>
    <w:rsid w:val="6BF80185"/>
    <w:rsid w:val="6BFD39ED"/>
    <w:rsid w:val="6C283F43"/>
    <w:rsid w:val="6C335661"/>
    <w:rsid w:val="6C4433CA"/>
    <w:rsid w:val="6C517895"/>
    <w:rsid w:val="6C586513"/>
    <w:rsid w:val="6C643A6C"/>
    <w:rsid w:val="6C7B05E2"/>
    <w:rsid w:val="6C8359F4"/>
    <w:rsid w:val="6C983716"/>
    <w:rsid w:val="6CAE02C1"/>
    <w:rsid w:val="6CB0280D"/>
    <w:rsid w:val="6CBE13CE"/>
    <w:rsid w:val="6CC91B21"/>
    <w:rsid w:val="6CD70509"/>
    <w:rsid w:val="6CE07597"/>
    <w:rsid w:val="6CE150BD"/>
    <w:rsid w:val="6CF272CA"/>
    <w:rsid w:val="6D0B14CF"/>
    <w:rsid w:val="6D162FB8"/>
    <w:rsid w:val="6D21195D"/>
    <w:rsid w:val="6D4318D3"/>
    <w:rsid w:val="6D434595"/>
    <w:rsid w:val="6D4573FA"/>
    <w:rsid w:val="6D5E670D"/>
    <w:rsid w:val="6D7970A3"/>
    <w:rsid w:val="6D7C6B93"/>
    <w:rsid w:val="6D885538"/>
    <w:rsid w:val="6D8C327A"/>
    <w:rsid w:val="6D946ECB"/>
    <w:rsid w:val="6D9F3FE9"/>
    <w:rsid w:val="6DA560EA"/>
    <w:rsid w:val="6DA700B4"/>
    <w:rsid w:val="6DB4076A"/>
    <w:rsid w:val="6DB77BCC"/>
    <w:rsid w:val="6DC9057F"/>
    <w:rsid w:val="6DC95F17"/>
    <w:rsid w:val="6DD8026E"/>
    <w:rsid w:val="6DFB148C"/>
    <w:rsid w:val="6E0F17B6"/>
    <w:rsid w:val="6E1374F8"/>
    <w:rsid w:val="6E153270"/>
    <w:rsid w:val="6E190503"/>
    <w:rsid w:val="6E201C15"/>
    <w:rsid w:val="6E261E32"/>
    <w:rsid w:val="6E274D51"/>
    <w:rsid w:val="6E301E58"/>
    <w:rsid w:val="6E3B07FD"/>
    <w:rsid w:val="6E4B4EE4"/>
    <w:rsid w:val="6E6848B4"/>
    <w:rsid w:val="6E731D44"/>
    <w:rsid w:val="6E873A42"/>
    <w:rsid w:val="6E9D3265"/>
    <w:rsid w:val="6EAB7730"/>
    <w:rsid w:val="6EC727D8"/>
    <w:rsid w:val="6ECE1671"/>
    <w:rsid w:val="6ED30A35"/>
    <w:rsid w:val="6ED722D3"/>
    <w:rsid w:val="6EE804F1"/>
    <w:rsid w:val="6EE80984"/>
    <w:rsid w:val="6EF70BC7"/>
    <w:rsid w:val="6EFA5D3A"/>
    <w:rsid w:val="6F0D3F47"/>
    <w:rsid w:val="6F0F5516"/>
    <w:rsid w:val="6F287F6F"/>
    <w:rsid w:val="6F2D283B"/>
    <w:rsid w:val="6F3E2352"/>
    <w:rsid w:val="6F6A75EB"/>
    <w:rsid w:val="6F865AA7"/>
    <w:rsid w:val="6F8B1310"/>
    <w:rsid w:val="6F8F7052"/>
    <w:rsid w:val="6F96218E"/>
    <w:rsid w:val="6FB6638D"/>
    <w:rsid w:val="6FB865A9"/>
    <w:rsid w:val="6FC51CA8"/>
    <w:rsid w:val="6FE4739E"/>
    <w:rsid w:val="6FF670D1"/>
    <w:rsid w:val="6FF70753"/>
    <w:rsid w:val="6FFA819D"/>
    <w:rsid w:val="6FFD2810"/>
    <w:rsid w:val="70025A76"/>
    <w:rsid w:val="700D6588"/>
    <w:rsid w:val="701E3F32"/>
    <w:rsid w:val="702A4611"/>
    <w:rsid w:val="703B0F88"/>
    <w:rsid w:val="70531E2E"/>
    <w:rsid w:val="705D0EFE"/>
    <w:rsid w:val="70634617"/>
    <w:rsid w:val="70636969"/>
    <w:rsid w:val="706C7393"/>
    <w:rsid w:val="707840A8"/>
    <w:rsid w:val="708B0396"/>
    <w:rsid w:val="70967F6C"/>
    <w:rsid w:val="70A408DB"/>
    <w:rsid w:val="70A97C9F"/>
    <w:rsid w:val="70AC5B69"/>
    <w:rsid w:val="70AE6490"/>
    <w:rsid w:val="70C366B0"/>
    <w:rsid w:val="70C40F7D"/>
    <w:rsid w:val="70D34D1C"/>
    <w:rsid w:val="70D56CE6"/>
    <w:rsid w:val="70D80585"/>
    <w:rsid w:val="70E36668"/>
    <w:rsid w:val="70E5442F"/>
    <w:rsid w:val="70F058CE"/>
    <w:rsid w:val="70F213F3"/>
    <w:rsid w:val="71025602"/>
    <w:rsid w:val="71072C18"/>
    <w:rsid w:val="71146562"/>
    <w:rsid w:val="711D674E"/>
    <w:rsid w:val="712026E3"/>
    <w:rsid w:val="7128150C"/>
    <w:rsid w:val="71327C95"/>
    <w:rsid w:val="71397275"/>
    <w:rsid w:val="713F0604"/>
    <w:rsid w:val="714F4CEB"/>
    <w:rsid w:val="715B3690"/>
    <w:rsid w:val="716122BB"/>
    <w:rsid w:val="716B31A7"/>
    <w:rsid w:val="716F2C97"/>
    <w:rsid w:val="71804EA4"/>
    <w:rsid w:val="71867FE1"/>
    <w:rsid w:val="71A768D5"/>
    <w:rsid w:val="71B608C6"/>
    <w:rsid w:val="71B91357"/>
    <w:rsid w:val="71C132A7"/>
    <w:rsid w:val="71DB657E"/>
    <w:rsid w:val="71EA67C2"/>
    <w:rsid w:val="71F92EA9"/>
    <w:rsid w:val="71FD64F5"/>
    <w:rsid w:val="72071122"/>
    <w:rsid w:val="720A29C0"/>
    <w:rsid w:val="720B63C0"/>
    <w:rsid w:val="72213E66"/>
    <w:rsid w:val="722C2936"/>
    <w:rsid w:val="72330169"/>
    <w:rsid w:val="724A3704"/>
    <w:rsid w:val="724F65E2"/>
    <w:rsid w:val="7275647C"/>
    <w:rsid w:val="72834520"/>
    <w:rsid w:val="728C1B45"/>
    <w:rsid w:val="72B34E05"/>
    <w:rsid w:val="72B868C0"/>
    <w:rsid w:val="72BA43E6"/>
    <w:rsid w:val="72BD3ED6"/>
    <w:rsid w:val="72BF0364"/>
    <w:rsid w:val="72D27981"/>
    <w:rsid w:val="72D80D10"/>
    <w:rsid w:val="72DD1E82"/>
    <w:rsid w:val="72E90827"/>
    <w:rsid w:val="72F0605A"/>
    <w:rsid w:val="72F6676F"/>
    <w:rsid w:val="72F86CBC"/>
    <w:rsid w:val="72FB055A"/>
    <w:rsid w:val="73263829"/>
    <w:rsid w:val="7329331A"/>
    <w:rsid w:val="732C59B5"/>
    <w:rsid w:val="73334198"/>
    <w:rsid w:val="733C304D"/>
    <w:rsid w:val="7346211D"/>
    <w:rsid w:val="73465C7A"/>
    <w:rsid w:val="736425A4"/>
    <w:rsid w:val="737C78ED"/>
    <w:rsid w:val="738D1AFA"/>
    <w:rsid w:val="73934B26"/>
    <w:rsid w:val="73A11102"/>
    <w:rsid w:val="73A34E7A"/>
    <w:rsid w:val="73AF288C"/>
    <w:rsid w:val="73CD1EF7"/>
    <w:rsid w:val="73D83EF4"/>
    <w:rsid w:val="73E02686"/>
    <w:rsid w:val="73EF00BF"/>
    <w:rsid w:val="74024296"/>
    <w:rsid w:val="74117B3F"/>
    <w:rsid w:val="74152E80"/>
    <w:rsid w:val="741D2E7E"/>
    <w:rsid w:val="742064CB"/>
    <w:rsid w:val="742862C6"/>
    <w:rsid w:val="742C4E6F"/>
    <w:rsid w:val="74416441"/>
    <w:rsid w:val="7443040B"/>
    <w:rsid w:val="744F272C"/>
    <w:rsid w:val="74602D6B"/>
    <w:rsid w:val="746B1DAF"/>
    <w:rsid w:val="746E1B45"/>
    <w:rsid w:val="748702F8"/>
    <w:rsid w:val="7487479C"/>
    <w:rsid w:val="748A428C"/>
    <w:rsid w:val="748F1AFC"/>
    <w:rsid w:val="749D7B1B"/>
    <w:rsid w:val="74B15375"/>
    <w:rsid w:val="74C4779E"/>
    <w:rsid w:val="74C74B98"/>
    <w:rsid w:val="74DA2B1D"/>
    <w:rsid w:val="74DB00EA"/>
    <w:rsid w:val="74F6547D"/>
    <w:rsid w:val="750924D8"/>
    <w:rsid w:val="75181898"/>
    <w:rsid w:val="751A116C"/>
    <w:rsid w:val="751B4EE4"/>
    <w:rsid w:val="752A3F99"/>
    <w:rsid w:val="752B3379"/>
    <w:rsid w:val="753164B5"/>
    <w:rsid w:val="75363ACC"/>
    <w:rsid w:val="753A7A60"/>
    <w:rsid w:val="7544268D"/>
    <w:rsid w:val="75660855"/>
    <w:rsid w:val="759E1D9D"/>
    <w:rsid w:val="759F78C3"/>
    <w:rsid w:val="75A1188D"/>
    <w:rsid w:val="75BA46FD"/>
    <w:rsid w:val="75C8506C"/>
    <w:rsid w:val="75CD2682"/>
    <w:rsid w:val="75D82CCE"/>
    <w:rsid w:val="75E225A7"/>
    <w:rsid w:val="75EF43A6"/>
    <w:rsid w:val="75F41852"/>
    <w:rsid w:val="76171B4F"/>
    <w:rsid w:val="7629262A"/>
    <w:rsid w:val="764C6175"/>
    <w:rsid w:val="765D3A06"/>
    <w:rsid w:val="765E152C"/>
    <w:rsid w:val="765E32DA"/>
    <w:rsid w:val="767945B8"/>
    <w:rsid w:val="76805946"/>
    <w:rsid w:val="76830F93"/>
    <w:rsid w:val="768E0063"/>
    <w:rsid w:val="769B62DC"/>
    <w:rsid w:val="76B86E8E"/>
    <w:rsid w:val="76BC122C"/>
    <w:rsid w:val="76D13703"/>
    <w:rsid w:val="76D417EE"/>
    <w:rsid w:val="76E732D0"/>
    <w:rsid w:val="76F61765"/>
    <w:rsid w:val="77012625"/>
    <w:rsid w:val="7704694D"/>
    <w:rsid w:val="77130569"/>
    <w:rsid w:val="771542E1"/>
    <w:rsid w:val="77183DD1"/>
    <w:rsid w:val="77194CE2"/>
    <w:rsid w:val="771A5453"/>
    <w:rsid w:val="771B741D"/>
    <w:rsid w:val="77364257"/>
    <w:rsid w:val="77366005"/>
    <w:rsid w:val="77440722"/>
    <w:rsid w:val="774E15A1"/>
    <w:rsid w:val="775C3661"/>
    <w:rsid w:val="77752FD1"/>
    <w:rsid w:val="778255A2"/>
    <w:rsid w:val="77871237"/>
    <w:rsid w:val="77911727"/>
    <w:rsid w:val="77AB69F3"/>
    <w:rsid w:val="77B05DB7"/>
    <w:rsid w:val="77B51620"/>
    <w:rsid w:val="77CF26E1"/>
    <w:rsid w:val="77E55F64"/>
    <w:rsid w:val="77EA18BC"/>
    <w:rsid w:val="77EE068E"/>
    <w:rsid w:val="77F739E6"/>
    <w:rsid w:val="780600CD"/>
    <w:rsid w:val="780D4FB8"/>
    <w:rsid w:val="782D565A"/>
    <w:rsid w:val="783A53EF"/>
    <w:rsid w:val="7840713B"/>
    <w:rsid w:val="785E3A65"/>
    <w:rsid w:val="786A065C"/>
    <w:rsid w:val="78704DF0"/>
    <w:rsid w:val="78760DAF"/>
    <w:rsid w:val="78B35B5F"/>
    <w:rsid w:val="78B82CD3"/>
    <w:rsid w:val="78C15F64"/>
    <w:rsid w:val="78D12489"/>
    <w:rsid w:val="78D322D8"/>
    <w:rsid w:val="78D87374"/>
    <w:rsid w:val="78DB50B6"/>
    <w:rsid w:val="78EC0CB4"/>
    <w:rsid w:val="78F46178"/>
    <w:rsid w:val="78F817C4"/>
    <w:rsid w:val="78FD6DDA"/>
    <w:rsid w:val="79004B1D"/>
    <w:rsid w:val="79200D1B"/>
    <w:rsid w:val="792C3F7A"/>
    <w:rsid w:val="79415644"/>
    <w:rsid w:val="79442C5B"/>
    <w:rsid w:val="794B223C"/>
    <w:rsid w:val="795C2A94"/>
    <w:rsid w:val="79764DDF"/>
    <w:rsid w:val="797B484A"/>
    <w:rsid w:val="797C4DD7"/>
    <w:rsid w:val="798E2128"/>
    <w:rsid w:val="798E3ED6"/>
    <w:rsid w:val="799C4845"/>
    <w:rsid w:val="799D05BD"/>
    <w:rsid w:val="799F4335"/>
    <w:rsid w:val="799F60E4"/>
    <w:rsid w:val="79BA116F"/>
    <w:rsid w:val="79C3347E"/>
    <w:rsid w:val="79CD2C51"/>
    <w:rsid w:val="79CE0777"/>
    <w:rsid w:val="79D00993"/>
    <w:rsid w:val="79DC10E6"/>
    <w:rsid w:val="79F931E1"/>
    <w:rsid w:val="79FC1788"/>
    <w:rsid w:val="7A027492"/>
    <w:rsid w:val="7A0348C4"/>
    <w:rsid w:val="7A0453F3"/>
    <w:rsid w:val="7A1220CC"/>
    <w:rsid w:val="7A1268B5"/>
    <w:rsid w:val="7A293BFF"/>
    <w:rsid w:val="7A3C3932"/>
    <w:rsid w:val="7A4D5B40"/>
    <w:rsid w:val="7A505630"/>
    <w:rsid w:val="7A575F57"/>
    <w:rsid w:val="7A5A200A"/>
    <w:rsid w:val="7A5B64AE"/>
    <w:rsid w:val="7A5E5F9F"/>
    <w:rsid w:val="7A5E7D4D"/>
    <w:rsid w:val="7A707A80"/>
    <w:rsid w:val="7A8772A3"/>
    <w:rsid w:val="7A884DCA"/>
    <w:rsid w:val="7AA15E8B"/>
    <w:rsid w:val="7AAD65DE"/>
    <w:rsid w:val="7AB11687"/>
    <w:rsid w:val="7AB931D5"/>
    <w:rsid w:val="7ACA7190"/>
    <w:rsid w:val="7ACD6C80"/>
    <w:rsid w:val="7ACF6635"/>
    <w:rsid w:val="7AEA5A84"/>
    <w:rsid w:val="7AF91823"/>
    <w:rsid w:val="7B034450"/>
    <w:rsid w:val="7B0F54EB"/>
    <w:rsid w:val="7B1A0118"/>
    <w:rsid w:val="7B1E128A"/>
    <w:rsid w:val="7B1EE665"/>
    <w:rsid w:val="7B2F54B5"/>
    <w:rsid w:val="7B354F51"/>
    <w:rsid w:val="7B3D7962"/>
    <w:rsid w:val="7B523868"/>
    <w:rsid w:val="7B5A6766"/>
    <w:rsid w:val="7B5B24DE"/>
    <w:rsid w:val="7B5D0004"/>
    <w:rsid w:val="7B66335D"/>
    <w:rsid w:val="7B694BFB"/>
    <w:rsid w:val="7B7315D6"/>
    <w:rsid w:val="7B902188"/>
    <w:rsid w:val="7BA47323"/>
    <w:rsid w:val="7BAB5214"/>
    <w:rsid w:val="7BAF03F7"/>
    <w:rsid w:val="7BBA0FB3"/>
    <w:rsid w:val="7BCE2CB0"/>
    <w:rsid w:val="7BD858DD"/>
    <w:rsid w:val="7BDA3403"/>
    <w:rsid w:val="7BDD38DF"/>
    <w:rsid w:val="7BEE5100"/>
    <w:rsid w:val="7BF32717"/>
    <w:rsid w:val="7BF904A3"/>
    <w:rsid w:val="7BFC15CB"/>
    <w:rsid w:val="7BFC781D"/>
    <w:rsid w:val="7C180B2E"/>
    <w:rsid w:val="7C1C1C6D"/>
    <w:rsid w:val="7C26131F"/>
    <w:rsid w:val="7C2720F2"/>
    <w:rsid w:val="7C3F770A"/>
    <w:rsid w:val="7C4165F9"/>
    <w:rsid w:val="7C43714C"/>
    <w:rsid w:val="7C4E5B9F"/>
    <w:rsid w:val="7C5A2796"/>
    <w:rsid w:val="7C5A4544"/>
    <w:rsid w:val="7C647170"/>
    <w:rsid w:val="7C790E6E"/>
    <w:rsid w:val="7C887303"/>
    <w:rsid w:val="7C9712F4"/>
    <w:rsid w:val="7CA83501"/>
    <w:rsid w:val="7CB9570E"/>
    <w:rsid w:val="7CBB76D8"/>
    <w:rsid w:val="7CC876FF"/>
    <w:rsid w:val="7CCD1A56"/>
    <w:rsid w:val="7CD10CAA"/>
    <w:rsid w:val="7CDE33C7"/>
    <w:rsid w:val="7CE7227B"/>
    <w:rsid w:val="7CED7166"/>
    <w:rsid w:val="7D084B43"/>
    <w:rsid w:val="7D0C3A90"/>
    <w:rsid w:val="7D1D3EEF"/>
    <w:rsid w:val="7D1E3EA3"/>
    <w:rsid w:val="7D3354C1"/>
    <w:rsid w:val="7D3702E5"/>
    <w:rsid w:val="7D605B8A"/>
    <w:rsid w:val="7D63567A"/>
    <w:rsid w:val="7D6E0AEB"/>
    <w:rsid w:val="7D755AD9"/>
    <w:rsid w:val="7D8B70AB"/>
    <w:rsid w:val="7DA22646"/>
    <w:rsid w:val="7DAE4B47"/>
    <w:rsid w:val="7DAE6C72"/>
    <w:rsid w:val="7DB303AF"/>
    <w:rsid w:val="7DB859C6"/>
    <w:rsid w:val="7DBA173E"/>
    <w:rsid w:val="7DBB54B6"/>
    <w:rsid w:val="7DBB7264"/>
    <w:rsid w:val="7DC12ACC"/>
    <w:rsid w:val="7DC75C09"/>
    <w:rsid w:val="7DCE51E9"/>
    <w:rsid w:val="7DD81917"/>
    <w:rsid w:val="7DDC1500"/>
    <w:rsid w:val="7DDE4768"/>
    <w:rsid w:val="7DE844FD"/>
    <w:rsid w:val="7DF05160"/>
    <w:rsid w:val="7DF54524"/>
    <w:rsid w:val="7DFF1847"/>
    <w:rsid w:val="7DFF35F5"/>
    <w:rsid w:val="7E012F83"/>
    <w:rsid w:val="7E0F7ABB"/>
    <w:rsid w:val="7E105802"/>
    <w:rsid w:val="7E2272E3"/>
    <w:rsid w:val="7E3712E7"/>
    <w:rsid w:val="7E413C0D"/>
    <w:rsid w:val="7E505BFE"/>
    <w:rsid w:val="7E6B31AE"/>
    <w:rsid w:val="7E6E42D6"/>
    <w:rsid w:val="7E7F64E4"/>
    <w:rsid w:val="7EA146AC"/>
    <w:rsid w:val="7EB60008"/>
    <w:rsid w:val="7EC42148"/>
    <w:rsid w:val="7EDC30EB"/>
    <w:rsid w:val="7EEF2C4C"/>
    <w:rsid w:val="7EF8136D"/>
    <w:rsid w:val="7EFC5B0D"/>
    <w:rsid w:val="7F182BC0"/>
    <w:rsid w:val="7F267F08"/>
    <w:rsid w:val="7F2F3A66"/>
    <w:rsid w:val="7F3FD8F5"/>
    <w:rsid w:val="7F4FF76D"/>
    <w:rsid w:val="7F565B5F"/>
    <w:rsid w:val="7F577294"/>
    <w:rsid w:val="7F5E259D"/>
    <w:rsid w:val="7F637BB3"/>
    <w:rsid w:val="7F7D6F04"/>
    <w:rsid w:val="7F7F4E8D"/>
    <w:rsid w:val="7F870019"/>
    <w:rsid w:val="7F8738A2"/>
    <w:rsid w:val="7F9164CE"/>
    <w:rsid w:val="7F961D37"/>
    <w:rsid w:val="7FAC4C99"/>
    <w:rsid w:val="7FAE7080"/>
    <w:rsid w:val="7FB0104A"/>
    <w:rsid w:val="7FBE4DEA"/>
    <w:rsid w:val="7FC3027E"/>
    <w:rsid w:val="7FC44AF6"/>
    <w:rsid w:val="7FC56178"/>
    <w:rsid w:val="7FDD1714"/>
    <w:rsid w:val="7FDF723A"/>
    <w:rsid w:val="7FE42AA2"/>
    <w:rsid w:val="7FE72592"/>
    <w:rsid w:val="7FEA3E31"/>
    <w:rsid w:val="7FEB5F33"/>
    <w:rsid w:val="7FEE1B73"/>
    <w:rsid w:val="7FF37189"/>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tabs>
        <w:tab w:val="left" w:pos="1830"/>
      </w:tabs>
      <w:ind w:left="1830" w:hanging="360"/>
      <w:outlineLvl w:val="0"/>
    </w:pPr>
    <w:rPr>
      <w:rFonts w:ascii="Arial" w:hAnsi="Arial" w:eastAsia="仿宋_GB2312"/>
      <w:sz w:val="28"/>
      <w:szCs w:val="20"/>
      <w:lang w:bidi="he-IL"/>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4"/>
    <w:unhideWhenUsed/>
    <w:qFormat/>
    <w:uiPriority w:val="99"/>
    <w:pPr>
      <w:spacing w:line="400" w:lineRule="atLeast"/>
      <w:ind w:firstLine="426"/>
    </w:pPr>
    <w:rPr>
      <w:sz w:val="24"/>
      <w:szCs w:val="20"/>
    </w:rPr>
  </w:style>
  <w:style w:type="paragraph" w:styleId="3">
    <w:name w:val="Body Text"/>
    <w:basedOn w:val="1"/>
    <w:link w:val="33"/>
    <w:qFormat/>
    <w:uiPriority w:val="0"/>
    <w:pPr>
      <w:spacing w:after="12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rPr>
  </w:style>
  <w:style w:type="paragraph" w:styleId="8">
    <w:name w:val="Balloon Text"/>
    <w:basedOn w:val="1"/>
    <w:link w:val="32"/>
    <w:qFormat/>
    <w:uiPriority w:val="0"/>
    <w:rPr>
      <w:sz w:val="18"/>
      <w:szCs w:val="18"/>
    </w:rPr>
  </w:style>
  <w:style w:type="paragraph" w:styleId="9">
    <w:name w:val="footer"/>
    <w:basedOn w:val="1"/>
    <w:link w:val="45"/>
    <w:qFormat/>
    <w:uiPriority w:val="99"/>
    <w:pPr>
      <w:tabs>
        <w:tab w:val="center" w:pos="4153"/>
        <w:tab w:val="right" w:pos="8306"/>
      </w:tabs>
      <w:snapToGrid w:val="0"/>
      <w:jc w:val="left"/>
    </w:pPr>
    <w:rPr>
      <w:sz w:val="18"/>
      <w:szCs w:val="20"/>
      <w:lang w:bidi="he-I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2"/>
    <w:next w:val="1"/>
    <w:qFormat/>
    <w:uiPriority w:val="39"/>
    <w:rPr>
      <w:rFonts w:eastAsia="黑体"/>
      <w:sz w:val="28"/>
    </w:rPr>
  </w:style>
  <w:style w:type="paragraph" w:styleId="12">
    <w:name w:val="index 1"/>
    <w:basedOn w:val="1"/>
    <w:next w:val="1"/>
    <w:semiHidden/>
    <w:qFormat/>
    <w:uiPriority w:val="0"/>
    <w:rPr>
      <w:rFonts w:eastAsia="仿宋_GB2312"/>
      <w:b/>
      <w:sz w:val="24"/>
      <w:szCs w:val="20"/>
    </w:rPr>
  </w:style>
  <w:style w:type="paragraph" w:styleId="13">
    <w:name w:val="toc 2"/>
    <w:basedOn w:val="14"/>
    <w:next w:val="14"/>
    <w:qFormat/>
    <w:uiPriority w:val="39"/>
    <w:pPr>
      <w:ind w:left="420"/>
    </w:pPr>
    <w:rPr>
      <w:rFonts w:eastAsia="仿宋_GB2312"/>
      <w:b/>
      <w:sz w:val="24"/>
    </w:rPr>
  </w:style>
  <w:style w:type="paragraph" w:styleId="14">
    <w:name w:val="index 2"/>
    <w:basedOn w:val="1"/>
    <w:next w:val="1"/>
    <w:qFormat/>
    <w:uiPriority w:val="0"/>
    <w:pPr>
      <w:ind w:left="200" w:leftChars="200"/>
    </w:pPr>
    <w:rPr>
      <w:szCs w:val="20"/>
    </w:rPr>
  </w:style>
  <w:style w:type="paragraph" w:styleId="15">
    <w:name w:val="Normal (Web)"/>
    <w:basedOn w:val="1"/>
    <w:qFormat/>
    <w:uiPriority w:val="0"/>
    <w:pPr>
      <w:spacing w:beforeAutospacing="1"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color w:val="CC0000"/>
    </w:rPr>
  </w:style>
  <w:style w:type="character" w:styleId="22">
    <w:name w:val="Hyperlink"/>
    <w:qFormat/>
    <w:uiPriority w:val="99"/>
    <w:rPr>
      <w:color w:val="0000FF"/>
      <w:u w:val="single"/>
    </w:rPr>
  </w:style>
  <w:style w:type="character" w:styleId="23">
    <w:name w:val="HTML Cite"/>
    <w:basedOn w:val="18"/>
    <w:qFormat/>
    <w:uiPriority w:val="0"/>
    <w:rPr>
      <w:color w:val="008000"/>
    </w:rPr>
  </w:style>
  <w:style w:type="paragraph" w:customStyle="1" w:styleId="24">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25">
    <w:name w:val="章标题"/>
    <w:basedOn w:val="1"/>
    <w:qFormat/>
    <w:uiPriority w:val="0"/>
    <w:pPr>
      <w:jc w:val="center"/>
    </w:pPr>
    <w:rPr>
      <w:rFonts w:ascii="宋体" w:hAnsi="宋体" w:eastAsia="黑体"/>
      <w:b/>
      <w:sz w:val="28"/>
      <w:szCs w:val="30"/>
    </w:rPr>
  </w:style>
  <w:style w:type="paragraph" w:customStyle="1" w:styleId="26">
    <w:name w:val="GW-正文"/>
    <w:basedOn w:val="1"/>
    <w:qFormat/>
    <w:uiPriority w:val="0"/>
    <w:pPr>
      <w:spacing w:line="360" w:lineRule="auto"/>
      <w:ind w:firstLine="200" w:firstLineChars="200"/>
      <w:contextualSpacing/>
    </w:pPr>
  </w:style>
  <w:style w:type="paragraph" w:customStyle="1" w:styleId="27">
    <w:name w:val="p0"/>
    <w:basedOn w:val="1"/>
    <w:qFormat/>
    <w:uiPriority w:val="0"/>
    <w:pPr>
      <w:widowControl/>
    </w:pPr>
    <w:rPr>
      <w:kern w:val="0"/>
      <w:szCs w:val="21"/>
    </w:rPr>
  </w:style>
  <w:style w:type="paragraph" w:customStyle="1" w:styleId="28">
    <w:name w:val="节标题"/>
    <w:basedOn w:val="1"/>
    <w:qFormat/>
    <w:uiPriority w:val="0"/>
    <w:pPr>
      <w:ind w:firstLine="1928" w:firstLineChars="800"/>
    </w:pPr>
    <w:rPr>
      <w:rFonts w:ascii="宋体" w:hAnsi="宋体" w:cs="Arial"/>
      <w:b/>
    </w:rPr>
  </w:style>
  <w:style w:type="paragraph" w:customStyle="1" w:styleId="2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标题 2 Char"/>
    <w:link w:val="5"/>
    <w:qFormat/>
    <w:uiPriority w:val="0"/>
    <w:rPr>
      <w:rFonts w:ascii="Arial" w:hAnsi="Arial" w:eastAsia="黑体"/>
      <w:b/>
      <w:bCs/>
      <w:sz w:val="32"/>
      <w:szCs w:val="32"/>
    </w:rPr>
  </w:style>
  <w:style w:type="character" w:customStyle="1" w:styleId="32">
    <w:name w:val="批注框文本 Char"/>
    <w:basedOn w:val="18"/>
    <w:link w:val="8"/>
    <w:qFormat/>
    <w:uiPriority w:val="0"/>
    <w:rPr>
      <w:kern w:val="2"/>
      <w:sz w:val="18"/>
      <w:szCs w:val="18"/>
    </w:rPr>
  </w:style>
  <w:style w:type="character" w:customStyle="1" w:styleId="33">
    <w:name w:val="正文文本 Char"/>
    <w:basedOn w:val="18"/>
    <w:link w:val="3"/>
    <w:qFormat/>
    <w:uiPriority w:val="0"/>
    <w:rPr>
      <w:kern w:val="2"/>
      <w:sz w:val="21"/>
      <w:szCs w:val="24"/>
    </w:rPr>
  </w:style>
  <w:style w:type="character" w:customStyle="1" w:styleId="34">
    <w:name w:val="正文首行缩进 Char"/>
    <w:basedOn w:val="33"/>
    <w:link w:val="2"/>
    <w:qFormat/>
    <w:uiPriority w:val="99"/>
    <w:rPr>
      <w:kern w:val="2"/>
      <w:sz w:val="24"/>
      <w:szCs w:val="24"/>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c-icon13"/>
    <w:basedOn w:val="18"/>
    <w:qFormat/>
    <w:uiPriority w:val="0"/>
  </w:style>
  <w:style w:type="character" w:customStyle="1" w:styleId="37">
    <w:name w:val="c-icon14"/>
    <w:basedOn w:val="18"/>
    <w:qFormat/>
    <w:uiPriority w:val="0"/>
  </w:style>
  <w:style w:type="character" w:customStyle="1" w:styleId="38">
    <w:name w:val="hover18"/>
    <w:basedOn w:val="18"/>
    <w:qFormat/>
    <w:uiPriority w:val="0"/>
  </w:style>
  <w:style w:type="character" w:customStyle="1" w:styleId="39">
    <w:name w:val="hover19"/>
    <w:basedOn w:val="18"/>
    <w:qFormat/>
    <w:uiPriority w:val="0"/>
    <w:rPr>
      <w:color w:val="315EFB"/>
    </w:rPr>
  </w:style>
  <w:style w:type="character" w:customStyle="1" w:styleId="40">
    <w:name w:val="c-icon28"/>
    <w:basedOn w:val="18"/>
    <w:qFormat/>
    <w:uiPriority w:val="0"/>
  </w:style>
  <w:style w:type="character" w:customStyle="1" w:styleId="41">
    <w:name w:val="c-icon26"/>
    <w:basedOn w:val="18"/>
    <w:qFormat/>
    <w:uiPriority w:val="0"/>
  </w:style>
  <w:style w:type="paragraph" w:customStyle="1" w:styleId="42">
    <w:name w:val="列出段落2"/>
    <w:basedOn w:val="1"/>
    <w:qFormat/>
    <w:uiPriority w:val="34"/>
    <w:pPr>
      <w:ind w:firstLine="420" w:firstLineChars="200"/>
    </w:pPr>
    <w:rPr>
      <w:kern w:val="0"/>
      <w:sz w:val="20"/>
      <w:szCs w:val="20"/>
    </w:rPr>
  </w:style>
  <w:style w:type="character" w:customStyle="1" w:styleId="43">
    <w:name w:val="font41"/>
    <w:basedOn w:val="18"/>
    <w:qFormat/>
    <w:uiPriority w:val="0"/>
    <w:rPr>
      <w:rFonts w:hint="default" w:ascii="等线" w:hAnsi="等线" w:eastAsia="等线" w:cs="等线"/>
      <w:color w:val="000000"/>
      <w:sz w:val="22"/>
      <w:szCs w:val="22"/>
      <w:u w:val="none"/>
    </w:rPr>
  </w:style>
  <w:style w:type="character" w:customStyle="1" w:styleId="44">
    <w:name w:val="font01"/>
    <w:basedOn w:val="18"/>
    <w:qFormat/>
    <w:uiPriority w:val="0"/>
    <w:rPr>
      <w:rFonts w:ascii="DengXian ( 正文 )" w:hAnsi="DengXian ( 正文 )" w:eastAsia="DengXian ( 正文 )" w:cs="DengXian ( 正文 )"/>
      <w:color w:val="000000"/>
      <w:sz w:val="22"/>
      <w:szCs w:val="22"/>
      <w:u w:val="none"/>
    </w:rPr>
  </w:style>
  <w:style w:type="character" w:customStyle="1" w:styleId="45">
    <w:name w:val="页脚 Char"/>
    <w:link w:val="9"/>
    <w:qFormat/>
    <w:uiPriority w:val="99"/>
    <w:rPr>
      <w:rFonts w:ascii="Times New Roman" w:hAnsi="Times New Roman"/>
      <w:kern w:val="2"/>
      <w:sz w:val="18"/>
      <w:lang w:bidi="he-IL"/>
    </w:rPr>
  </w:style>
  <w:style w:type="paragraph" w:customStyle="1" w:styleId="4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7">
    <w:name w:val="样式 标题 2 + 宋体 五号 行距: 单倍行距"/>
    <w:basedOn w:val="5"/>
    <w:qFormat/>
    <w:uiPriority w:val="0"/>
    <w:pPr>
      <w:spacing w:line="240" w:lineRule="auto"/>
    </w:pPr>
    <w:rPr>
      <w:rFonts w:ascii="宋体" w:hAnsi="宋体" w:eastAsia="宋体"/>
      <w:sz w:val="21"/>
    </w:rPr>
  </w:style>
  <w:style w:type="character" w:customStyle="1" w:styleId="48">
    <w:name w:val="标题 2 Char1"/>
    <w:link w:val="5"/>
    <w:autoRedefine/>
    <w:qFormat/>
    <w:uiPriority w:val="0"/>
    <w:rPr>
      <w:rFonts w:ascii="Arial" w:hAnsi="Arial" w:eastAsia="黑体"/>
      <w:b/>
      <w:bCs/>
      <w:sz w:val="32"/>
      <w:szCs w:val="32"/>
    </w:rPr>
  </w:style>
  <w:style w:type="paragraph" w:customStyle="1" w:styleId="49">
    <w:name w:val="样式1"/>
    <w:basedOn w:val="1"/>
    <w:qFormat/>
    <w:uiPriority w:val="0"/>
    <w:pPr>
      <w:widowControl w:val="0"/>
      <w:ind w:firstLine="480" w:firstLineChars="200"/>
      <w:jc w:val="both"/>
    </w:pPr>
    <w:rPr>
      <w:rFonts w:asciiTheme="minorHAnsi" w:hAnsiTheme="minorHAnsi" w:eastAsiaTheme="minorEastAsia" w:cstheme="minorBidi"/>
      <w:kern w:val="2"/>
      <w:szCs w:val="22"/>
      <w:lang w:eastAsia="zh-CN" w:bidi="ar-SA"/>
    </w:rPr>
  </w:style>
  <w:style w:type="paragraph" w:styleId="50">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7372</Words>
  <Characters>7976</Characters>
  <Lines>130</Lines>
  <Paragraphs>36</Paragraphs>
  <TotalTime>3</TotalTime>
  <ScaleCrop>false</ScaleCrop>
  <LinksUpToDate>false</LinksUpToDate>
  <CharactersWithSpaces>8139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同方-胡旷</cp:lastModifiedBy>
  <cp:lastPrinted>2020-05-07T00:01:00Z</cp:lastPrinted>
  <dcterms:modified xsi:type="dcterms:W3CDTF">2026-01-22T07:37:53Z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BA89EA82BE2F465180199ECF239AEDAC_13</vt:lpwstr>
  </property>
  <property fmtid="{D5CDD505-2E9C-101B-9397-08002B2CF9AE}" pid="4" name="KSOTemplateDocerSaveRecord">
    <vt:lpwstr>eyJoZGlkIjoiMzUzMGRkZGY2MDI2NmEyNjg5OTcyMjMzMmE5Y2UwZTkiLCJ1c2VySWQiOiI0MTYzNTM2OTIifQ==</vt:lpwstr>
  </property>
</Properties>
</file>