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B13EEF">
      <w:pPr>
        <w:spacing w:before="120" w:beforeLines="50" w:after="120" w:afterLines="50" w:line="520" w:lineRule="exact"/>
        <w:jc w:val="center"/>
        <w:rPr>
          <w:rFonts w:hint="eastAsia" w:ascii="宋体" w:hAnsi="宋体" w:cs="宋体"/>
          <w:b/>
          <w:bCs/>
          <w:color w:val="auto"/>
          <w:kern w:val="36"/>
          <w:sz w:val="40"/>
          <w:szCs w:val="40"/>
          <w:highlight w:val="none"/>
          <w:lang w:eastAsia="zh-CN"/>
        </w:rPr>
      </w:pPr>
      <w:r>
        <w:rPr>
          <w:rFonts w:hint="eastAsia" w:ascii="宋体" w:hAnsi="宋体" w:cs="宋体"/>
          <w:b/>
          <w:bCs/>
          <w:color w:val="auto"/>
          <w:kern w:val="36"/>
          <w:sz w:val="40"/>
          <w:szCs w:val="40"/>
          <w:highlight w:val="none"/>
          <w:lang w:eastAsia="zh-CN"/>
        </w:rPr>
        <w:t>六安市叶集区妇幼保健院业务系统迁移项目</w:t>
      </w:r>
    </w:p>
    <w:p w14:paraId="10CBF6B8">
      <w:pPr>
        <w:pStyle w:val="5"/>
        <w:rPr>
          <w:color w:val="auto"/>
          <w:highlight w:val="none"/>
        </w:rPr>
      </w:pPr>
    </w:p>
    <w:p w14:paraId="2E7357DA">
      <w:pPr>
        <w:rPr>
          <w:color w:val="auto"/>
          <w:highlight w:val="none"/>
        </w:rPr>
      </w:pPr>
    </w:p>
    <w:p w14:paraId="208143C6">
      <w:pPr>
        <w:spacing w:line="760" w:lineRule="exact"/>
        <w:jc w:val="center"/>
        <w:rPr>
          <w:rFonts w:ascii="宋体" w:hAnsi="宋体"/>
          <w:b/>
          <w:color w:val="auto"/>
          <w:sz w:val="44"/>
          <w:szCs w:val="44"/>
          <w:highlight w:val="none"/>
        </w:rPr>
      </w:pPr>
      <w:r>
        <w:rPr>
          <w:rFonts w:hint="eastAsia" w:ascii="宋体" w:hAnsi="宋体"/>
          <w:b/>
          <w:color w:val="auto"/>
          <w:sz w:val="44"/>
          <w:szCs w:val="44"/>
          <w:highlight w:val="none"/>
        </w:rPr>
        <w:t>服</w:t>
      </w:r>
    </w:p>
    <w:p w14:paraId="552AC18F">
      <w:pPr>
        <w:spacing w:line="760" w:lineRule="exact"/>
        <w:jc w:val="center"/>
        <w:rPr>
          <w:rFonts w:ascii="宋体" w:hAnsi="宋体"/>
          <w:b/>
          <w:color w:val="auto"/>
          <w:sz w:val="44"/>
          <w:szCs w:val="44"/>
          <w:highlight w:val="none"/>
        </w:rPr>
      </w:pPr>
      <w:r>
        <w:rPr>
          <w:rFonts w:hint="eastAsia" w:ascii="宋体" w:hAnsi="宋体"/>
          <w:b/>
          <w:color w:val="auto"/>
          <w:sz w:val="44"/>
          <w:szCs w:val="44"/>
          <w:highlight w:val="none"/>
        </w:rPr>
        <w:t>务</w:t>
      </w:r>
    </w:p>
    <w:p w14:paraId="3B722780">
      <w:pPr>
        <w:spacing w:line="760" w:lineRule="exact"/>
        <w:jc w:val="center"/>
        <w:rPr>
          <w:rFonts w:ascii="宋体" w:hAnsi="宋体"/>
          <w:b/>
          <w:color w:val="auto"/>
          <w:sz w:val="44"/>
          <w:szCs w:val="44"/>
          <w:highlight w:val="none"/>
        </w:rPr>
      </w:pPr>
      <w:r>
        <w:rPr>
          <w:rFonts w:hint="eastAsia" w:ascii="宋体" w:hAnsi="宋体"/>
          <w:b/>
          <w:color w:val="auto"/>
          <w:sz w:val="44"/>
          <w:szCs w:val="44"/>
          <w:highlight w:val="none"/>
        </w:rPr>
        <w:t>类</w:t>
      </w:r>
    </w:p>
    <w:p w14:paraId="17E1DFCA">
      <w:pPr>
        <w:spacing w:line="760" w:lineRule="exact"/>
        <w:jc w:val="center"/>
        <w:rPr>
          <w:rFonts w:ascii="宋体" w:hAnsi="宋体"/>
          <w:b/>
          <w:color w:val="auto"/>
          <w:sz w:val="44"/>
          <w:szCs w:val="44"/>
          <w:highlight w:val="none"/>
        </w:rPr>
      </w:pPr>
      <w:r>
        <w:rPr>
          <w:rFonts w:hint="eastAsia" w:ascii="宋体" w:hAnsi="宋体"/>
          <w:b/>
          <w:color w:val="auto"/>
          <w:sz w:val="44"/>
          <w:szCs w:val="44"/>
          <w:highlight w:val="none"/>
        </w:rPr>
        <w:t>单</w:t>
      </w:r>
    </w:p>
    <w:p w14:paraId="070D9C6B">
      <w:pPr>
        <w:spacing w:line="760" w:lineRule="exact"/>
        <w:jc w:val="center"/>
        <w:rPr>
          <w:rFonts w:ascii="宋体" w:hAnsi="宋体"/>
          <w:b/>
          <w:color w:val="auto"/>
          <w:sz w:val="44"/>
          <w:szCs w:val="44"/>
          <w:highlight w:val="none"/>
        </w:rPr>
      </w:pPr>
      <w:r>
        <w:rPr>
          <w:rFonts w:hint="eastAsia" w:ascii="宋体" w:hAnsi="宋体"/>
          <w:b/>
          <w:color w:val="auto"/>
          <w:sz w:val="44"/>
          <w:szCs w:val="44"/>
          <w:highlight w:val="none"/>
        </w:rPr>
        <w:t>一</w:t>
      </w:r>
    </w:p>
    <w:p w14:paraId="62BC659D">
      <w:pPr>
        <w:spacing w:line="760" w:lineRule="exact"/>
        <w:jc w:val="center"/>
        <w:rPr>
          <w:rFonts w:ascii="宋体" w:hAnsi="宋体"/>
          <w:b/>
          <w:color w:val="auto"/>
          <w:sz w:val="44"/>
          <w:szCs w:val="44"/>
          <w:highlight w:val="none"/>
        </w:rPr>
      </w:pPr>
      <w:r>
        <w:rPr>
          <w:rFonts w:hint="eastAsia" w:ascii="宋体" w:hAnsi="宋体"/>
          <w:b/>
          <w:color w:val="auto"/>
          <w:sz w:val="44"/>
          <w:szCs w:val="44"/>
          <w:highlight w:val="none"/>
        </w:rPr>
        <w:t>来</w:t>
      </w:r>
    </w:p>
    <w:p w14:paraId="6FD59740">
      <w:pPr>
        <w:spacing w:line="760" w:lineRule="exact"/>
        <w:jc w:val="center"/>
        <w:rPr>
          <w:rFonts w:ascii="宋体" w:hAnsi="宋体"/>
          <w:b/>
          <w:color w:val="auto"/>
          <w:sz w:val="44"/>
          <w:szCs w:val="44"/>
          <w:highlight w:val="none"/>
        </w:rPr>
      </w:pPr>
      <w:r>
        <w:rPr>
          <w:rFonts w:hint="eastAsia" w:ascii="宋体" w:hAnsi="宋体"/>
          <w:b/>
          <w:color w:val="auto"/>
          <w:sz w:val="44"/>
          <w:szCs w:val="44"/>
          <w:highlight w:val="none"/>
        </w:rPr>
        <w:t>源</w:t>
      </w:r>
    </w:p>
    <w:p w14:paraId="2D2693C1">
      <w:pPr>
        <w:spacing w:line="760" w:lineRule="exact"/>
        <w:jc w:val="center"/>
        <w:rPr>
          <w:rFonts w:ascii="宋体" w:hAnsi="宋体"/>
          <w:b/>
          <w:color w:val="auto"/>
          <w:sz w:val="44"/>
          <w:szCs w:val="44"/>
          <w:highlight w:val="none"/>
        </w:rPr>
      </w:pPr>
      <w:r>
        <w:rPr>
          <w:rFonts w:hint="eastAsia" w:ascii="宋体" w:hAnsi="宋体"/>
          <w:b/>
          <w:color w:val="auto"/>
          <w:sz w:val="44"/>
          <w:szCs w:val="44"/>
          <w:highlight w:val="none"/>
        </w:rPr>
        <w:t>采</w:t>
      </w:r>
    </w:p>
    <w:p w14:paraId="1222BE6F">
      <w:pPr>
        <w:spacing w:line="760" w:lineRule="exact"/>
        <w:jc w:val="center"/>
        <w:rPr>
          <w:rFonts w:ascii="宋体" w:hAnsi="宋体"/>
          <w:b/>
          <w:color w:val="auto"/>
          <w:sz w:val="44"/>
          <w:szCs w:val="44"/>
          <w:highlight w:val="none"/>
        </w:rPr>
      </w:pPr>
      <w:r>
        <w:rPr>
          <w:rFonts w:hint="eastAsia" w:ascii="宋体" w:hAnsi="宋体"/>
          <w:b/>
          <w:color w:val="auto"/>
          <w:sz w:val="44"/>
          <w:szCs w:val="44"/>
          <w:highlight w:val="none"/>
        </w:rPr>
        <w:t>购</w:t>
      </w:r>
    </w:p>
    <w:p w14:paraId="1D375F2B">
      <w:pPr>
        <w:spacing w:line="760" w:lineRule="exact"/>
        <w:jc w:val="center"/>
        <w:rPr>
          <w:rFonts w:ascii="宋体" w:hAnsi="宋体"/>
          <w:b/>
          <w:color w:val="auto"/>
          <w:sz w:val="44"/>
          <w:szCs w:val="44"/>
          <w:highlight w:val="none"/>
        </w:rPr>
      </w:pPr>
      <w:r>
        <w:rPr>
          <w:rFonts w:hint="eastAsia" w:ascii="宋体" w:hAnsi="宋体"/>
          <w:b/>
          <w:color w:val="auto"/>
          <w:sz w:val="44"/>
          <w:szCs w:val="44"/>
          <w:highlight w:val="none"/>
        </w:rPr>
        <w:t>文</w:t>
      </w:r>
    </w:p>
    <w:p w14:paraId="5655EC77">
      <w:pPr>
        <w:spacing w:line="760" w:lineRule="exact"/>
        <w:jc w:val="center"/>
        <w:rPr>
          <w:rFonts w:ascii="宋体" w:hAnsi="宋体"/>
          <w:b/>
          <w:color w:val="auto"/>
          <w:sz w:val="56"/>
          <w:szCs w:val="56"/>
          <w:highlight w:val="none"/>
        </w:rPr>
      </w:pPr>
      <w:r>
        <w:rPr>
          <w:rFonts w:hint="eastAsia" w:ascii="宋体" w:hAnsi="宋体"/>
          <w:b/>
          <w:color w:val="auto"/>
          <w:sz w:val="44"/>
          <w:szCs w:val="44"/>
          <w:highlight w:val="none"/>
        </w:rPr>
        <w:t>件</w:t>
      </w:r>
    </w:p>
    <w:p w14:paraId="1642ACF9">
      <w:pPr>
        <w:rPr>
          <w:rFonts w:ascii="宋体" w:hAnsi="宋体"/>
          <w:b/>
          <w:color w:val="auto"/>
          <w:sz w:val="32"/>
          <w:szCs w:val="32"/>
          <w:highlight w:val="none"/>
        </w:rPr>
      </w:pPr>
    </w:p>
    <w:p w14:paraId="43B92644">
      <w:pPr>
        <w:ind w:firstLine="1680" w:firstLineChars="600"/>
        <w:jc w:val="center"/>
        <w:rPr>
          <w:rFonts w:ascii="黑体" w:hAnsi="宋体" w:eastAsia="黑体"/>
          <w:color w:val="auto"/>
          <w:sz w:val="28"/>
          <w:szCs w:val="28"/>
          <w:highlight w:val="none"/>
        </w:rPr>
      </w:pPr>
    </w:p>
    <w:p w14:paraId="0834B874">
      <w:pPr>
        <w:spacing w:line="360" w:lineRule="auto"/>
        <w:ind w:firstLine="840" w:firstLineChars="300"/>
        <w:rPr>
          <w:rFonts w:hint="eastAsia" w:ascii="黑体" w:hAnsi="宋体" w:eastAsia="黑体"/>
          <w:color w:val="auto"/>
          <w:sz w:val="28"/>
          <w:szCs w:val="28"/>
          <w:highlight w:val="none"/>
        </w:rPr>
      </w:pPr>
    </w:p>
    <w:p w14:paraId="54F2087D">
      <w:pPr>
        <w:spacing w:line="360" w:lineRule="auto"/>
        <w:ind w:firstLine="840" w:firstLineChars="300"/>
        <w:rPr>
          <w:rFonts w:ascii="黑体" w:hAnsi="宋体" w:eastAsia="黑体"/>
          <w:color w:val="auto"/>
          <w:sz w:val="28"/>
          <w:szCs w:val="28"/>
          <w:highlight w:val="none"/>
        </w:rPr>
      </w:pPr>
      <w:r>
        <w:rPr>
          <w:rFonts w:hint="eastAsia" w:ascii="黑体" w:hAnsi="宋体" w:eastAsia="黑体"/>
          <w:color w:val="auto"/>
          <w:sz w:val="28"/>
          <w:szCs w:val="28"/>
          <w:highlight w:val="none"/>
        </w:rPr>
        <w:t>项目单位：</w:t>
      </w:r>
      <w:r>
        <w:rPr>
          <w:rFonts w:hint="eastAsia" w:ascii="黑体" w:hAnsi="宋体" w:eastAsia="黑体"/>
          <w:color w:val="auto"/>
          <w:sz w:val="28"/>
          <w:szCs w:val="28"/>
          <w:highlight w:val="none"/>
          <w:lang w:val="en-US" w:eastAsia="zh-CN"/>
        </w:rPr>
        <w:t>六安市叶集区人民医院（六安市第六人民医院）</w:t>
      </w:r>
      <w:r>
        <w:rPr>
          <w:rFonts w:hint="eastAsia" w:ascii="黑体" w:hAnsi="宋体" w:eastAsia="黑体"/>
          <w:color w:val="auto"/>
          <w:sz w:val="28"/>
          <w:szCs w:val="28"/>
          <w:highlight w:val="none"/>
        </w:rPr>
        <w:t xml:space="preserve">                 </w:t>
      </w:r>
    </w:p>
    <w:p w14:paraId="5BFC4A8C">
      <w:pPr>
        <w:spacing w:line="360" w:lineRule="auto"/>
        <w:ind w:firstLine="2240" w:firstLineChars="800"/>
        <w:rPr>
          <w:rFonts w:ascii="黑体" w:hAnsi="宋体" w:eastAsia="黑体"/>
          <w:color w:val="auto"/>
          <w:sz w:val="28"/>
          <w:szCs w:val="28"/>
          <w:highlight w:val="none"/>
        </w:rPr>
      </w:pPr>
      <w:r>
        <w:rPr>
          <w:rFonts w:hint="eastAsia" w:ascii="黑体" w:hAnsi="宋体" w:eastAsia="黑体"/>
          <w:color w:val="auto"/>
          <w:sz w:val="28"/>
          <w:szCs w:val="28"/>
          <w:highlight w:val="none"/>
        </w:rPr>
        <w:t>代理机构：安徽同方工程咨询有限公司</w:t>
      </w:r>
      <w:r>
        <w:rPr>
          <w:rFonts w:ascii="黑体" w:hAnsi="宋体" w:eastAsia="黑体"/>
          <w:color w:val="auto"/>
          <w:sz w:val="28"/>
          <w:szCs w:val="28"/>
          <w:highlight w:val="none"/>
        </w:rPr>
        <w:t xml:space="preserve"> </w:t>
      </w:r>
    </w:p>
    <w:p w14:paraId="68B8CC22">
      <w:pPr>
        <w:jc w:val="center"/>
        <w:rPr>
          <w:rFonts w:ascii="黑体" w:hAnsi="宋体" w:eastAsia="黑体"/>
          <w:color w:val="auto"/>
          <w:sz w:val="28"/>
          <w:szCs w:val="28"/>
          <w:highlight w:val="none"/>
        </w:rPr>
      </w:pPr>
      <w:r>
        <w:rPr>
          <w:rFonts w:hint="eastAsia" w:ascii="黑体" w:hAnsi="宋体" w:eastAsia="黑体"/>
          <w:color w:val="auto"/>
          <w:sz w:val="28"/>
          <w:szCs w:val="28"/>
          <w:highlight w:val="none"/>
          <w:lang w:val="en-US" w:eastAsia="zh-CN"/>
        </w:rPr>
        <w:t>2026</w:t>
      </w:r>
      <w:r>
        <w:rPr>
          <w:rFonts w:hint="eastAsia" w:ascii="黑体" w:hAnsi="宋体" w:eastAsia="黑体"/>
          <w:color w:val="auto"/>
          <w:sz w:val="28"/>
          <w:szCs w:val="28"/>
          <w:highlight w:val="none"/>
        </w:rPr>
        <w:t>年</w:t>
      </w:r>
      <w:r>
        <w:rPr>
          <w:rFonts w:hint="eastAsia" w:ascii="黑体" w:hAnsi="宋体" w:eastAsia="黑体"/>
          <w:color w:val="auto"/>
          <w:sz w:val="28"/>
          <w:szCs w:val="28"/>
          <w:highlight w:val="none"/>
          <w:lang w:val="en-US" w:eastAsia="zh-CN"/>
        </w:rPr>
        <w:t>1</w:t>
      </w:r>
      <w:r>
        <w:rPr>
          <w:rFonts w:hint="eastAsia" w:ascii="黑体" w:hAnsi="宋体" w:eastAsia="黑体"/>
          <w:color w:val="auto"/>
          <w:sz w:val="28"/>
          <w:szCs w:val="28"/>
          <w:highlight w:val="none"/>
        </w:rPr>
        <w:t>月</w:t>
      </w:r>
      <w:bookmarkStart w:id="0" w:name="_Toc18671549"/>
    </w:p>
    <w:p w14:paraId="14E40F9D">
      <w:pPr>
        <w:jc w:val="left"/>
        <w:rPr>
          <w:color w:val="auto"/>
          <w:highlight w:val="none"/>
        </w:rPr>
      </w:pPr>
      <w:r>
        <w:rPr>
          <w:rFonts w:hint="eastAsia" w:ascii="黑体" w:hAnsi="宋体" w:eastAsia="黑体"/>
          <w:color w:val="auto"/>
          <w:sz w:val="28"/>
          <w:szCs w:val="28"/>
          <w:highlight w:val="none"/>
        </w:rPr>
        <w:br w:type="page"/>
      </w:r>
    </w:p>
    <w:sdt>
      <w:sdtPr>
        <w:rPr>
          <w:rFonts w:hint="eastAsia" w:ascii="黑体" w:hAnsi="黑体" w:eastAsia="黑体" w:cs="黑体"/>
          <w:b/>
          <w:bCs/>
          <w:color w:val="auto"/>
          <w:sz w:val="40"/>
          <w:szCs w:val="48"/>
          <w:highlight w:val="none"/>
        </w:rPr>
        <w:id w:val="147458712"/>
      </w:sdtPr>
      <w:sdtEndPr>
        <w:rPr>
          <w:rFonts w:hint="eastAsia" w:ascii="宋体" w:hAnsi="宋体" w:eastAsia="宋体" w:cs="宋体"/>
          <w:b/>
          <w:bCs/>
          <w:color w:val="auto"/>
          <w:sz w:val="21"/>
          <w:szCs w:val="32"/>
          <w:highlight w:val="none"/>
        </w:rPr>
      </w:sdtEndPr>
      <w:sdtContent>
        <w:p w14:paraId="3D821A79">
          <w:pPr>
            <w:jc w:val="center"/>
            <w:rPr>
              <w:rFonts w:ascii="黑体" w:hAnsi="黑体" w:eastAsia="黑体" w:cs="黑体"/>
              <w:b/>
              <w:bCs/>
              <w:color w:val="auto"/>
              <w:sz w:val="40"/>
              <w:szCs w:val="48"/>
              <w:highlight w:val="none"/>
            </w:rPr>
          </w:pPr>
        </w:p>
        <w:p w14:paraId="4200B2CB">
          <w:pPr>
            <w:jc w:val="center"/>
            <w:rPr>
              <w:rFonts w:ascii="黑体" w:hAnsi="黑体" w:eastAsia="黑体" w:cs="黑体"/>
              <w:b/>
              <w:bCs/>
              <w:color w:val="auto"/>
              <w:sz w:val="40"/>
              <w:szCs w:val="48"/>
              <w:highlight w:val="none"/>
            </w:rPr>
          </w:pPr>
          <w:r>
            <w:rPr>
              <w:rFonts w:hint="eastAsia" w:ascii="黑体" w:hAnsi="黑体" w:eastAsia="黑体" w:cs="黑体"/>
              <w:b/>
              <w:bCs/>
              <w:color w:val="auto"/>
              <w:sz w:val="40"/>
              <w:szCs w:val="48"/>
              <w:highlight w:val="none"/>
            </w:rPr>
            <w:t>目   录</w:t>
          </w:r>
        </w:p>
        <w:p w14:paraId="26F6F34F">
          <w:pPr>
            <w:jc w:val="center"/>
            <w:rPr>
              <w:rFonts w:ascii="黑体" w:hAnsi="黑体" w:eastAsia="黑体" w:cs="黑体"/>
              <w:b/>
              <w:bCs/>
              <w:color w:val="auto"/>
              <w:sz w:val="36"/>
              <w:szCs w:val="44"/>
              <w:highlight w:val="none"/>
            </w:rPr>
          </w:pPr>
        </w:p>
        <w:p w14:paraId="48468368">
          <w:pPr>
            <w:pStyle w:val="12"/>
            <w:tabs>
              <w:tab w:val="right" w:leader="dot" w:pos="8888"/>
            </w:tabs>
            <w:spacing w:line="480" w:lineRule="exact"/>
            <w:ind w:left="0" w:leftChars="0"/>
            <w:rPr>
              <w:color w:val="auto"/>
              <w:highlight w:val="none"/>
            </w:rPr>
          </w:pPr>
          <w:r>
            <w:rPr>
              <w:rFonts w:hint="eastAsia" w:ascii="宋体" w:hAnsi="宋体" w:eastAsia="宋体" w:cs="宋体"/>
              <w:bCs/>
              <w:color w:val="auto"/>
              <w:szCs w:val="24"/>
              <w:highlight w:val="none"/>
            </w:rPr>
            <w:fldChar w:fldCharType="begin"/>
          </w:r>
          <w:r>
            <w:rPr>
              <w:rFonts w:hint="eastAsia" w:ascii="宋体" w:hAnsi="宋体" w:eastAsia="宋体" w:cs="宋体"/>
              <w:bCs/>
              <w:color w:val="auto"/>
              <w:szCs w:val="24"/>
              <w:highlight w:val="none"/>
            </w:rPr>
            <w:instrText xml:space="preserve">TOC \o "1-3" \h \u </w:instrText>
          </w:r>
          <w:r>
            <w:rPr>
              <w:rFonts w:hint="eastAsia" w:ascii="宋体" w:hAnsi="宋体" w:eastAsia="宋体" w:cs="宋体"/>
              <w:bCs/>
              <w:color w:val="auto"/>
              <w:szCs w:val="24"/>
              <w:highlight w:val="none"/>
            </w:rPr>
            <w:fldChar w:fldCharType="separate"/>
          </w:r>
          <w:r>
            <w:rPr>
              <w:color w:val="auto"/>
              <w:highlight w:val="none"/>
            </w:rPr>
            <w:fldChar w:fldCharType="begin"/>
          </w:r>
          <w:r>
            <w:rPr>
              <w:color w:val="auto"/>
              <w:highlight w:val="none"/>
            </w:rPr>
            <w:instrText xml:space="preserve"> HYPERLINK \l "_Toc18747" </w:instrText>
          </w:r>
          <w:r>
            <w:rPr>
              <w:color w:val="auto"/>
              <w:highlight w:val="none"/>
            </w:rPr>
            <w:fldChar w:fldCharType="separate"/>
          </w:r>
          <w:r>
            <w:rPr>
              <w:rFonts w:hint="eastAsia" w:ascii="宋体" w:hAnsi="宋体" w:eastAsia="宋体" w:cs="宋体"/>
              <w:color w:val="auto"/>
              <w:szCs w:val="28"/>
              <w:highlight w:val="none"/>
            </w:rPr>
            <w:t>单一来源方式采购的公示</w:t>
          </w:r>
          <w:r>
            <w:rPr>
              <w:color w:val="auto"/>
              <w:highlight w:val="none"/>
            </w:rPr>
            <w:tab/>
          </w:r>
          <w:r>
            <w:rPr>
              <w:rFonts w:hint="eastAsia"/>
              <w:color w:val="auto"/>
              <w:highlight w:val="none"/>
              <w:lang w:val="en-US" w:eastAsia="zh-CN"/>
            </w:rPr>
            <w:t>1</w:t>
          </w:r>
          <w:r>
            <w:rPr>
              <w:color w:val="auto"/>
              <w:highlight w:val="none"/>
            </w:rPr>
            <w:fldChar w:fldCharType="end"/>
          </w:r>
        </w:p>
        <w:p w14:paraId="03E85ECA">
          <w:pPr>
            <w:pStyle w:val="12"/>
            <w:tabs>
              <w:tab w:val="right" w:leader="dot" w:pos="8888"/>
            </w:tabs>
            <w:spacing w:line="480" w:lineRule="exact"/>
            <w:ind w:left="0" w:leftChars="0"/>
            <w:rPr>
              <w:color w:val="auto"/>
              <w:highlight w:val="none"/>
            </w:rPr>
          </w:pPr>
          <w:r>
            <w:rPr>
              <w:color w:val="auto"/>
              <w:highlight w:val="none"/>
            </w:rPr>
            <w:fldChar w:fldCharType="begin"/>
          </w:r>
          <w:r>
            <w:rPr>
              <w:color w:val="auto"/>
              <w:highlight w:val="none"/>
            </w:rPr>
            <w:instrText xml:space="preserve"> HYPERLINK \l "_Toc30348" </w:instrText>
          </w:r>
          <w:r>
            <w:rPr>
              <w:color w:val="auto"/>
              <w:highlight w:val="none"/>
            </w:rPr>
            <w:fldChar w:fldCharType="separate"/>
          </w:r>
          <w:r>
            <w:rPr>
              <w:rFonts w:hint="eastAsia" w:ascii="宋体" w:hAnsi="宋体" w:eastAsia="宋体" w:cs="宋体"/>
              <w:color w:val="auto"/>
              <w:szCs w:val="24"/>
              <w:highlight w:val="none"/>
            </w:rPr>
            <w:t>第一章  单一来源采购邀请书</w:t>
          </w:r>
          <w:r>
            <w:rPr>
              <w:color w:val="auto"/>
              <w:highlight w:val="none"/>
            </w:rPr>
            <w:tab/>
          </w:r>
          <w:r>
            <w:rPr>
              <w:color w:val="auto"/>
              <w:highlight w:val="none"/>
            </w:rPr>
            <w:fldChar w:fldCharType="begin"/>
          </w:r>
          <w:r>
            <w:rPr>
              <w:color w:val="auto"/>
              <w:highlight w:val="none"/>
            </w:rPr>
            <w:instrText xml:space="preserve"> PAGEREF _Toc30348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51EA44C4">
          <w:pPr>
            <w:pStyle w:val="12"/>
            <w:tabs>
              <w:tab w:val="right" w:leader="dot" w:pos="8888"/>
            </w:tabs>
            <w:spacing w:line="480" w:lineRule="exact"/>
            <w:ind w:left="0" w:leftChars="0"/>
            <w:rPr>
              <w:color w:val="auto"/>
              <w:highlight w:val="none"/>
            </w:rPr>
          </w:pPr>
          <w:r>
            <w:rPr>
              <w:color w:val="auto"/>
              <w:highlight w:val="none"/>
            </w:rPr>
            <w:fldChar w:fldCharType="begin"/>
          </w:r>
          <w:r>
            <w:rPr>
              <w:color w:val="auto"/>
              <w:highlight w:val="none"/>
            </w:rPr>
            <w:instrText xml:space="preserve"> HYPERLINK \l "_Toc25424" </w:instrText>
          </w:r>
          <w:r>
            <w:rPr>
              <w:color w:val="auto"/>
              <w:highlight w:val="none"/>
            </w:rPr>
            <w:fldChar w:fldCharType="separate"/>
          </w:r>
          <w:r>
            <w:rPr>
              <w:rFonts w:hint="eastAsia" w:ascii="宋体" w:hAnsi="宋体" w:eastAsia="宋体" w:cs="宋体"/>
              <w:color w:val="auto"/>
              <w:szCs w:val="24"/>
              <w:highlight w:val="none"/>
            </w:rPr>
            <w:t>第二章  供应商须知前附表</w:t>
          </w:r>
          <w:r>
            <w:rPr>
              <w:color w:val="auto"/>
              <w:highlight w:val="none"/>
            </w:rPr>
            <w:tab/>
          </w:r>
          <w:r>
            <w:rPr>
              <w:color w:val="auto"/>
              <w:highlight w:val="none"/>
            </w:rPr>
            <w:fldChar w:fldCharType="begin"/>
          </w:r>
          <w:r>
            <w:rPr>
              <w:color w:val="auto"/>
              <w:highlight w:val="none"/>
            </w:rPr>
            <w:instrText xml:space="preserve"> PAGEREF _Toc25424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0977FB4A">
          <w:pPr>
            <w:pStyle w:val="12"/>
            <w:tabs>
              <w:tab w:val="right" w:leader="dot" w:pos="8888"/>
            </w:tabs>
            <w:spacing w:line="480" w:lineRule="exact"/>
            <w:ind w:left="0" w:leftChars="0"/>
            <w:rPr>
              <w:color w:val="auto"/>
              <w:highlight w:val="none"/>
            </w:rPr>
          </w:pPr>
          <w:r>
            <w:rPr>
              <w:color w:val="auto"/>
              <w:highlight w:val="none"/>
            </w:rPr>
            <w:fldChar w:fldCharType="begin"/>
          </w:r>
          <w:r>
            <w:rPr>
              <w:color w:val="auto"/>
              <w:highlight w:val="none"/>
            </w:rPr>
            <w:instrText xml:space="preserve"> HYPERLINK \l "_Toc11917" </w:instrText>
          </w:r>
          <w:r>
            <w:rPr>
              <w:color w:val="auto"/>
              <w:highlight w:val="none"/>
            </w:rPr>
            <w:fldChar w:fldCharType="separate"/>
          </w:r>
          <w:r>
            <w:rPr>
              <w:rFonts w:hint="eastAsia" w:ascii="宋体" w:hAnsi="宋体" w:eastAsia="宋体" w:cs="宋体"/>
              <w:color w:val="auto"/>
              <w:szCs w:val="24"/>
              <w:highlight w:val="none"/>
            </w:rPr>
            <w:t>第三章  供应商须知</w:t>
          </w:r>
          <w:r>
            <w:rPr>
              <w:color w:val="auto"/>
              <w:highlight w:val="none"/>
            </w:rPr>
            <w:tab/>
          </w:r>
          <w:r>
            <w:rPr>
              <w:color w:val="auto"/>
              <w:highlight w:val="none"/>
            </w:rPr>
            <w:fldChar w:fldCharType="begin"/>
          </w:r>
          <w:r>
            <w:rPr>
              <w:color w:val="auto"/>
              <w:highlight w:val="none"/>
            </w:rPr>
            <w:instrText xml:space="preserve"> PAGEREF _Toc11917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14:paraId="1BC89039">
          <w:pPr>
            <w:pStyle w:val="12"/>
            <w:tabs>
              <w:tab w:val="right" w:leader="dot" w:pos="8888"/>
            </w:tabs>
            <w:spacing w:line="480" w:lineRule="exact"/>
            <w:ind w:left="0" w:leftChars="0"/>
            <w:rPr>
              <w:rFonts w:hint="eastAsia" w:eastAsia="仿宋_GB2312"/>
              <w:color w:val="auto"/>
              <w:highlight w:val="none"/>
              <w:lang w:val="en-US" w:eastAsia="zh-CN"/>
            </w:rPr>
          </w:pPr>
          <w:r>
            <w:rPr>
              <w:color w:val="auto"/>
              <w:highlight w:val="none"/>
            </w:rPr>
            <w:fldChar w:fldCharType="begin"/>
          </w:r>
          <w:r>
            <w:rPr>
              <w:color w:val="auto"/>
              <w:highlight w:val="none"/>
            </w:rPr>
            <w:instrText xml:space="preserve"> HYPERLINK \l "_Toc2581" </w:instrText>
          </w:r>
          <w:r>
            <w:rPr>
              <w:color w:val="auto"/>
              <w:highlight w:val="none"/>
            </w:rPr>
            <w:fldChar w:fldCharType="separate"/>
          </w:r>
          <w:r>
            <w:rPr>
              <w:rFonts w:hint="eastAsia" w:ascii="宋体" w:hAnsi="宋体" w:eastAsia="宋体" w:cs="宋体"/>
              <w:color w:val="auto"/>
              <w:szCs w:val="24"/>
              <w:highlight w:val="none"/>
            </w:rPr>
            <w:t>第四章</w:t>
          </w:r>
          <w:r>
            <w:rPr>
              <w:rFonts w:hint="eastAsia" w:ascii="宋体" w:hAnsi="宋体" w:cs="宋体"/>
              <w:color w:val="auto"/>
              <w:szCs w:val="24"/>
              <w:highlight w:val="none"/>
            </w:rPr>
            <w:t xml:space="preserve">  </w:t>
          </w:r>
          <w:r>
            <w:rPr>
              <w:rFonts w:hint="eastAsia" w:ascii="宋体" w:hAnsi="宋体" w:eastAsia="宋体" w:cs="宋体"/>
              <w:color w:val="auto"/>
              <w:szCs w:val="24"/>
              <w:highlight w:val="none"/>
            </w:rPr>
            <w:t>采购需求</w:t>
          </w:r>
          <w:r>
            <w:rPr>
              <w:color w:val="auto"/>
              <w:highlight w:val="none"/>
            </w:rPr>
            <w:tab/>
          </w:r>
          <w:r>
            <w:rPr>
              <w:rFonts w:hint="eastAsia"/>
              <w:color w:val="auto"/>
              <w:highlight w:val="none"/>
              <w:lang w:val="en-US" w:eastAsia="zh-CN"/>
            </w:rPr>
            <w:t>1</w:t>
          </w:r>
          <w:r>
            <w:rPr>
              <w:color w:val="auto"/>
              <w:highlight w:val="none"/>
            </w:rPr>
            <w:fldChar w:fldCharType="end"/>
          </w:r>
          <w:r>
            <w:rPr>
              <w:rFonts w:hint="eastAsia"/>
              <w:color w:val="auto"/>
              <w:highlight w:val="none"/>
              <w:lang w:val="en-US" w:eastAsia="zh-CN"/>
            </w:rPr>
            <w:t>8</w:t>
          </w:r>
        </w:p>
        <w:p w14:paraId="30168A77">
          <w:pPr>
            <w:pStyle w:val="12"/>
            <w:tabs>
              <w:tab w:val="right" w:leader="dot" w:pos="8888"/>
            </w:tabs>
            <w:spacing w:line="480" w:lineRule="exact"/>
            <w:ind w:left="0" w:leftChars="0"/>
            <w:rPr>
              <w:color w:val="auto"/>
              <w:highlight w:val="none"/>
            </w:rPr>
          </w:pPr>
          <w:r>
            <w:rPr>
              <w:color w:val="auto"/>
              <w:highlight w:val="none"/>
            </w:rPr>
            <w:fldChar w:fldCharType="begin"/>
          </w:r>
          <w:r>
            <w:rPr>
              <w:color w:val="auto"/>
              <w:highlight w:val="none"/>
            </w:rPr>
            <w:instrText xml:space="preserve"> HYPERLINK \l "_Toc20436" </w:instrText>
          </w:r>
          <w:r>
            <w:rPr>
              <w:color w:val="auto"/>
              <w:highlight w:val="none"/>
            </w:rPr>
            <w:fldChar w:fldCharType="separate"/>
          </w:r>
          <w:r>
            <w:rPr>
              <w:rFonts w:hint="eastAsia" w:ascii="宋体" w:hAnsi="宋体" w:eastAsia="宋体" w:cs="宋体"/>
              <w:bCs/>
              <w:color w:val="auto"/>
              <w:szCs w:val="24"/>
              <w:highlight w:val="none"/>
            </w:rPr>
            <w:t>第五章  单一来源响应文件</w:t>
          </w:r>
          <w:r>
            <w:rPr>
              <w:color w:val="auto"/>
              <w:highlight w:val="none"/>
            </w:rPr>
            <w:tab/>
          </w:r>
          <w:r>
            <w:rPr>
              <w:color w:val="auto"/>
              <w:highlight w:val="none"/>
            </w:rPr>
            <w:fldChar w:fldCharType="begin"/>
          </w:r>
          <w:r>
            <w:rPr>
              <w:color w:val="auto"/>
              <w:highlight w:val="none"/>
            </w:rPr>
            <w:instrText xml:space="preserve"> PAGEREF _Toc20436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04D06633">
          <w:pPr>
            <w:pStyle w:val="12"/>
            <w:tabs>
              <w:tab w:val="right" w:leader="dot" w:pos="8888"/>
            </w:tabs>
            <w:spacing w:line="480" w:lineRule="exact"/>
            <w:ind w:left="0" w:leftChars="0"/>
            <w:rPr>
              <w:color w:val="auto"/>
              <w:highlight w:val="none"/>
            </w:rPr>
          </w:pPr>
        </w:p>
        <w:p w14:paraId="473EE8B9">
          <w:pPr>
            <w:spacing w:line="440" w:lineRule="exact"/>
            <w:rPr>
              <w:color w:val="auto"/>
              <w:highlight w:val="none"/>
            </w:rPr>
          </w:pPr>
          <w:r>
            <w:rPr>
              <w:rFonts w:hint="eastAsia" w:ascii="宋体" w:hAnsi="宋体" w:cs="宋体"/>
              <w:bCs/>
              <w:color w:val="auto"/>
              <w:highlight w:val="none"/>
            </w:rPr>
            <w:fldChar w:fldCharType="end"/>
          </w:r>
        </w:p>
      </w:sdtContent>
    </w:sdt>
    <w:p w14:paraId="26EAF250">
      <w:pPr>
        <w:pStyle w:val="2"/>
        <w:bidi w:val="0"/>
        <w:ind w:left="0" w:leftChars="0" w:firstLine="0" w:firstLineChars="0"/>
        <w:jc w:val="center"/>
        <w:rPr>
          <w:rFonts w:hint="eastAsia" w:ascii="宋体" w:hAnsi="宋体" w:eastAsia="宋体" w:cs="宋体"/>
          <w:b/>
          <w:bCs/>
          <w:color w:val="auto"/>
          <w:sz w:val="48"/>
          <w:szCs w:val="48"/>
          <w:highlight w:val="none"/>
        </w:rPr>
        <w:sectPr>
          <w:footerReference r:id="rId3" w:type="default"/>
          <w:pgSz w:w="11907" w:h="16839"/>
          <w:pgMar w:top="1118" w:right="1769" w:bottom="1233" w:left="1771" w:header="877" w:footer="982" w:gutter="0"/>
          <w:cols w:space="720" w:num="1"/>
        </w:sectPr>
      </w:pPr>
      <w:bookmarkStart w:id="1" w:name="_Toc30348"/>
    </w:p>
    <w:p w14:paraId="571BC8B5">
      <w:pPr>
        <w:pStyle w:val="2"/>
        <w:bidi w:val="0"/>
        <w:ind w:left="0" w:leftChars="0" w:firstLine="0" w:firstLineChars="0"/>
        <w:jc w:val="center"/>
        <w:rPr>
          <w:rFonts w:ascii="华文中宋" w:hAnsi="华文中宋" w:eastAsia="华文中宋" w:cs="华文中宋"/>
          <w:color w:val="auto"/>
          <w:kern w:val="0"/>
          <w:sz w:val="48"/>
          <w:szCs w:val="48"/>
          <w:highlight w:val="none"/>
        </w:rPr>
      </w:pPr>
      <w:r>
        <w:rPr>
          <w:rFonts w:hint="eastAsia" w:ascii="宋体" w:hAnsi="宋体" w:eastAsia="宋体" w:cs="宋体"/>
          <w:b/>
          <w:bCs/>
          <w:color w:val="auto"/>
          <w:sz w:val="48"/>
          <w:szCs w:val="48"/>
          <w:highlight w:val="none"/>
          <w:lang w:eastAsia="zh-CN"/>
        </w:rPr>
        <w:t>六安市叶集区妇幼保健院业务系统迁移项目</w:t>
      </w:r>
      <w:r>
        <w:rPr>
          <w:rFonts w:hint="eastAsia" w:ascii="宋体" w:hAnsi="宋体" w:eastAsia="宋体" w:cs="宋体"/>
          <w:b/>
          <w:bCs/>
          <w:color w:val="auto"/>
          <w:sz w:val="48"/>
          <w:szCs w:val="48"/>
          <w:highlight w:val="none"/>
        </w:rPr>
        <w:t>单一来源方式采购的公示</w:t>
      </w:r>
    </w:p>
    <w:p w14:paraId="37780EAE">
      <w:pPr>
        <w:pStyle w:val="5"/>
        <w:spacing w:after="0" w:line="560" w:lineRule="exact"/>
        <w:ind w:firstLine="560" w:firstLineChars="200"/>
        <w:rPr>
          <w:rFonts w:hint="eastAsia" w:ascii="仿宋" w:hAnsi="仿宋" w:eastAsia="仿宋" w:cs="仿宋"/>
          <w:color w:val="auto"/>
          <w:sz w:val="28"/>
          <w:szCs w:val="28"/>
          <w:highlight w:val="none"/>
          <w:lang w:val="en-US" w:eastAsia="zh-CN"/>
        </w:rPr>
      </w:pPr>
    </w:p>
    <w:p w14:paraId="0542CAD5">
      <w:pPr>
        <w:pStyle w:val="5"/>
        <w:spacing w:after="0" w:line="56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根据《中华人民共和国政府采购法》、《政府采购非招标方式管理办法》（财政部令第74号）等相关法律规定，现就本项目拟采取单一来源方式采购予以公示。</w:t>
      </w:r>
    </w:p>
    <w:p w14:paraId="40FD3CEC">
      <w:pPr>
        <w:pStyle w:val="5"/>
        <w:spacing w:after="0" w:line="560" w:lineRule="exact"/>
        <w:ind w:left="559" w:leftChars="266" w:firstLine="0" w:firstLineChars="0"/>
        <w:rPr>
          <w:rFonts w:hint="eastAsia" w:ascii="仿宋" w:hAnsi="仿宋" w:eastAsia="仿宋" w:cs="仿宋"/>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一、采购人名称：</w:t>
      </w:r>
      <w:r>
        <w:rPr>
          <w:rFonts w:hint="eastAsia" w:ascii="仿宋" w:hAnsi="仿宋" w:eastAsia="仿宋" w:cs="仿宋"/>
          <w:color w:val="auto"/>
          <w:sz w:val="28"/>
          <w:szCs w:val="28"/>
          <w:highlight w:val="none"/>
          <w:lang w:val="en-US" w:eastAsia="zh-CN"/>
        </w:rPr>
        <w:t>六安市叶集区人民医院（六安市第六人民医院）</w:t>
      </w:r>
      <w:r>
        <w:rPr>
          <w:rFonts w:hint="eastAsia" w:ascii="仿宋" w:hAnsi="仿宋" w:eastAsia="仿宋" w:cs="仿宋"/>
          <w:b/>
          <w:bCs/>
          <w:color w:val="auto"/>
          <w:sz w:val="28"/>
          <w:szCs w:val="28"/>
          <w:highlight w:val="none"/>
          <w:lang w:val="en-US" w:eastAsia="zh-CN"/>
        </w:rPr>
        <w:t>二、采购人地址：</w:t>
      </w:r>
      <w:r>
        <w:rPr>
          <w:rFonts w:hint="eastAsia" w:ascii="仿宋" w:hAnsi="仿宋" w:eastAsia="仿宋" w:cs="仿宋"/>
          <w:color w:val="auto"/>
          <w:sz w:val="28"/>
          <w:szCs w:val="28"/>
          <w:highlight w:val="none"/>
          <w:lang w:val="en-US" w:eastAsia="zh-CN"/>
        </w:rPr>
        <w:t>六安市叶集区民强北路与兴叶大道交叉口</w:t>
      </w:r>
    </w:p>
    <w:p w14:paraId="40C64827">
      <w:pPr>
        <w:pStyle w:val="5"/>
        <w:spacing w:after="0" w:line="560" w:lineRule="exact"/>
        <w:ind w:firstLine="562" w:firstLineChars="200"/>
        <w:rPr>
          <w:rFonts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val="en-US" w:eastAsia="zh-CN"/>
        </w:rPr>
        <w:t>三、采购</w:t>
      </w:r>
      <w:r>
        <w:rPr>
          <w:rFonts w:hint="eastAsia" w:ascii="仿宋" w:hAnsi="仿宋" w:eastAsia="仿宋" w:cs="仿宋"/>
          <w:b/>
          <w:bCs/>
          <w:color w:val="auto"/>
          <w:sz w:val="28"/>
          <w:szCs w:val="28"/>
          <w:highlight w:val="none"/>
        </w:rPr>
        <w:t>项目名称：</w:t>
      </w:r>
      <w:r>
        <w:rPr>
          <w:rFonts w:hint="eastAsia" w:ascii="仿宋" w:hAnsi="仿宋" w:eastAsia="仿宋" w:cs="仿宋"/>
          <w:color w:val="auto"/>
          <w:sz w:val="28"/>
          <w:szCs w:val="28"/>
          <w:highlight w:val="none"/>
          <w:lang w:val="en-US" w:eastAsia="zh-CN"/>
        </w:rPr>
        <w:t>六安市叶集区妇幼保健院业务系统迁移项目</w:t>
      </w: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lang w:eastAsia="zh-CN"/>
        </w:rPr>
        <w:t>LASYJQRMYY-XXK2026-0</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w:t>
      </w:r>
    </w:p>
    <w:p w14:paraId="2A354698">
      <w:pPr>
        <w:pStyle w:val="5"/>
        <w:spacing w:after="0" w:line="560" w:lineRule="exact"/>
        <w:ind w:firstLine="562" w:firstLineChars="200"/>
        <w:rPr>
          <w:rFonts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val="en-US" w:eastAsia="zh-CN"/>
        </w:rPr>
        <w:t>四、</w:t>
      </w:r>
      <w:r>
        <w:rPr>
          <w:rFonts w:hint="eastAsia" w:ascii="仿宋" w:hAnsi="仿宋" w:eastAsia="仿宋" w:cs="仿宋"/>
          <w:b/>
          <w:bCs/>
          <w:color w:val="auto"/>
          <w:sz w:val="28"/>
          <w:szCs w:val="28"/>
          <w:highlight w:val="none"/>
        </w:rPr>
        <w:t>项目类型：</w:t>
      </w:r>
      <w:r>
        <w:rPr>
          <w:rFonts w:hint="eastAsia" w:ascii="仿宋" w:hAnsi="仿宋" w:eastAsia="仿宋" w:cs="仿宋"/>
          <w:color w:val="auto"/>
          <w:sz w:val="28"/>
          <w:szCs w:val="28"/>
          <w:highlight w:val="none"/>
        </w:rPr>
        <w:t>服务类</w:t>
      </w:r>
    </w:p>
    <w:p w14:paraId="2DDB59CB">
      <w:pPr>
        <w:pStyle w:val="5"/>
        <w:spacing w:after="0" w:line="560" w:lineRule="exact"/>
        <w:ind w:firstLine="562" w:firstLineChars="200"/>
        <w:rPr>
          <w:rFonts w:hint="default" w:ascii="仿宋" w:hAnsi="仿宋" w:eastAsia="仿宋" w:cs="仿宋"/>
          <w:color w:val="auto"/>
          <w:sz w:val="28"/>
          <w:szCs w:val="28"/>
          <w:highlight w:val="none"/>
          <w:lang w:val="en-US"/>
        </w:rPr>
      </w:pPr>
      <w:r>
        <w:rPr>
          <w:rFonts w:hint="eastAsia" w:ascii="仿宋" w:hAnsi="仿宋" w:eastAsia="仿宋" w:cs="仿宋"/>
          <w:b/>
          <w:bCs/>
          <w:color w:val="auto"/>
          <w:sz w:val="28"/>
          <w:szCs w:val="28"/>
          <w:highlight w:val="none"/>
          <w:lang w:val="en-US" w:eastAsia="zh-CN"/>
        </w:rPr>
        <w:t>五、</w:t>
      </w:r>
      <w:r>
        <w:rPr>
          <w:rFonts w:hint="eastAsia" w:ascii="仿宋" w:hAnsi="仿宋" w:eastAsia="仿宋" w:cs="仿宋"/>
          <w:b/>
          <w:bCs/>
          <w:color w:val="auto"/>
          <w:sz w:val="28"/>
          <w:szCs w:val="28"/>
          <w:highlight w:val="none"/>
        </w:rPr>
        <w:t>拟采购服务的说明：</w:t>
      </w:r>
      <w:r>
        <w:rPr>
          <w:rFonts w:hint="eastAsia" w:ascii="仿宋" w:hAnsi="仿宋" w:eastAsia="仿宋" w:cs="仿宋"/>
          <w:color w:val="auto"/>
          <w:kern w:val="2"/>
          <w:sz w:val="28"/>
          <w:szCs w:val="28"/>
          <w:highlight w:val="none"/>
          <w:lang w:val="en-US" w:eastAsia="zh-CN" w:bidi="ar-SA"/>
        </w:rPr>
        <w:t>为妇幼保健院业务系统提供数据迁移、服务重建与系统调试服务。</w:t>
      </w:r>
      <w:bookmarkStart w:id="66" w:name="_GoBack"/>
      <w:bookmarkEnd w:id="66"/>
    </w:p>
    <w:p w14:paraId="21A6B1A2">
      <w:pPr>
        <w:pStyle w:val="5"/>
        <w:spacing w:after="0" w:line="560" w:lineRule="exact"/>
        <w:ind w:firstLine="562" w:firstLineChars="200"/>
        <w:rPr>
          <w:rFonts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val="en-US" w:eastAsia="zh-CN"/>
        </w:rPr>
        <w:t>六、</w:t>
      </w:r>
      <w:r>
        <w:rPr>
          <w:rFonts w:hint="eastAsia" w:ascii="仿宋" w:hAnsi="仿宋" w:eastAsia="仿宋" w:cs="仿宋"/>
          <w:b/>
          <w:bCs/>
          <w:color w:val="auto"/>
          <w:sz w:val="28"/>
          <w:szCs w:val="28"/>
          <w:highlight w:val="none"/>
        </w:rPr>
        <w:t>拟采购服务的预算金额：</w:t>
      </w:r>
      <w:r>
        <w:rPr>
          <w:rFonts w:hint="eastAsia" w:ascii="仿宋" w:hAnsi="仿宋" w:eastAsia="仿宋" w:cs="仿宋"/>
          <w:color w:val="auto"/>
          <w:kern w:val="2"/>
          <w:sz w:val="28"/>
          <w:szCs w:val="28"/>
          <w:highlight w:val="none"/>
          <w:lang w:val="en-US" w:eastAsia="zh-CN" w:bidi="ar-SA"/>
        </w:rPr>
        <w:t>10.00万元</w:t>
      </w:r>
    </w:p>
    <w:p w14:paraId="067ECDE1">
      <w:pPr>
        <w:keepNext w:val="0"/>
        <w:keepLines w:val="0"/>
        <w:pageBreakBefore w:val="0"/>
        <w:widowControl w:val="0"/>
        <w:kinsoku/>
        <w:wordWrap w:val="0"/>
        <w:overflowPunct/>
        <w:topLinePunct w:val="0"/>
        <w:autoSpaceDE/>
        <w:autoSpaceDN/>
        <w:bidi w:val="0"/>
        <w:adjustRightInd/>
        <w:snapToGrid/>
        <w:spacing w:line="560" w:lineRule="exact"/>
        <w:ind w:left="559" w:leftChars="266" w:firstLine="0" w:firstLineChars="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七、</w:t>
      </w:r>
      <w:r>
        <w:rPr>
          <w:rFonts w:hint="eastAsia" w:ascii="仿宋" w:hAnsi="仿宋" w:eastAsia="仿宋" w:cs="仿宋"/>
          <w:b/>
          <w:bCs/>
          <w:color w:val="auto"/>
          <w:sz w:val="28"/>
          <w:szCs w:val="28"/>
          <w:highlight w:val="none"/>
        </w:rPr>
        <w:t>采用单一来源采购方式的原因及说明：</w:t>
      </w:r>
    </w:p>
    <w:p w14:paraId="2DD532BA">
      <w:pPr>
        <w:keepNext w:val="0"/>
        <w:keepLines w:val="0"/>
        <w:pageBreakBefore w:val="0"/>
        <w:widowControl w:val="0"/>
        <w:kinsoku/>
        <w:wordWrap w:val="0"/>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1、系统技术服务的唯一性与业务延续性需求</w:t>
      </w:r>
    </w:p>
    <w:p w14:paraId="59982869">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医院现有HIS、PACS、LIS及体检系统均由安徽中安创智信息技术有限公司开发并长期提供运维服务，该公司唯一掌握系统原始架构、核心代码、数据模型及相关专有技术。为保障系统迁移过程中的数据安全、接口兼容与功能完整，避免因系统交接可能导致的技术风险与业务中断，唯有由原承建单位继续提供迁移与运维支持，方可实现系统平稳、安全、持续过渡，满足医院业务不间断运行的实际需要。</w:t>
      </w:r>
    </w:p>
    <w:p w14:paraId="16EE8115">
      <w:pPr>
        <w:keepNext w:val="0"/>
        <w:keepLines w:val="0"/>
        <w:pageBreakBefore w:val="0"/>
        <w:widowControl w:val="0"/>
        <w:kinsoku/>
        <w:wordWrap w:val="0"/>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2、专有技术依赖与系统架构的不可替代性</w:t>
      </w:r>
    </w:p>
    <w:p w14:paraId="27568A45">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上述系统采用了安徽中安创智信息技术有限公司的未公开专有技术，且无其他可替代方案。该公司作为唯一掌握该技术完整实现与适配细节的服务方，能够确保迁移后系统数据的完整性与功能的一致性。若更换其他供应商，不仅无法破解相关专有技术，还可能导致数据迁移失败或系统无法正常运行，严重影响临床业务与医疗安全。</w:t>
      </w:r>
    </w:p>
    <w:p w14:paraId="7CB45A84">
      <w:pPr>
        <w:keepNext w:val="0"/>
        <w:keepLines w:val="0"/>
        <w:pageBreakBefore w:val="0"/>
        <w:widowControl w:val="0"/>
        <w:kinsoku/>
        <w:wordWrap w:val="0"/>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3、业务连续性与迁移过程可控性保障</w:t>
      </w:r>
    </w:p>
    <w:p w14:paraId="2324335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系统迁移过程须要求实现业务中断时间最小化。安徽中安创智信息技术有限公司作为原运维服务商，熟悉医院业务流程及系统实际运行状态，可在迁移过程中快速响应并处理各类突发问题。如选择其他服务商，则需重新调研系统与业务，将显著延长迁移并增加中断风险。</w:t>
      </w:r>
      <w:r>
        <w:rPr>
          <w:rFonts w:hint="eastAsia" w:ascii="仿宋" w:hAnsi="仿宋" w:eastAsia="仿宋" w:cs="仿宋"/>
          <w:color w:val="auto"/>
          <w:sz w:val="28"/>
          <w:szCs w:val="28"/>
          <w:highlight w:val="none"/>
          <w:lang w:val="en-US" w:eastAsia="zh-CN"/>
        </w:rPr>
        <w:br w:type="textWrapping"/>
      </w:r>
      <w:r>
        <w:rPr>
          <w:rFonts w:hint="eastAsia" w:ascii="仿宋" w:hAnsi="仿宋" w:eastAsia="仿宋" w:cs="仿宋"/>
          <w:color w:val="auto"/>
          <w:sz w:val="28"/>
          <w:szCs w:val="28"/>
          <w:highlight w:val="none"/>
          <w:lang w:val="en-US" w:eastAsia="zh-CN"/>
        </w:rPr>
        <w:t xml:space="preserve">    综上，根据《中华人民共和国政府采购法》三十一条“必须保证原有采购项目一致性或者服务配套的要求”的规定，安徽中安创智信息技术有限公司符合本项目单一来源采购供应商。</w:t>
      </w:r>
    </w:p>
    <w:p w14:paraId="047318A0">
      <w:pPr>
        <w:keepNext w:val="0"/>
        <w:keepLines w:val="0"/>
        <w:pageBreakBefore w:val="0"/>
        <w:widowControl w:val="0"/>
        <w:kinsoku/>
        <w:wordWrap w:val="0"/>
        <w:overflowPunct/>
        <w:topLinePunct w:val="0"/>
        <w:autoSpaceDE/>
        <w:autoSpaceDN/>
        <w:bidi w:val="0"/>
        <w:adjustRightInd/>
        <w:snapToGrid/>
        <w:spacing w:line="560" w:lineRule="exact"/>
        <w:ind w:firstLine="562" w:firstLineChars="200"/>
        <w:textAlignment w:val="auto"/>
        <w:rPr>
          <w:rFonts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val="en-US" w:eastAsia="zh-CN"/>
        </w:rPr>
        <w:t>八、</w:t>
      </w:r>
      <w:r>
        <w:rPr>
          <w:rFonts w:hint="eastAsia" w:ascii="仿宋" w:hAnsi="仿宋" w:eastAsia="仿宋" w:cs="仿宋"/>
          <w:b/>
          <w:bCs/>
          <w:color w:val="auto"/>
          <w:sz w:val="28"/>
          <w:szCs w:val="28"/>
          <w:highlight w:val="none"/>
        </w:rPr>
        <w:t>拟定供应商信息：</w:t>
      </w:r>
      <w:r>
        <w:rPr>
          <w:rFonts w:hint="eastAsia" w:ascii="仿宋" w:hAnsi="仿宋" w:eastAsia="仿宋" w:cs="仿宋"/>
          <w:color w:val="auto"/>
          <w:sz w:val="28"/>
          <w:szCs w:val="28"/>
          <w:highlight w:val="none"/>
        </w:rPr>
        <w:t>安徽中安创智信息技术有限公司</w:t>
      </w:r>
    </w:p>
    <w:p w14:paraId="1BA3C6DC">
      <w:pPr>
        <w:spacing w:line="560" w:lineRule="exact"/>
        <w:ind w:firstLine="562" w:firstLineChars="2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val="en-US" w:eastAsia="zh-CN"/>
        </w:rPr>
        <w:t>九、拟定唯一供应商地址：</w:t>
      </w:r>
      <w:r>
        <w:rPr>
          <w:rFonts w:hint="eastAsia" w:ascii="仿宋" w:hAnsi="仿宋" w:eastAsia="仿宋" w:cs="仿宋"/>
          <w:color w:val="auto"/>
          <w:sz w:val="28"/>
          <w:szCs w:val="28"/>
          <w:highlight w:val="none"/>
        </w:rPr>
        <w:t>安徽省合肥市高新区合肥软件园二期E2栋E2-501</w:t>
      </w:r>
    </w:p>
    <w:p w14:paraId="2B88AA13">
      <w:pPr>
        <w:spacing w:line="560" w:lineRule="exact"/>
        <w:ind w:firstLine="560" w:firstLineChars="200"/>
        <w:rPr>
          <w:rFonts w:hint="eastAsia" w:ascii="黑体" w:hAnsi="黑体" w:eastAsia="黑体" w:cs="黑体"/>
          <w:color w:val="auto"/>
          <w:sz w:val="28"/>
          <w:szCs w:val="28"/>
          <w:highlight w:val="none"/>
          <w:vertAlign w:val="baseline"/>
        </w:rPr>
      </w:pPr>
      <w:r>
        <w:rPr>
          <w:rFonts w:hint="eastAsia" w:ascii="仿宋" w:hAnsi="仿宋" w:eastAsia="仿宋" w:cs="仿宋"/>
          <w:color w:val="auto"/>
          <w:sz w:val="28"/>
          <w:szCs w:val="28"/>
          <w:highlight w:val="none"/>
          <w:lang w:val="en-US" w:eastAsia="zh-CN"/>
        </w:rPr>
        <w:t>十、专业人员对相关供应商因服务配套等原因具有唯一性的具体论证意见：本项目服务具有系统技术服务的唯一性与数据安全、业务延续性需求，符合单一来源采购的相关要求，建议采用单一来源方式进行采购。</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4486"/>
        <w:gridCol w:w="2115"/>
      </w:tblGrid>
      <w:tr w14:paraId="1BD72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Align w:val="top"/>
          </w:tcPr>
          <w:p w14:paraId="38F35ACC">
            <w:pPr>
              <w:spacing w:line="560" w:lineRule="exact"/>
              <w:jc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姓名</w:t>
            </w:r>
          </w:p>
        </w:tc>
        <w:tc>
          <w:tcPr>
            <w:tcW w:w="4486" w:type="dxa"/>
            <w:vAlign w:val="top"/>
          </w:tcPr>
          <w:p w14:paraId="72D4FF92">
            <w:pPr>
              <w:spacing w:line="560" w:lineRule="exact"/>
              <w:jc w:val="center"/>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工作单位</w:t>
            </w:r>
          </w:p>
        </w:tc>
        <w:tc>
          <w:tcPr>
            <w:tcW w:w="2115" w:type="dxa"/>
            <w:vAlign w:val="top"/>
          </w:tcPr>
          <w:p w14:paraId="62EE71BA">
            <w:pPr>
              <w:spacing w:line="560" w:lineRule="exact"/>
              <w:jc w:val="center"/>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vertAlign w:val="baseline"/>
              </w:rPr>
              <w:t>职称/职务</w:t>
            </w:r>
          </w:p>
        </w:tc>
      </w:tr>
      <w:tr w14:paraId="46302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Align w:val="top"/>
          </w:tcPr>
          <w:p w14:paraId="687A3024">
            <w:pPr>
              <w:spacing w:line="560" w:lineRule="exact"/>
              <w:jc w:val="center"/>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杨飞</w:t>
            </w:r>
          </w:p>
        </w:tc>
        <w:tc>
          <w:tcPr>
            <w:tcW w:w="4486" w:type="dxa"/>
            <w:vAlign w:val="top"/>
          </w:tcPr>
          <w:p w14:paraId="01265C89">
            <w:pPr>
              <w:spacing w:line="560" w:lineRule="exact"/>
              <w:jc w:val="center"/>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六安市公共资源交易中心</w:t>
            </w:r>
          </w:p>
        </w:tc>
        <w:tc>
          <w:tcPr>
            <w:tcW w:w="2115" w:type="dxa"/>
            <w:vAlign w:val="top"/>
          </w:tcPr>
          <w:p w14:paraId="70DDEA9A">
            <w:pPr>
              <w:spacing w:line="560" w:lineRule="exact"/>
              <w:jc w:val="center"/>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高级工程师</w:t>
            </w:r>
          </w:p>
        </w:tc>
      </w:tr>
      <w:tr w14:paraId="28C33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Align w:val="top"/>
          </w:tcPr>
          <w:p w14:paraId="512686C8">
            <w:pPr>
              <w:spacing w:line="560" w:lineRule="exact"/>
              <w:jc w:val="center"/>
              <w:rPr>
                <w:rFonts w:hint="default" w:ascii="仿宋" w:hAnsi="仿宋" w:eastAsia="仿宋" w:cs="仿宋"/>
                <w:color w:val="auto"/>
                <w:sz w:val="28"/>
                <w:szCs w:val="28"/>
                <w:highlight w:val="none"/>
                <w:vertAlign w:val="baseline"/>
                <w:lang w:val="en-US" w:eastAsia="zh-CN"/>
              </w:rPr>
            </w:pPr>
            <w:r>
              <w:rPr>
                <w:rFonts w:hint="default" w:ascii="仿宋" w:hAnsi="仿宋" w:eastAsia="仿宋" w:cs="仿宋"/>
                <w:color w:val="auto"/>
                <w:sz w:val="28"/>
                <w:szCs w:val="28"/>
                <w:highlight w:val="none"/>
                <w:vertAlign w:val="baseline"/>
                <w:lang w:val="en-US" w:eastAsia="zh-CN"/>
              </w:rPr>
              <w:t>邱盛昱</w:t>
            </w:r>
          </w:p>
        </w:tc>
        <w:tc>
          <w:tcPr>
            <w:tcW w:w="4486" w:type="dxa"/>
            <w:vAlign w:val="top"/>
          </w:tcPr>
          <w:p w14:paraId="6CD83ECD">
            <w:pPr>
              <w:spacing w:line="560" w:lineRule="exact"/>
              <w:jc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六安市司法局</w:t>
            </w:r>
          </w:p>
        </w:tc>
        <w:tc>
          <w:tcPr>
            <w:tcW w:w="2115" w:type="dxa"/>
            <w:vAlign w:val="top"/>
          </w:tcPr>
          <w:p w14:paraId="4CE44128">
            <w:pPr>
              <w:spacing w:line="560" w:lineRule="exact"/>
              <w:jc w:val="center"/>
              <w:rPr>
                <w:rFonts w:hint="default" w:ascii="仿宋" w:hAnsi="仿宋" w:eastAsia="仿宋" w:cs="仿宋"/>
                <w:color w:val="auto"/>
                <w:sz w:val="28"/>
                <w:szCs w:val="28"/>
                <w:highlight w:val="none"/>
                <w:vertAlign w:val="baseline"/>
                <w:lang w:val="en-US" w:eastAsia="zh-CN"/>
              </w:rPr>
            </w:pPr>
            <w:r>
              <w:rPr>
                <w:rFonts w:hint="default" w:ascii="仿宋" w:hAnsi="仿宋" w:eastAsia="仿宋" w:cs="仿宋"/>
                <w:color w:val="auto"/>
                <w:sz w:val="28"/>
                <w:szCs w:val="28"/>
                <w:highlight w:val="none"/>
                <w:vertAlign w:val="baseline"/>
                <w:lang w:val="en-US" w:eastAsia="zh-CN"/>
              </w:rPr>
              <w:t>高级工程师</w:t>
            </w:r>
          </w:p>
        </w:tc>
      </w:tr>
      <w:tr w14:paraId="30E3C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Align w:val="top"/>
          </w:tcPr>
          <w:p w14:paraId="2C657843">
            <w:pPr>
              <w:spacing w:line="560" w:lineRule="exact"/>
              <w:jc w:val="center"/>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方有伟</w:t>
            </w:r>
          </w:p>
        </w:tc>
        <w:tc>
          <w:tcPr>
            <w:tcW w:w="4486" w:type="dxa"/>
            <w:vAlign w:val="top"/>
          </w:tcPr>
          <w:p w14:paraId="4AABF214">
            <w:pPr>
              <w:spacing w:line="560" w:lineRule="exact"/>
              <w:jc w:val="center"/>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六安市政府采购中心</w:t>
            </w:r>
          </w:p>
        </w:tc>
        <w:tc>
          <w:tcPr>
            <w:tcW w:w="2115" w:type="dxa"/>
            <w:vAlign w:val="top"/>
          </w:tcPr>
          <w:p w14:paraId="7BA931BB">
            <w:pPr>
              <w:spacing w:line="560" w:lineRule="exact"/>
              <w:jc w:val="center"/>
              <w:rPr>
                <w:rFonts w:hint="default" w:ascii="仿宋" w:hAnsi="仿宋" w:eastAsia="仿宋" w:cs="仿宋"/>
                <w:color w:val="auto"/>
                <w:sz w:val="28"/>
                <w:szCs w:val="28"/>
                <w:highlight w:val="none"/>
                <w:vertAlign w:val="baseline"/>
                <w:lang w:val="en-US" w:eastAsia="zh-CN"/>
              </w:rPr>
            </w:pPr>
            <w:r>
              <w:rPr>
                <w:rFonts w:hint="default" w:ascii="仿宋" w:hAnsi="仿宋" w:eastAsia="仿宋" w:cs="仿宋"/>
                <w:color w:val="auto"/>
                <w:sz w:val="28"/>
                <w:szCs w:val="28"/>
                <w:highlight w:val="none"/>
                <w:vertAlign w:val="baseline"/>
                <w:lang w:val="en-US" w:eastAsia="zh-CN"/>
              </w:rPr>
              <w:t>高级工程师</w:t>
            </w:r>
          </w:p>
        </w:tc>
      </w:tr>
    </w:tbl>
    <w:p w14:paraId="6B8039C2">
      <w:pPr>
        <w:spacing w:line="560" w:lineRule="exact"/>
        <w:ind w:firstLine="562"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十一、</w:t>
      </w:r>
      <w:r>
        <w:rPr>
          <w:rFonts w:hint="eastAsia" w:ascii="仿宋" w:hAnsi="仿宋" w:eastAsia="仿宋" w:cs="仿宋"/>
          <w:b/>
          <w:bCs/>
          <w:color w:val="auto"/>
          <w:sz w:val="28"/>
          <w:szCs w:val="28"/>
          <w:highlight w:val="none"/>
        </w:rPr>
        <w:t>公示期限：</w:t>
      </w:r>
      <w:r>
        <w:rPr>
          <w:rFonts w:hint="eastAsia" w:ascii="仿宋" w:hAnsi="仿宋" w:eastAsia="仿宋" w:cs="仿宋"/>
          <w:color w:val="auto"/>
          <w:sz w:val="28"/>
          <w:szCs w:val="28"/>
          <w:highlight w:val="none"/>
        </w:rPr>
        <w:t>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19</w:t>
      </w:r>
      <w:r>
        <w:rPr>
          <w:rFonts w:hint="eastAsia" w:ascii="仿宋" w:hAnsi="仿宋" w:eastAsia="仿宋" w:cs="仿宋"/>
          <w:color w:val="auto"/>
          <w:sz w:val="28"/>
          <w:szCs w:val="28"/>
          <w:highlight w:val="none"/>
        </w:rPr>
        <w:t>日至202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年1月</w:t>
      </w:r>
      <w:r>
        <w:rPr>
          <w:rFonts w:hint="eastAsia" w:ascii="仿宋" w:hAnsi="仿宋" w:eastAsia="仿宋" w:cs="仿宋"/>
          <w:color w:val="auto"/>
          <w:sz w:val="28"/>
          <w:szCs w:val="28"/>
          <w:highlight w:val="none"/>
          <w:lang w:val="en-US" w:eastAsia="zh-CN"/>
        </w:rPr>
        <w:t>23</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rPr>
        <w:t>。任何供应商、单位或个人对采用单一来源采购方式有异议的，可以在公示期内以书面形式向采购人反映。如无异议，公示结束后将采用单一来源采购方式采购。</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b/>
          <w:bCs/>
          <w:color w:val="auto"/>
          <w:sz w:val="28"/>
          <w:szCs w:val="28"/>
          <w:highlight w:val="none"/>
          <w:lang w:val="en-US" w:eastAsia="zh-CN"/>
        </w:rPr>
        <w:t>十二、协商时间及方式：</w:t>
      </w:r>
      <w:r>
        <w:rPr>
          <w:rFonts w:hint="eastAsia" w:ascii="仿宋" w:hAnsi="仿宋" w:eastAsia="仿宋" w:cs="仿宋"/>
          <w:b/>
          <w:bCs/>
          <w:color w:val="auto"/>
          <w:sz w:val="28"/>
          <w:szCs w:val="28"/>
          <w:highlight w:val="none"/>
          <w:lang w:val="en-US" w:eastAsia="zh-CN"/>
        </w:rPr>
        <w:br w:type="textWrapping"/>
      </w:r>
      <w:r>
        <w:rPr>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color w:val="auto"/>
          <w:sz w:val="28"/>
          <w:szCs w:val="28"/>
          <w:highlight w:val="none"/>
          <w:lang w:val="en-US" w:eastAsia="zh-CN"/>
        </w:rPr>
        <w:t>1、协商时间：</w:t>
      </w:r>
      <w:r>
        <w:rPr>
          <w:rFonts w:hint="eastAsia" w:ascii="仿宋" w:hAnsi="仿宋" w:eastAsia="仿宋" w:cs="仿宋"/>
          <w:color w:val="auto"/>
          <w:sz w:val="28"/>
          <w:szCs w:val="28"/>
          <w:highlight w:val="none"/>
          <w:lang w:val="en-US" w:eastAsia="zh-CN"/>
        </w:rPr>
        <w:t>2026年1月23日上午10时整</w:t>
      </w:r>
    </w:p>
    <w:p w14:paraId="51441D73">
      <w:pPr>
        <w:spacing w:line="560" w:lineRule="exact"/>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2、协商方式：现场协商</w:t>
      </w:r>
    </w:p>
    <w:p w14:paraId="11F838A8">
      <w:pPr>
        <w:spacing w:line="56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3、协商地点：六安市叶集区人民医院10楼会议室。</w:t>
      </w:r>
    </w:p>
    <w:p w14:paraId="4D14D52A">
      <w:pPr>
        <w:spacing w:line="560" w:lineRule="exact"/>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十二、</w:t>
      </w:r>
      <w:r>
        <w:rPr>
          <w:rFonts w:hint="eastAsia" w:ascii="仿宋" w:hAnsi="仿宋" w:eastAsia="仿宋" w:cs="仿宋"/>
          <w:b/>
          <w:bCs/>
          <w:color w:val="auto"/>
          <w:sz w:val="28"/>
          <w:szCs w:val="28"/>
          <w:highlight w:val="none"/>
        </w:rPr>
        <w:t>联系方式</w:t>
      </w:r>
    </w:p>
    <w:p w14:paraId="1E7EA826">
      <w:pPr>
        <w:spacing w:line="56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1.采购人：六安市叶集区人民医院（六安市第六人民医院）</w:t>
      </w:r>
    </w:p>
    <w:p w14:paraId="71A39B43">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联系地址：六安市叶集区兴叶大道与民强北路交叉口</w:t>
      </w:r>
    </w:p>
    <w:p w14:paraId="55719D3C">
      <w:pPr>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联系电话：0564-6488599</w:t>
      </w:r>
    </w:p>
    <w:p w14:paraId="6A672061">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2.采购代理机构：安徽同方工程咨询有限公司 </w:t>
      </w:r>
    </w:p>
    <w:p w14:paraId="3774AFCF">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联 系 人：</w:t>
      </w:r>
      <w:r>
        <w:rPr>
          <w:rFonts w:hint="eastAsia" w:ascii="仿宋" w:hAnsi="仿宋" w:eastAsia="仿宋" w:cs="仿宋"/>
          <w:color w:val="auto"/>
          <w:sz w:val="28"/>
          <w:szCs w:val="28"/>
          <w:highlight w:val="none"/>
          <w:lang w:val="en-US" w:eastAsia="zh-CN"/>
        </w:rPr>
        <w:t>胡</w:t>
      </w:r>
      <w:r>
        <w:rPr>
          <w:rFonts w:hint="eastAsia" w:ascii="仿宋" w:hAnsi="仿宋" w:eastAsia="仿宋" w:cs="仿宋"/>
          <w:color w:val="auto"/>
          <w:sz w:val="28"/>
          <w:szCs w:val="28"/>
          <w:highlight w:val="none"/>
        </w:rPr>
        <w:t>工</w:t>
      </w:r>
    </w:p>
    <w:p w14:paraId="72549579">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联系地址：六安市东城路上东阳光城6号楼5楼</w:t>
      </w:r>
    </w:p>
    <w:p w14:paraId="12F7BAC4">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联系电话：0564-3284233</w:t>
      </w:r>
    </w:p>
    <w:p w14:paraId="13A00185">
      <w:pPr>
        <w:spacing w:line="560" w:lineRule="exact"/>
        <w:ind w:firstLine="560" w:firstLineChars="200"/>
        <w:jc w:val="right"/>
        <w:rPr>
          <w:rFonts w:hint="eastAsia" w:ascii="仿宋" w:hAnsi="仿宋" w:eastAsia="仿宋" w:cs="仿宋"/>
          <w:color w:val="auto"/>
          <w:sz w:val="28"/>
          <w:szCs w:val="28"/>
          <w:highlight w:val="none"/>
          <w:lang w:val="en-US" w:eastAsia="zh-CN"/>
        </w:rPr>
      </w:pPr>
    </w:p>
    <w:p w14:paraId="511FDF98">
      <w:pPr>
        <w:spacing w:line="560" w:lineRule="exact"/>
        <w:ind w:firstLine="560" w:firstLineChars="200"/>
        <w:jc w:val="righ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2026</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19</w:t>
      </w:r>
      <w:r>
        <w:rPr>
          <w:rFonts w:hint="eastAsia" w:ascii="仿宋" w:hAnsi="仿宋" w:eastAsia="仿宋" w:cs="仿宋"/>
          <w:color w:val="auto"/>
          <w:sz w:val="28"/>
          <w:szCs w:val="28"/>
          <w:highlight w:val="none"/>
        </w:rPr>
        <w:t>日</w:t>
      </w:r>
    </w:p>
    <w:p w14:paraId="6554BD3A">
      <w:pPr>
        <w:rPr>
          <w:color w:val="auto"/>
          <w:highlight w:val="none"/>
        </w:rPr>
      </w:pPr>
    </w:p>
    <w:p w14:paraId="34A85350">
      <w:pPr>
        <w:rPr>
          <w:rFonts w:ascii="宋体" w:hAnsi="宋体" w:cs="宋体"/>
          <w:color w:val="auto"/>
          <w:sz w:val="24"/>
          <w:highlight w:val="none"/>
        </w:rPr>
      </w:pPr>
      <w:r>
        <w:rPr>
          <w:rFonts w:hint="eastAsia" w:ascii="宋体" w:hAnsi="宋体" w:cs="宋体"/>
          <w:color w:val="auto"/>
          <w:sz w:val="24"/>
          <w:highlight w:val="none"/>
        </w:rPr>
        <w:br w:type="page"/>
      </w:r>
    </w:p>
    <w:p w14:paraId="4CF34ECF">
      <w:pPr>
        <w:pStyle w:val="3"/>
        <w:spacing w:before="120" w:beforeLines="50" w:after="120" w:afterLines="50" w:line="560" w:lineRule="exact"/>
        <w:jc w:val="center"/>
        <w:rPr>
          <w:rFonts w:asciiTheme="minorEastAsia" w:hAnsiTheme="minorEastAsia" w:eastAsiaTheme="minorEastAsia" w:cstheme="minorEastAsia"/>
          <w:b/>
          <w:bCs/>
          <w:color w:val="auto"/>
          <w:kern w:val="0"/>
          <w:sz w:val="24"/>
          <w:highlight w:val="none"/>
          <w:u w:val="single"/>
        </w:rPr>
      </w:pPr>
      <w:r>
        <w:rPr>
          <w:rFonts w:hint="eastAsia" w:ascii="宋体" w:hAnsi="宋体" w:eastAsia="宋体" w:cs="宋体"/>
          <w:color w:val="auto"/>
          <w:sz w:val="24"/>
          <w:szCs w:val="24"/>
          <w:highlight w:val="none"/>
        </w:rPr>
        <w:t>第一章 单一来源采购邀请书</w:t>
      </w:r>
      <w:bookmarkEnd w:id="0"/>
      <w:bookmarkEnd w:id="1"/>
    </w:p>
    <w:p w14:paraId="2D8AEA2D">
      <w:pPr>
        <w:spacing w:line="800" w:lineRule="exact"/>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u w:val="single"/>
        </w:rPr>
        <w:t>安徽中安创智信息技术有限公司</w:t>
      </w:r>
      <w:r>
        <w:rPr>
          <w:rFonts w:hint="eastAsia" w:asciiTheme="minorEastAsia" w:hAnsiTheme="minorEastAsia" w:eastAsiaTheme="minorEastAsia" w:cstheme="minorEastAsia"/>
          <w:b/>
          <w:bCs/>
          <w:color w:val="auto"/>
          <w:kern w:val="0"/>
          <w:sz w:val="24"/>
          <w:highlight w:val="none"/>
        </w:rPr>
        <w:t>：</w:t>
      </w:r>
    </w:p>
    <w:p w14:paraId="67A884D5">
      <w:pPr>
        <w:spacing w:line="8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u w:val="single"/>
          <w:lang w:val="en-US" w:eastAsia="zh-CN"/>
        </w:rPr>
        <w:t>六安市叶集区妇幼保健院业务系统迁移项目</w:t>
      </w:r>
      <w:r>
        <w:rPr>
          <w:rFonts w:hint="eastAsia" w:asciiTheme="minorEastAsia" w:hAnsiTheme="minorEastAsia" w:eastAsiaTheme="minorEastAsia" w:cstheme="minorEastAsia"/>
          <w:color w:val="auto"/>
          <w:kern w:val="0"/>
          <w:sz w:val="24"/>
          <w:highlight w:val="none"/>
        </w:rPr>
        <w:t>采用单一来源方式进行采购，贵公司为本项目的唯一供应商。请贵公司按照本项目采购文件的要求，编制单一来源响应文件，在供应商须知前附表规定的递交截止时间前</w:t>
      </w:r>
      <w:r>
        <w:rPr>
          <w:rFonts w:hint="eastAsia" w:asciiTheme="minorEastAsia" w:hAnsiTheme="minorEastAsia" w:eastAsiaTheme="minorEastAsia" w:cstheme="minorEastAsia"/>
          <w:color w:val="auto"/>
          <w:kern w:val="0"/>
          <w:sz w:val="24"/>
          <w:highlight w:val="none"/>
          <w:lang w:val="en-US" w:eastAsia="zh-CN"/>
        </w:rPr>
        <w:t>现场</w:t>
      </w:r>
      <w:r>
        <w:rPr>
          <w:rFonts w:hint="eastAsia" w:asciiTheme="minorEastAsia" w:hAnsiTheme="minorEastAsia" w:eastAsiaTheme="minorEastAsia" w:cstheme="minorEastAsia"/>
          <w:color w:val="auto"/>
          <w:kern w:val="0"/>
          <w:sz w:val="24"/>
          <w:highlight w:val="none"/>
        </w:rPr>
        <w:t>递交，并就本项目的商务、技术和报价等有关问题，进行进一步的协商。</w:t>
      </w:r>
    </w:p>
    <w:p w14:paraId="47AF2DE7">
      <w:pPr>
        <w:spacing w:line="800" w:lineRule="exact"/>
        <w:rPr>
          <w:rFonts w:asciiTheme="minorEastAsia" w:hAnsiTheme="minorEastAsia" w:eastAsiaTheme="minorEastAsia" w:cstheme="minorEastAsia"/>
          <w:color w:val="auto"/>
          <w:kern w:val="0"/>
          <w:sz w:val="24"/>
          <w:highlight w:val="none"/>
        </w:rPr>
      </w:pPr>
    </w:p>
    <w:p w14:paraId="7E757980">
      <w:pPr>
        <w:wordWrap w:val="0"/>
        <w:spacing w:line="800" w:lineRule="exact"/>
        <w:ind w:right="480" w:firstLine="3240" w:firstLineChars="1350"/>
        <w:jc w:val="righ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2026</w:t>
      </w:r>
      <w:r>
        <w:rPr>
          <w:rFonts w:hint="eastAsia" w:asciiTheme="minorEastAsia" w:hAnsiTheme="minorEastAsia" w:eastAsiaTheme="minorEastAsia" w:cstheme="minorEastAsia"/>
          <w:color w:val="auto"/>
          <w:kern w:val="0"/>
          <w:sz w:val="24"/>
          <w:highlight w:val="none"/>
        </w:rPr>
        <w:t>年</w:t>
      </w:r>
      <w:r>
        <w:rPr>
          <w:rFonts w:hint="eastAsia" w:asciiTheme="minorEastAsia" w:hAnsiTheme="minorEastAsia" w:eastAsiaTheme="minorEastAsia" w:cstheme="minorEastAsia"/>
          <w:color w:val="auto"/>
          <w:kern w:val="0"/>
          <w:sz w:val="24"/>
          <w:highlight w:val="none"/>
          <w:lang w:val="en-US" w:eastAsia="zh-CN"/>
        </w:rPr>
        <w:t>1</w:t>
      </w:r>
      <w:r>
        <w:rPr>
          <w:rFonts w:hint="eastAsia" w:asciiTheme="minorEastAsia" w:hAnsiTheme="minorEastAsia" w:eastAsiaTheme="minorEastAsia" w:cstheme="minorEastAsia"/>
          <w:color w:val="auto"/>
          <w:kern w:val="0"/>
          <w:sz w:val="24"/>
          <w:highlight w:val="none"/>
        </w:rPr>
        <w:t>月</w:t>
      </w:r>
      <w:r>
        <w:rPr>
          <w:rFonts w:hint="eastAsia" w:asciiTheme="minorEastAsia" w:hAnsiTheme="minorEastAsia" w:eastAsiaTheme="minorEastAsia" w:cstheme="minorEastAsia"/>
          <w:color w:val="auto"/>
          <w:kern w:val="0"/>
          <w:sz w:val="24"/>
          <w:highlight w:val="none"/>
          <w:lang w:val="en-US" w:eastAsia="zh-CN"/>
        </w:rPr>
        <w:t>19</w:t>
      </w:r>
      <w:r>
        <w:rPr>
          <w:rFonts w:hint="eastAsia" w:asciiTheme="minorEastAsia" w:hAnsiTheme="minorEastAsia" w:eastAsiaTheme="minorEastAsia" w:cstheme="minorEastAsia"/>
          <w:color w:val="auto"/>
          <w:kern w:val="0"/>
          <w:sz w:val="24"/>
          <w:highlight w:val="none"/>
        </w:rPr>
        <w:t>日</w:t>
      </w:r>
    </w:p>
    <w:p w14:paraId="4AB1E88F">
      <w:pPr>
        <w:pStyle w:val="33"/>
        <w:spacing w:before="120" w:beforeLines="50" w:after="120" w:afterLines="50" w:line="56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br w:type="page"/>
      </w:r>
      <w:bookmarkStart w:id="2" w:name="_Toc533314945"/>
      <w:bookmarkStart w:id="3" w:name="_Toc25424"/>
      <w:bookmarkStart w:id="4" w:name="_Toc18671550"/>
      <w:r>
        <w:rPr>
          <w:rStyle w:val="39"/>
          <w:rFonts w:hint="eastAsia" w:ascii="宋体" w:hAnsi="宋体" w:eastAsia="宋体" w:cs="宋体"/>
          <w:b/>
          <w:color w:val="auto"/>
          <w:sz w:val="24"/>
          <w:szCs w:val="24"/>
          <w:highlight w:val="none"/>
        </w:rPr>
        <w:t xml:space="preserve">第二章  </w:t>
      </w:r>
      <w:bookmarkEnd w:id="2"/>
      <w:bookmarkStart w:id="5" w:name="_Toc533314946"/>
      <w:bookmarkStart w:id="6" w:name="_Toc272163828"/>
      <w:r>
        <w:rPr>
          <w:rStyle w:val="39"/>
          <w:rFonts w:hint="eastAsia" w:ascii="宋体" w:hAnsi="宋体" w:eastAsia="宋体" w:cs="宋体"/>
          <w:b/>
          <w:color w:val="auto"/>
          <w:sz w:val="24"/>
          <w:szCs w:val="24"/>
          <w:highlight w:val="none"/>
        </w:rPr>
        <w:t>供应商须知前附表</w:t>
      </w:r>
      <w:bookmarkEnd w:id="3"/>
      <w:bookmarkEnd w:id="4"/>
    </w:p>
    <w:bookmarkEnd w:id="5"/>
    <w:bookmarkEnd w:id="6"/>
    <w:tbl>
      <w:tblPr>
        <w:tblStyle w:val="16"/>
        <w:tblW w:w="907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710"/>
        <w:gridCol w:w="1234"/>
        <w:gridCol w:w="7135"/>
      </w:tblGrid>
      <w:tr w14:paraId="735670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486" w:hRule="atLeast"/>
          <w:jc w:val="center"/>
        </w:trPr>
        <w:tc>
          <w:tcPr>
            <w:tcW w:w="710" w:type="dxa"/>
            <w:vAlign w:val="center"/>
          </w:tcPr>
          <w:p w14:paraId="743F9B6C">
            <w:pPr>
              <w:spacing w:line="48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序号</w:t>
            </w:r>
          </w:p>
        </w:tc>
        <w:tc>
          <w:tcPr>
            <w:tcW w:w="8369" w:type="dxa"/>
            <w:gridSpan w:val="2"/>
            <w:vAlign w:val="center"/>
          </w:tcPr>
          <w:p w14:paraId="12E77D3F">
            <w:pPr>
              <w:spacing w:line="48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内      容</w:t>
            </w:r>
          </w:p>
        </w:tc>
      </w:tr>
      <w:tr w14:paraId="5CE384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1253" w:hRule="atLeast"/>
          <w:jc w:val="center"/>
        </w:trPr>
        <w:tc>
          <w:tcPr>
            <w:tcW w:w="710" w:type="dxa"/>
            <w:vAlign w:val="center"/>
          </w:tcPr>
          <w:p w14:paraId="1043C63F">
            <w:pPr>
              <w:spacing w:line="48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8369" w:type="dxa"/>
            <w:gridSpan w:val="2"/>
            <w:vAlign w:val="center"/>
          </w:tcPr>
          <w:p w14:paraId="652D303A">
            <w:pPr>
              <w:keepNext w:val="0"/>
              <w:keepLines w:val="0"/>
              <w:pageBreakBefore w:val="0"/>
              <w:widowControl w:val="0"/>
              <w:kinsoku/>
              <w:wordWrap w:val="0"/>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项目名称：</w:t>
            </w:r>
            <w:r>
              <w:rPr>
                <w:rFonts w:hint="eastAsia" w:asciiTheme="minorEastAsia" w:hAnsiTheme="minorEastAsia" w:eastAsiaTheme="minorEastAsia" w:cstheme="minorEastAsia"/>
                <w:color w:val="auto"/>
                <w:sz w:val="24"/>
                <w:highlight w:val="none"/>
                <w:lang w:eastAsia="zh-CN"/>
              </w:rPr>
              <w:t>六安市叶集区妇幼保健院业务系统迁移项目</w:t>
            </w:r>
          </w:p>
          <w:p w14:paraId="53592E94">
            <w:pPr>
              <w:keepNext w:val="0"/>
              <w:keepLines w:val="0"/>
              <w:pageBreakBefore w:val="0"/>
              <w:widowControl w:val="0"/>
              <w:kinsoku/>
              <w:wordWrap w:val="0"/>
              <w:overflowPunct/>
              <w:topLinePunct w:val="0"/>
              <w:autoSpaceDE/>
              <w:autoSpaceDN/>
              <w:bidi w:val="0"/>
              <w:adjustRightInd/>
              <w:snapToGrid/>
              <w:spacing w:line="480" w:lineRule="exact"/>
              <w:textAlignment w:val="auto"/>
              <w:rPr>
                <w:rFonts w:hint="default"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rPr>
              <w:t>项目编号：</w:t>
            </w:r>
            <w:r>
              <w:rPr>
                <w:rFonts w:hint="eastAsia" w:asciiTheme="minorEastAsia" w:hAnsiTheme="minorEastAsia" w:eastAsiaTheme="minorEastAsia" w:cstheme="minorEastAsia"/>
                <w:color w:val="auto"/>
                <w:sz w:val="24"/>
                <w:highlight w:val="none"/>
                <w:lang w:eastAsia="zh-CN"/>
              </w:rPr>
              <w:t>LASYJQRMYY-XXK2026-0</w:t>
            </w:r>
            <w:r>
              <w:rPr>
                <w:rFonts w:hint="eastAsia" w:asciiTheme="minorEastAsia" w:hAnsiTheme="minorEastAsia" w:eastAsiaTheme="minorEastAsia" w:cstheme="minorEastAsia"/>
                <w:color w:val="auto"/>
                <w:sz w:val="24"/>
                <w:highlight w:val="none"/>
                <w:lang w:val="en-US" w:eastAsia="zh-CN"/>
              </w:rPr>
              <w:t>5</w:t>
            </w:r>
          </w:p>
        </w:tc>
      </w:tr>
      <w:tr w14:paraId="1E4DFA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1253" w:hRule="atLeast"/>
          <w:jc w:val="center"/>
        </w:trPr>
        <w:tc>
          <w:tcPr>
            <w:tcW w:w="710" w:type="dxa"/>
            <w:vAlign w:val="center"/>
          </w:tcPr>
          <w:p w14:paraId="447C16B6">
            <w:pPr>
              <w:spacing w:line="48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8369" w:type="dxa"/>
            <w:gridSpan w:val="2"/>
            <w:vAlign w:val="center"/>
          </w:tcPr>
          <w:p w14:paraId="0E6EA87F">
            <w:pPr>
              <w:spacing w:line="480" w:lineRule="exact"/>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bCs/>
                <w:color w:val="auto"/>
                <w:sz w:val="24"/>
                <w:highlight w:val="none"/>
              </w:rPr>
              <w:t>采购人名称：</w:t>
            </w:r>
            <w:r>
              <w:rPr>
                <w:rFonts w:hint="eastAsia" w:asciiTheme="minorEastAsia" w:hAnsiTheme="minorEastAsia" w:eastAsiaTheme="minorEastAsia" w:cstheme="minorEastAsia"/>
                <w:bCs/>
                <w:color w:val="auto"/>
                <w:sz w:val="24"/>
                <w:highlight w:val="none"/>
                <w:lang w:val="en-US" w:eastAsia="zh-CN"/>
              </w:rPr>
              <w:t>六安市叶集区人民医院（六安市第六人民医院）</w:t>
            </w:r>
          </w:p>
          <w:p w14:paraId="4C1E9F1E">
            <w:pPr>
              <w:spacing w:line="480" w:lineRule="exact"/>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地      址：六安市叶集区兴叶大道与民强北路交叉口</w:t>
            </w:r>
            <w:r>
              <w:rPr>
                <w:rFonts w:hint="eastAsia" w:ascii="宋体" w:hAnsi="宋体" w:cs="宋体"/>
                <w:color w:val="auto"/>
                <w:sz w:val="24"/>
                <w:highlight w:val="none"/>
              </w:rPr>
              <w:t xml:space="preserve">       </w:t>
            </w:r>
          </w:p>
          <w:p w14:paraId="20417A1B">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联 系 方式：0564-6488599  </w:t>
            </w:r>
          </w:p>
        </w:tc>
      </w:tr>
      <w:tr w14:paraId="47A08D6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1406" w:hRule="atLeast"/>
          <w:jc w:val="center"/>
        </w:trPr>
        <w:tc>
          <w:tcPr>
            <w:tcW w:w="710" w:type="dxa"/>
            <w:vAlign w:val="center"/>
          </w:tcPr>
          <w:p w14:paraId="4F0340FC">
            <w:pPr>
              <w:spacing w:line="48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8369" w:type="dxa"/>
            <w:gridSpan w:val="2"/>
            <w:vAlign w:val="center"/>
          </w:tcPr>
          <w:p w14:paraId="2A2CE519">
            <w:pPr>
              <w:spacing w:line="480" w:lineRule="exac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代理机构名称：安徽同方工程咨询有限公司</w:t>
            </w:r>
            <w:r>
              <w:rPr>
                <w:rFonts w:asciiTheme="minorEastAsia" w:hAnsiTheme="minorEastAsia" w:eastAsiaTheme="minorEastAsia" w:cstheme="minorEastAsia"/>
                <w:bCs/>
                <w:color w:val="auto"/>
                <w:sz w:val="24"/>
                <w:highlight w:val="none"/>
              </w:rPr>
              <w:t xml:space="preserve"> </w:t>
            </w:r>
          </w:p>
          <w:p w14:paraId="4C501065">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       址：六安市东城路上东阳光城6号楼5楼</w:t>
            </w:r>
            <w:r>
              <w:rPr>
                <w:rFonts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rPr>
              <w:t xml:space="preserve">          </w:t>
            </w:r>
          </w:p>
          <w:p w14:paraId="51A74CE0">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 系 方 式：0564-3284233</w:t>
            </w:r>
          </w:p>
        </w:tc>
      </w:tr>
      <w:tr w14:paraId="739C02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573" w:hRule="atLeast"/>
          <w:jc w:val="center"/>
        </w:trPr>
        <w:tc>
          <w:tcPr>
            <w:tcW w:w="710" w:type="dxa"/>
            <w:vAlign w:val="center"/>
          </w:tcPr>
          <w:p w14:paraId="7F68A093">
            <w:pPr>
              <w:spacing w:line="480" w:lineRule="exact"/>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4</w:t>
            </w:r>
          </w:p>
        </w:tc>
        <w:tc>
          <w:tcPr>
            <w:tcW w:w="8369" w:type="dxa"/>
            <w:gridSpan w:val="2"/>
            <w:vAlign w:val="center"/>
          </w:tcPr>
          <w:p w14:paraId="4CE04B4F">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项目类别：服务类</w:t>
            </w:r>
          </w:p>
        </w:tc>
      </w:tr>
      <w:tr w14:paraId="3025D9E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603" w:hRule="atLeast"/>
          <w:jc w:val="center"/>
        </w:trPr>
        <w:tc>
          <w:tcPr>
            <w:tcW w:w="710" w:type="dxa"/>
            <w:vAlign w:val="center"/>
          </w:tcPr>
          <w:p w14:paraId="7AF3C028">
            <w:pPr>
              <w:spacing w:line="480" w:lineRule="exact"/>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5</w:t>
            </w:r>
          </w:p>
        </w:tc>
        <w:tc>
          <w:tcPr>
            <w:tcW w:w="8369" w:type="dxa"/>
            <w:gridSpan w:val="2"/>
            <w:vAlign w:val="center"/>
          </w:tcPr>
          <w:p w14:paraId="57DE60E6">
            <w:pPr>
              <w:spacing w:line="480" w:lineRule="exact"/>
              <w:jc w:val="left"/>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服务时限：</w:t>
            </w:r>
            <w:r>
              <w:rPr>
                <w:rFonts w:hint="eastAsia" w:asciiTheme="minorEastAsia" w:hAnsiTheme="minorEastAsia" w:eastAsiaTheme="minorEastAsia" w:cstheme="minorEastAsia"/>
                <w:color w:val="auto"/>
                <w:sz w:val="24"/>
                <w:highlight w:val="none"/>
                <w:lang w:val="en-US" w:eastAsia="zh-CN"/>
              </w:rPr>
              <w:t>合同签订后10日历天内完成业务系统数据迁移、服务重建与系统调试。</w:t>
            </w:r>
          </w:p>
        </w:tc>
      </w:tr>
      <w:tr w14:paraId="514B80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575" w:hRule="atLeast"/>
          <w:jc w:val="center"/>
        </w:trPr>
        <w:tc>
          <w:tcPr>
            <w:tcW w:w="710" w:type="dxa"/>
            <w:vAlign w:val="center"/>
          </w:tcPr>
          <w:p w14:paraId="293D4C06">
            <w:pPr>
              <w:spacing w:line="480" w:lineRule="exact"/>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6</w:t>
            </w:r>
          </w:p>
        </w:tc>
        <w:tc>
          <w:tcPr>
            <w:tcW w:w="1234" w:type="dxa"/>
            <w:vAlign w:val="center"/>
          </w:tcPr>
          <w:p w14:paraId="3FA36092">
            <w:pPr>
              <w:spacing w:line="48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付款方式：</w:t>
            </w:r>
          </w:p>
        </w:tc>
        <w:tc>
          <w:tcPr>
            <w:tcW w:w="7135" w:type="dxa"/>
            <w:vAlign w:val="center"/>
          </w:tcPr>
          <w:p w14:paraId="1351ECA8">
            <w:pPr>
              <w:spacing w:line="480" w:lineRule="exact"/>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lang w:val="en-US" w:eastAsia="zh-CN"/>
              </w:rPr>
              <w:t>业务系统数据迁移、服务重建与系统调试服务完成，经验收合格后由采购人支付合同价款的100%。</w:t>
            </w:r>
            <w:r>
              <w:rPr>
                <w:rFonts w:hint="eastAsia" w:asciiTheme="minorEastAsia" w:hAnsiTheme="minorEastAsia" w:eastAsiaTheme="minorEastAsia" w:cstheme="minorEastAsia"/>
                <w:color w:val="auto"/>
                <w:sz w:val="24"/>
                <w:highlight w:val="none"/>
                <w:lang w:val="en-US" w:eastAsia="zh-CN"/>
              </w:rPr>
              <w:br w:type="textWrapping"/>
            </w:r>
            <w:r>
              <w:rPr>
                <w:rFonts w:hint="eastAsia" w:asciiTheme="minorEastAsia" w:hAnsiTheme="minorEastAsia" w:eastAsiaTheme="minorEastAsia" w:cstheme="minorEastAsia"/>
                <w:b/>
                <w:bCs/>
                <w:color w:val="auto"/>
                <w:sz w:val="24"/>
                <w:highlight w:val="none"/>
              </w:rPr>
              <w:t>（供应商提交的响应文件中如有关于付款条件的表述与单一来源文</w:t>
            </w:r>
          </w:p>
          <w:p w14:paraId="57E3D45D">
            <w:pPr>
              <w:spacing w:line="48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件规定不符，将被视为实质性不响应，将导致响应无效）</w:t>
            </w:r>
          </w:p>
        </w:tc>
      </w:tr>
      <w:tr w14:paraId="46D5E9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561" w:hRule="atLeast"/>
          <w:jc w:val="center"/>
        </w:trPr>
        <w:tc>
          <w:tcPr>
            <w:tcW w:w="710" w:type="dxa"/>
            <w:vAlign w:val="center"/>
          </w:tcPr>
          <w:p w14:paraId="1EAF07B4">
            <w:pPr>
              <w:spacing w:line="480" w:lineRule="exact"/>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7</w:t>
            </w:r>
          </w:p>
        </w:tc>
        <w:tc>
          <w:tcPr>
            <w:tcW w:w="8369" w:type="dxa"/>
            <w:gridSpan w:val="2"/>
            <w:vAlign w:val="center"/>
          </w:tcPr>
          <w:p w14:paraId="2F7AC671">
            <w:pPr>
              <w:spacing w:line="48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履约保证金：1、成交供应商在签订合同时应向采购人提交合同</w:t>
            </w:r>
            <w:r>
              <w:rPr>
                <w:rFonts w:hint="eastAsia" w:asciiTheme="minorEastAsia" w:hAnsiTheme="minorEastAsia" w:eastAsiaTheme="minorEastAsia" w:cstheme="minorEastAsia"/>
                <w:color w:val="auto"/>
                <w:sz w:val="24"/>
                <w:highlight w:val="none"/>
              </w:rPr>
              <w:t>总价</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%的履约保证金</w:t>
            </w:r>
            <w:r>
              <w:rPr>
                <w:rFonts w:hint="eastAsia" w:asciiTheme="minorEastAsia" w:hAnsiTheme="minorEastAsia" w:eastAsiaTheme="minorEastAsia" w:cstheme="minorEastAsia"/>
                <w:color w:val="auto"/>
                <w:sz w:val="24"/>
                <w:highlight w:val="none"/>
              </w:rPr>
              <w:t>（最高缴纳比例不得超过合同金额的2.5%）。</w:t>
            </w:r>
          </w:p>
          <w:p w14:paraId="62F6981E">
            <w:pPr>
              <w:spacing w:line="48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2、成交供应商可以通过转账、网银支付、汇票、支票、保证保险、担保保函、银行履约保函等方式提交履约保证金。</w:t>
            </w:r>
          </w:p>
          <w:p w14:paraId="37594029">
            <w:pPr>
              <w:pStyle w:val="15"/>
              <w:spacing w:after="0" w:line="480" w:lineRule="exact"/>
              <w:ind w:firstLine="0"/>
              <w:rPr>
                <w:color w:val="auto"/>
                <w:highlight w:val="none"/>
              </w:rPr>
            </w:pPr>
            <w:r>
              <w:rPr>
                <w:rFonts w:hint="eastAsia"/>
                <w:color w:val="auto"/>
                <w:highlight w:val="none"/>
              </w:rPr>
              <w:t>3、项目验收结束后应及时退还履约保证金。</w:t>
            </w:r>
          </w:p>
        </w:tc>
      </w:tr>
      <w:tr w14:paraId="0F9828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561" w:hRule="atLeast"/>
          <w:jc w:val="center"/>
        </w:trPr>
        <w:tc>
          <w:tcPr>
            <w:tcW w:w="710" w:type="dxa"/>
            <w:vAlign w:val="center"/>
          </w:tcPr>
          <w:p w14:paraId="5A9214C0">
            <w:pPr>
              <w:spacing w:line="480" w:lineRule="exact"/>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8</w:t>
            </w:r>
          </w:p>
        </w:tc>
        <w:tc>
          <w:tcPr>
            <w:tcW w:w="8369" w:type="dxa"/>
            <w:gridSpan w:val="2"/>
            <w:vAlign w:val="center"/>
          </w:tcPr>
          <w:p w14:paraId="39E9349A">
            <w:pPr>
              <w:spacing w:line="48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响应有效期：公示结束60日内。</w:t>
            </w:r>
          </w:p>
        </w:tc>
      </w:tr>
      <w:tr w14:paraId="0893CF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793" w:hRule="atLeast"/>
          <w:jc w:val="center"/>
        </w:trPr>
        <w:tc>
          <w:tcPr>
            <w:tcW w:w="710" w:type="dxa"/>
            <w:vAlign w:val="center"/>
          </w:tcPr>
          <w:p w14:paraId="419C3900">
            <w:pPr>
              <w:spacing w:line="480" w:lineRule="exact"/>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9</w:t>
            </w:r>
          </w:p>
        </w:tc>
        <w:tc>
          <w:tcPr>
            <w:tcW w:w="8369" w:type="dxa"/>
            <w:gridSpan w:val="2"/>
            <w:vAlign w:val="center"/>
          </w:tcPr>
          <w:p w14:paraId="626CE276">
            <w:pPr>
              <w:spacing w:line="480" w:lineRule="exact"/>
              <w:rPr>
                <w:rFonts w:hint="eastAsia" w:eastAsia="宋体" w:asciiTheme="minorEastAsia" w:hAnsi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勘察现场</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 xml:space="preserve">请各供应商联系采购单位自行勘踏。 </w:t>
            </w:r>
          </w:p>
        </w:tc>
      </w:tr>
      <w:tr w14:paraId="15BD9C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793" w:hRule="atLeast"/>
          <w:jc w:val="center"/>
        </w:trPr>
        <w:tc>
          <w:tcPr>
            <w:tcW w:w="710" w:type="dxa"/>
            <w:vAlign w:val="center"/>
          </w:tcPr>
          <w:p w14:paraId="0A8C2786">
            <w:pPr>
              <w:spacing w:line="48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w:t>
            </w:r>
          </w:p>
        </w:tc>
        <w:tc>
          <w:tcPr>
            <w:tcW w:w="8369" w:type="dxa"/>
            <w:gridSpan w:val="2"/>
            <w:vAlign w:val="center"/>
          </w:tcPr>
          <w:p w14:paraId="631F9E63">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单一来源采购响应文件份数及要求：正本1份、副本</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份，胶装成册、密封提交。</w:t>
            </w:r>
          </w:p>
        </w:tc>
      </w:tr>
      <w:tr w14:paraId="0A12C5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793" w:hRule="atLeast"/>
          <w:jc w:val="center"/>
        </w:trPr>
        <w:tc>
          <w:tcPr>
            <w:tcW w:w="710" w:type="dxa"/>
            <w:vAlign w:val="center"/>
          </w:tcPr>
          <w:p w14:paraId="157459A9">
            <w:pPr>
              <w:spacing w:line="480" w:lineRule="exact"/>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11</w:t>
            </w:r>
          </w:p>
        </w:tc>
        <w:tc>
          <w:tcPr>
            <w:tcW w:w="8369" w:type="dxa"/>
            <w:gridSpan w:val="2"/>
            <w:vAlign w:val="center"/>
          </w:tcPr>
          <w:p w14:paraId="1E3B736D">
            <w:pPr>
              <w:pStyle w:val="37"/>
              <w:pBdr>
                <w:bottom w:val="none" w:color="auto" w:sz="0" w:space="0"/>
              </w:pBdr>
              <w:tabs>
                <w:tab w:val="left" w:pos="420"/>
              </w:tabs>
              <w:adjustRightInd/>
              <w:spacing w:line="460" w:lineRule="exact"/>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质疑与答疑：1、供应商如果对采购文件内容有相关疑问，可以发邮件向采购代理机构提出（疑问文件以文档形式提供，如WORD文档等）。代理机构邮箱地址为1610920774@qq.com；</w:t>
            </w:r>
          </w:p>
          <w:p w14:paraId="65216E23">
            <w:pPr>
              <w:spacing w:line="480" w:lineRule="exact"/>
              <w:rPr>
                <w:rFonts w:hint="eastAsia" w:eastAsia="宋体" w:asciiTheme="minorEastAsia" w:hAnsiTheme="minorEastAsia" w:cstheme="minorEastAsia"/>
                <w:color w:val="auto"/>
                <w:sz w:val="24"/>
                <w:highlight w:val="none"/>
                <w:lang w:eastAsia="zh-CN"/>
              </w:rPr>
            </w:pPr>
            <w:r>
              <w:rPr>
                <w:rFonts w:hint="eastAsia" w:asciiTheme="minorEastAsia" w:hAnsiTheme="minorEastAsia" w:eastAsiaTheme="minorEastAsia" w:cstheme="minorEastAsia"/>
                <w:color w:val="auto"/>
                <w:kern w:val="2"/>
                <w:sz w:val="24"/>
                <w:szCs w:val="24"/>
                <w:highlight w:val="none"/>
                <w:lang w:val="en-US" w:eastAsia="zh-CN" w:bidi="ar-SA"/>
              </w:rPr>
              <w:t>2、提交成功后疑问文件即传至采购人（采购代理机构），后续答疑以书面形式通知。</w:t>
            </w:r>
          </w:p>
        </w:tc>
      </w:tr>
      <w:tr w14:paraId="181C673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1364" w:hRule="atLeast"/>
          <w:jc w:val="center"/>
        </w:trPr>
        <w:tc>
          <w:tcPr>
            <w:tcW w:w="710" w:type="dxa"/>
            <w:vAlign w:val="center"/>
          </w:tcPr>
          <w:p w14:paraId="5E37E1C8">
            <w:pPr>
              <w:spacing w:line="480" w:lineRule="exact"/>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12</w:t>
            </w:r>
          </w:p>
        </w:tc>
        <w:tc>
          <w:tcPr>
            <w:tcW w:w="8369" w:type="dxa"/>
            <w:gridSpan w:val="2"/>
            <w:vAlign w:val="center"/>
          </w:tcPr>
          <w:p w14:paraId="51FB7456">
            <w:pPr>
              <w:spacing w:line="480" w:lineRule="exac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协商时间及方式：</w:t>
            </w:r>
          </w:p>
          <w:p w14:paraId="58F4F627">
            <w:pPr>
              <w:spacing w:line="480" w:lineRule="exact"/>
              <w:rPr>
                <w:rFonts w:hint="default" w:asciiTheme="minorEastAsia" w:hAnsiTheme="minorEastAsia" w:eastAsiaTheme="minorEastAsia" w:cstheme="minorEastAsia"/>
                <w:bCs/>
                <w:color w:val="auto"/>
                <w:sz w:val="24"/>
                <w:highlight w:val="none"/>
                <w:lang w:val="en-US"/>
              </w:rPr>
            </w:pPr>
            <w:r>
              <w:rPr>
                <w:rFonts w:hint="eastAsia" w:asciiTheme="minorEastAsia" w:hAnsiTheme="minorEastAsia" w:eastAsiaTheme="minorEastAsia" w:cstheme="minorEastAsia"/>
                <w:bCs/>
                <w:color w:val="auto"/>
                <w:sz w:val="24"/>
                <w:highlight w:val="none"/>
              </w:rPr>
              <w:t>1、协商时间：</w:t>
            </w:r>
            <w:r>
              <w:rPr>
                <w:rFonts w:hint="eastAsia" w:asciiTheme="minorEastAsia" w:hAnsiTheme="minorEastAsia" w:eastAsiaTheme="minorEastAsia" w:cstheme="minorEastAsia"/>
                <w:bCs/>
                <w:color w:val="auto"/>
                <w:sz w:val="24"/>
                <w:highlight w:val="none"/>
                <w:u w:val="single"/>
                <w:lang w:val="en-US" w:eastAsia="zh-CN"/>
              </w:rPr>
              <w:t>2026</w:t>
            </w:r>
            <w:r>
              <w:rPr>
                <w:rFonts w:hint="eastAsia" w:asciiTheme="minorEastAsia" w:hAnsiTheme="minorEastAsia" w:eastAsiaTheme="minorEastAsia" w:cstheme="minorEastAsia"/>
                <w:bCs/>
                <w:color w:val="auto"/>
                <w:sz w:val="24"/>
                <w:highlight w:val="none"/>
              </w:rPr>
              <w:t>年</w:t>
            </w:r>
            <w:r>
              <w:rPr>
                <w:rFonts w:hint="eastAsia" w:asciiTheme="minorEastAsia" w:hAnsiTheme="minorEastAsia" w:eastAsiaTheme="minorEastAsia" w:cstheme="minorEastAsia"/>
                <w:bCs/>
                <w:color w:val="auto"/>
                <w:sz w:val="24"/>
                <w:highlight w:val="none"/>
                <w:u w:val="single"/>
                <w:lang w:val="en-US" w:eastAsia="zh-CN"/>
              </w:rPr>
              <w:t>1</w:t>
            </w:r>
            <w:r>
              <w:rPr>
                <w:rFonts w:hint="eastAsia" w:asciiTheme="minorEastAsia" w:hAnsiTheme="minorEastAsia" w:eastAsiaTheme="minorEastAsia" w:cstheme="minorEastAsia"/>
                <w:bCs/>
                <w:color w:val="auto"/>
                <w:sz w:val="24"/>
                <w:highlight w:val="none"/>
              </w:rPr>
              <w:t>月</w:t>
            </w:r>
            <w:r>
              <w:rPr>
                <w:rFonts w:hint="eastAsia" w:asciiTheme="minorEastAsia" w:hAnsiTheme="minorEastAsia" w:eastAsiaTheme="minorEastAsia" w:cstheme="minorEastAsia"/>
                <w:bCs/>
                <w:color w:val="auto"/>
                <w:sz w:val="24"/>
                <w:highlight w:val="none"/>
                <w:u w:val="single"/>
                <w:lang w:val="en-US" w:eastAsia="zh-CN"/>
              </w:rPr>
              <w:t xml:space="preserve"> 23 </w:t>
            </w:r>
            <w:r>
              <w:rPr>
                <w:rFonts w:hint="eastAsia" w:asciiTheme="minorEastAsia" w:hAnsiTheme="minorEastAsia" w:eastAsiaTheme="minorEastAsia" w:cstheme="minorEastAsia"/>
                <w:bCs/>
                <w:color w:val="auto"/>
                <w:sz w:val="24"/>
                <w:highlight w:val="none"/>
              </w:rPr>
              <w:t>日</w:t>
            </w:r>
            <w:r>
              <w:rPr>
                <w:rFonts w:hint="eastAsia" w:asciiTheme="minorEastAsia" w:hAnsiTheme="minorEastAsia" w:eastAsiaTheme="minorEastAsia" w:cstheme="minorEastAsia"/>
                <w:bCs/>
                <w:color w:val="auto"/>
                <w:sz w:val="24"/>
                <w:highlight w:val="none"/>
                <w:u w:val="single"/>
                <w:lang w:val="en-US" w:eastAsia="zh-CN"/>
              </w:rPr>
              <w:t>10</w:t>
            </w:r>
            <w:r>
              <w:rPr>
                <w:rFonts w:hint="eastAsia" w:asciiTheme="minorEastAsia" w:hAnsiTheme="minorEastAsia" w:eastAsiaTheme="minorEastAsia" w:cstheme="minorEastAsia"/>
                <w:bCs/>
                <w:color w:val="auto"/>
                <w:sz w:val="24"/>
                <w:highlight w:val="none"/>
                <w:u w:val="none"/>
                <w:lang w:val="en-US" w:eastAsia="zh-CN"/>
              </w:rPr>
              <w:t>时</w:t>
            </w:r>
            <w:r>
              <w:rPr>
                <w:rFonts w:hint="eastAsia" w:asciiTheme="minorEastAsia" w:hAnsiTheme="minorEastAsia" w:eastAsiaTheme="minorEastAsia" w:cstheme="minorEastAsia"/>
                <w:bCs/>
                <w:color w:val="auto"/>
                <w:sz w:val="24"/>
                <w:highlight w:val="none"/>
                <w:u w:val="single"/>
                <w:lang w:val="en-US" w:eastAsia="zh-CN"/>
              </w:rPr>
              <w:t xml:space="preserve">  00  </w:t>
            </w:r>
            <w:r>
              <w:rPr>
                <w:rFonts w:hint="eastAsia" w:asciiTheme="minorEastAsia" w:hAnsiTheme="minorEastAsia" w:eastAsiaTheme="minorEastAsia" w:cstheme="minorEastAsia"/>
                <w:bCs/>
                <w:color w:val="auto"/>
                <w:sz w:val="24"/>
                <w:highlight w:val="none"/>
                <w:u w:val="none"/>
                <w:lang w:val="en-US" w:eastAsia="zh-CN"/>
              </w:rPr>
              <w:t>分</w:t>
            </w:r>
          </w:p>
          <w:p w14:paraId="3693FFCA">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sz w:val="24"/>
                <w:highlight w:val="none"/>
              </w:rPr>
              <w:t>2、协商方式：</w:t>
            </w:r>
            <w:r>
              <w:rPr>
                <w:rFonts w:hint="eastAsia" w:asciiTheme="minorEastAsia" w:hAnsiTheme="minorEastAsia" w:eastAsiaTheme="minorEastAsia" w:cstheme="minorEastAsia"/>
                <w:bCs/>
                <w:color w:val="auto"/>
                <w:sz w:val="24"/>
                <w:highlight w:val="none"/>
                <w:lang w:val="en-US" w:eastAsia="zh-CN"/>
              </w:rPr>
              <w:t>现场</w:t>
            </w:r>
            <w:r>
              <w:rPr>
                <w:rFonts w:hint="eastAsia" w:asciiTheme="minorEastAsia" w:hAnsiTheme="minorEastAsia" w:eastAsiaTheme="minorEastAsia" w:cstheme="minorEastAsia"/>
                <w:bCs/>
                <w:color w:val="auto"/>
                <w:sz w:val="24"/>
                <w:highlight w:val="none"/>
              </w:rPr>
              <w:t>协商</w:t>
            </w:r>
          </w:p>
        </w:tc>
      </w:tr>
      <w:tr w14:paraId="740672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579" w:hRule="atLeast"/>
          <w:jc w:val="center"/>
        </w:trPr>
        <w:tc>
          <w:tcPr>
            <w:tcW w:w="710" w:type="dxa"/>
            <w:vAlign w:val="center"/>
          </w:tcPr>
          <w:p w14:paraId="142AE3EE">
            <w:pPr>
              <w:spacing w:line="480" w:lineRule="exact"/>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13</w:t>
            </w:r>
          </w:p>
        </w:tc>
        <w:tc>
          <w:tcPr>
            <w:tcW w:w="8369" w:type="dxa"/>
            <w:gridSpan w:val="2"/>
            <w:vAlign w:val="center"/>
          </w:tcPr>
          <w:p w14:paraId="1CBB4D0E">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响应文件递交截止时间：同本项目协商时间。</w:t>
            </w:r>
          </w:p>
        </w:tc>
      </w:tr>
      <w:tr w14:paraId="36B78D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579" w:hRule="atLeast"/>
          <w:jc w:val="center"/>
        </w:trPr>
        <w:tc>
          <w:tcPr>
            <w:tcW w:w="710" w:type="dxa"/>
            <w:vAlign w:val="center"/>
          </w:tcPr>
          <w:p w14:paraId="1FB518C4">
            <w:pPr>
              <w:spacing w:line="480" w:lineRule="exact"/>
              <w:jc w:val="center"/>
              <w:rPr>
                <w:rFonts w:hint="eastAsia" w:asciiTheme="minorEastAsia" w:hAnsiTheme="minorEastAsia" w:eastAsiaTheme="minorEastAsia" w:cstheme="minorEastAsia"/>
                <w:color w:val="auto"/>
                <w:sz w:val="24"/>
                <w:highlight w:val="none"/>
                <w:lang w:eastAsia="zh-CN"/>
              </w:rPr>
            </w:pPr>
            <w:bookmarkStart w:id="7" w:name="_Hlk450145192"/>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4</w:t>
            </w:r>
          </w:p>
        </w:tc>
        <w:tc>
          <w:tcPr>
            <w:tcW w:w="8369" w:type="dxa"/>
            <w:gridSpan w:val="2"/>
            <w:vAlign w:val="center"/>
          </w:tcPr>
          <w:p w14:paraId="21CDE1BC">
            <w:pPr>
              <w:pStyle w:val="37"/>
              <w:numPr>
                <w:ilvl w:val="0"/>
                <w:numId w:val="1"/>
              </w:numPr>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存在以下不良信用记录情形之一的，不得推荐为成交候选供应商：</w:t>
            </w:r>
          </w:p>
          <w:p w14:paraId="276434FB">
            <w:pPr>
              <w:pStyle w:val="37"/>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（1）供应商被人民法院列入失信被执行人的；</w:t>
            </w:r>
          </w:p>
          <w:p w14:paraId="01EA40DA">
            <w:pPr>
              <w:pStyle w:val="37"/>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（2）供应商被市场监督管理部门列入企业经营异常名录的；</w:t>
            </w:r>
          </w:p>
          <w:p w14:paraId="3EDBC1FD">
            <w:pPr>
              <w:pStyle w:val="37"/>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（3）供应商被税务部门列入重大税收违法案件当事人名单的；</w:t>
            </w:r>
          </w:p>
          <w:p w14:paraId="735670B1">
            <w:pPr>
              <w:pStyle w:val="37"/>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（4）供应商被政府采购监管部门列入政府采购严重违法失信行为记录名单的。</w:t>
            </w:r>
          </w:p>
          <w:p w14:paraId="60ABE278">
            <w:pPr>
              <w:pStyle w:val="37"/>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2、联合体供应商，联合体任何一方存在上述不良信用记录的，视同联合体存在不良信用记录。</w:t>
            </w:r>
          </w:p>
          <w:p w14:paraId="6C52460B">
            <w:pPr>
              <w:pStyle w:val="37"/>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3、不良信用记录查询渠道如下：</w:t>
            </w:r>
          </w:p>
          <w:p w14:paraId="52476AF9">
            <w:pPr>
              <w:pStyle w:val="37"/>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（1）失信被执行人：信用中国官网（www.creditchina.gov.cn）</w:t>
            </w:r>
          </w:p>
          <w:p w14:paraId="0FE7D5FC">
            <w:pPr>
              <w:pStyle w:val="37"/>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（2）企业经营异常名录：信用中国官网（www.creditchina.gov.cn）</w:t>
            </w:r>
          </w:p>
          <w:p w14:paraId="72766539">
            <w:pPr>
              <w:pStyle w:val="37"/>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（3）重大税收违法案件当事人名单：信用中国官网（www.creditchina.gov.cn）</w:t>
            </w:r>
          </w:p>
          <w:p w14:paraId="16F67EEA">
            <w:pPr>
              <w:pStyle w:val="37"/>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（4）政府采购严重违法失信行为记录名单：中国政府采购官网（www.ccgp.gov.cn）</w:t>
            </w:r>
          </w:p>
          <w:p w14:paraId="57293FCE">
            <w:pPr>
              <w:spacing w:line="480" w:lineRule="exact"/>
              <w:rPr>
                <w:rFonts w:asciiTheme="minorEastAsia" w:hAnsiTheme="minorEastAsia" w:eastAsiaTheme="minorEastAsia" w:cstheme="minorEastAsia"/>
                <w:color w:val="auto"/>
                <w:sz w:val="24"/>
                <w:highlight w:val="none"/>
              </w:rPr>
            </w:pPr>
            <w:r>
              <w:rPr>
                <w:rFonts w:hint="eastAsia" w:ascii="宋体" w:hAnsi="宋体"/>
                <w:bCs/>
                <w:color w:val="auto"/>
                <w:kern w:val="2"/>
                <w:szCs w:val="24"/>
                <w:highlight w:val="none"/>
              </w:rPr>
              <w:t>4</w:t>
            </w:r>
            <w:r>
              <w:rPr>
                <w:rFonts w:hint="eastAsia" w:ascii="宋体" w:hAnsi="宋体" w:eastAsia="宋体" w:cs="Times New Roman"/>
                <w:bCs/>
                <w:color w:val="auto"/>
                <w:kern w:val="2"/>
                <w:sz w:val="24"/>
                <w:szCs w:val="24"/>
                <w:highlight w:val="none"/>
                <w:lang w:val="en-US" w:eastAsia="zh-CN" w:bidi="ar-SA"/>
              </w:rPr>
              <w:t>、联合体投标的，所有联合体成员均须加盖公章后制成扫描件上传。如有虚假，采购人将取消其成交资格并上报相关监督管理部门按有关规定处理。</w:t>
            </w:r>
          </w:p>
        </w:tc>
      </w:tr>
      <w:tr w14:paraId="6A52166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579" w:hRule="atLeast"/>
          <w:jc w:val="center"/>
        </w:trPr>
        <w:tc>
          <w:tcPr>
            <w:tcW w:w="710" w:type="dxa"/>
            <w:vAlign w:val="center"/>
          </w:tcPr>
          <w:p w14:paraId="4A6E9747">
            <w:pPr>
              <w:spacing w:line="48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w:t>
            </w:r>
          </w:p>
        </w:tc>
        <w:tc>
          <w:tcPr>
            <w:tcW w:w="8369" w:type="dxa"/>
            <w:gridSpan w:val="2"/>
            <w:vAlign w:val="center"/>
          </w:tcPr>
          <w:p w14:paraId="73EA2433">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sz w:val="24"/>
                <w:highlight w:val="none"/>
              </w:rPr>
              <w:t>递交响应文件注意事项：响应文件必须在询价截止时间前递交。</w:t>
            </w:r>
          </w:p>
        </w:tc>
      </w:tr>
      <w:tr w14:paraId="047A984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1284" w:hRule="atLeast"/>
          <w:jc w:val="center"/>
        </w:trPr>
        <w:tc>
          <w:tcPr>
            <w:tcW w:w="710" w:type="dxa"/>
            <w:vAlign w:val="center"/>
          </w:tcPr>
          <w:p w14:paraId="14CA075D">
            <w:pPr>
              <w:tabs>
                <w:tab w:val="left" w:pos="441"/>
              </w:tabs>
              <w:spacing w:line="480" w:lineRule="exact"/>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16</w:t>
            </w:r>
          </w:p>
        </w:tc>
        <w:tc>
          <w:tcPr>
            <w:tcW w:w="8369" w:type="dxa"/>
            <w:gridSpan w:val="2"/>
            <w:vAlign w:val="center"/>
          </w:tcPr>
          <w:p w14:paraId="66BD8A8F">
            <w:pPr>
              <w:spacing w:line="500" w:lineRule="exact"/>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bCs/>
                <w:color w:val="auto"/>
                <w:sz w:val="24"/>
                <w:highlight w:val="none"/>
                <w:lang w:val="en-US" w:eastAsia="zh-CN"/>
              </w:rPr>
              <w:t>1、支付方</w:t>
            </w:r>
            <w:r>
              <w:rPr>
                <w:rFonts w:hint="eastAsia" w:ascii="宋体" w:hAnsi="宋体" w:eastAsia="宋体" w:cs="宋体"/>
                <w:b w:val="0"/>
                <w:bCs w:val="0"/>
                <w:color w:val="auto"/>
                <w:sz w:val="24"/>
                <w:highlight w:val="none"/>
                <w:lang w:val="en-US" w:eastAsia="zh-CN"/>
              </w:rPr>
              <w:t>：</w:t>
            </w:r>
            <w:r>
              <w:rPr>
                <w:rFonts w:hint="eastAsia" w:ascii="宋体" w:hAnsi="宋体" w:cs="宋体"/>
                <w:b w:val="0"/>
                <w:bCs w:val="0"/>
                <w:color w:val="auto"/>
                <w:sz w:val="24"/>
                <w:highlight w:val="none"/>
                <w:lang w:val="en-US" w:eastAsia="zh-CN"/>
              </w:rPr>
              <w:t>□</w:t>
            </w:r>
            <w:r>
              <w:rPr>
                <w:rFonts w:hint="eastAsia" w:ascii="宋体" w:hAnsi="宋体" w:eastAsia="宋体" w:cs="宋体"/>
                <w:b w:val="0"/>
                <w:bCs w:val="0"/>
                <w:color w:val="auto"/>
                <w:sz w:val="24"/>
                <w:highlight w:val="none"/>
                <w:lang w:val="en-US" w:eastAsia="zh-CN"/>
              </w:rPr>
              <w:t xml:space="preserve">采购人  </w:t>
            </w:r>
            <w:r>
              <w:rPr>
                <w:rFonts w:hint="eastAsia" w:ascii="宋体" w:hAnsi="宋体" w:cs="宋体"/>
                <w:b w:val="0"/>
                <w:bCs w:val="0"/>
                <w:color w:val="auto"/>
                <w:sz w:val="24"/>
                <w:highlight w:val="none"/>
                <w:lang w:val="en-US" w:eastAsia="zh-CN"/>
              </w:rPr>
              <w:t>☑</w:t>
            </w:r>
            <w:r>
              <w:rPr>
                <w:rFonts w:hint="eastAsia" w:ascii="宋体" w:hAnsi="宋体" w:eastAsia="宋体" w:cs="宋体"/>
                <w:b w:val="0"/>
                <w:bCs w:val="0"/>
                <w:color w:val="auto"/>
                <w:sz w:val="24"/>
                <w:highlight w:val="none"/>
                <w:lang w:val="en-US" w:eastAsia="zh-CN"/>
              </w:rPr>
              <w:t>成交供应商</w:t>
            </w:r>
          </w:p>
          <w:p w14:paraId="4D5863D8">
            <w:pPr>
              <w:spacing w:line="500" w:lineRule="exact"/>
              <w:jc w:val="left"/>
              <w:rPr>
                <w:rFonts w:hint="default" w:ascii="宋体" w:hAnsi="宋体" w:eastAsia="宋体" w:cs="宋体"/>
                <w:b w:val="0"/>
                <w:bCs w:val="0"/>
                <w:color w:val="auto"/>
                <w:sz w:val="24"/>
                <w:highlight w:val="none"/>
                <w:lang w:val="en-US" w:eastAsia="zh-CN"/>
              </w:rPr>
            </w:pPr>
            <w:r>
              <w:rPr>
                <w:rFonts w:hint="eastAsia" w:ascii="宋体" w:hAnsi="宋体" w:eastAsia="宋体" w:cs="宋体"/>
                <w:b/>
                <w:bCs/>
                <w:color w:val="auto"/>
                <w:sz w:val="24"/>
                <w:highlight w:val="none"/>
                <w:lang w:val="en-US" w:eastAsia="zh-CN"/>
              </w:rPr>
              <w:t>2、收费标准：</w:t>
            </w:r>
            <w:r>
              <w:rPr>
                <w:rFonts w:hint="eastAsia" w:ascii="宋体" w:hAnsi="宋体" w:cs="宋体"/>
                <w:b w:val="0"/>
                <w:bCs w:val="0"/>
                <w:color w:val="auto"/>
                <w:sz w:val="24"/>
                <w:highlight w:val="none"/>
                <w:lang w:val="en-US" w:eastAsia="zh-CN"/>
              </w:rPr>
              <w:t>本项目为固定收费4000.00元。</w:t>
            </w:r>
          </w:p>
          <w:p w14:paraId="596CB9ED">
            <w:pPr>
              <w:spacing w:line="500" w:lineRule="exact"/>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bCs/>
                <w:color w:val="auto"/>
                <w:sz w:val="24"/>
                <w:highlight w:val="none"/>
                <w:lang w:val="en-US" w:eastAsia="zh-CN"/>
              </w:rPr>
              <w:t>3、收取方式：</w:t>
            </w:r>
            <w:r>
              <w:rPr>
                <w:rFonts w:hint="eastAsia" w:ascii="宋体" w:hAnsi="宋体" w:eastAsia="宋体" w:cs="宋体"/>
                <w:b w:val="0"/>
                <w:bCs w:val="0"/>
                <w:color w:val="auto"/>
                <w:sz w:val="24"/>
                <w:highlight w:val="none"/>
                <w:lang w:val="en-US" w:eastAsia="zh-CN"/>
              </w:rPr>
              <w:t>银行转账。</w:t>
            </w:r>
          </w:p>
          <w:p w14:paraId="502FCFCD">
            <w:pPr>
              <w:spacing w:line="500" w:lineRule="exact"/>
              <w:jc w:val="lef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4、代理服务费缴纳账户：</w:t>
            </w:r>
          </w:p>
          <w:p w14:paraId="60E8EE0A">
            <w:pPr>
              <w:spacing w:line="500" w:lineRule="exact"/>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户名：安徽同方工程咨询有限公司 </w:t>
            </w:r>
          </w:p>
          <w:p w14:paraId="14D27D74">
            <w:pPr>
              <w:spacing w:line="500" w:lineRule="exact"/>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开户行：徽商银行六安解放路恒源支行 </w:t>
            </w:r>
          </w:p>
          <w:p w14:paraId="2D89AF41">
            <w:pPr>
              <w:spacing w:line="500" w:lineRule="exact"/>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账号：000000602003900000243</w:t>
            </w:r>
          </w:p>
          <w:p w14:paraId="2A558DB1">
            <w:pPr>
              <w:pStyle w:val="15"/>
              <w:ind w:left="0" w:leftChars="0" w:firstLine="0" w:firstLineChars="0"/>
              <w:rPr>
                <w:rFonts w:hint="eastAsia" w:ascii="Times New Roman" w:hAnsi="Times New Roman"/>
                <w:b w:val="0"/>
                <w:bCs w:val="0"/>
                <w:color w:val="auto"/>
                <w:highlight w:val="none"/>
                <w:lang w:val="en-US" w:eastAsia="zh-CN"/>
              </w:rPr>
            </w:pPr>
            <w:r>
              <w:rPr>
                <w:rFonts w:hint="eastAsia" w:ascii="宋体" w:hAnsi="宋体" w:eastAsia="宋体" w:cs="宋体"/>
                <w:b/>
                <w:bCs/>
                <w:color w:val="auto"/>
                <w:sz w:val="24"/>
                <w:highlight w:val="none"/>
                <w:lang w:val="en-US" w:eastAsia="zh-CN"/>
              </w:rPr>
              <w:t>5、代理服务费详见成交结果公告；代理服务费须从成交供应商账户转出，并备注项目名称。</w:t>
            </w:r>
          </w:p>
        </w:tc>
      </w:tr>
    </w:tbl>
    <w:p w14:paraId="49A2B2A6">
      <w:pPr>
        <w:pStyle w:val="33"/>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bookmarkStart w:id="8" w:name="_Toc533314947"/>
      <w:bookmarkStart w:id="9" w:name="_Toc272163829"/>
    </w:p>
    <w:p w14:paraId="7C5B3DD7">
      <w:pPr>
        <w:pStyle w:val="3"/>
        <w:spacing w:before="240" w:beforeLines="100" w:after="0" w:line="600" w:lineRule="exact"/>
        <w:jc w:val="center"/>
        <w:rPr>
          <w:rFonts w:ascii="宋体" w:hAnsi="宋体" w:eastAsia="宋体" w:cs="宋体"/>
          <w:color w:val="auto"/>
          <w:sz w:val="24"/>
          <w:szCs w:val="24"/>
          <w:highlight w:val="none"/>
        </w:rPr>
      </w:pPr>
      <w:bookmarkStart w:id="10" w:name="_Toc11917"/>
      <w:bookmarkStart w:id="11" w:name="_Toc18671555"/>
      <w:r>
        <w:rPr>
          <w:rFonts w:hint="eastAsia" w:ascii="宋体" w:hAnsi="宋体" w:eastAsia="宋体" w:cs="宋体"/>
          <w:color w:val="auto"/>
          <w:sz w:val="24"/>
          <w:szCs w:val="24"/>
          <w:highlight w:val="none"/>
        </w:rPr>
        <w:t>第三章  供应商须知</w:t>
      </w:r>
      <w:bookmarkEnd w:id="7"/>
      <w:bookmarkEnd w:id="8"/>
      <w:bookmarkEnd w:id="9"/>
      <w:bookmarkEnd w:id="10"/>
      <w:bookmarkEnd w:id="11"/>
    </w:p>
    <w:p w14:paraId="0E8C9D74">
      <w:pPr>
        <w:pStyle w:val="3"/>
        <w:spacing w:before="120" w:beforeLines="50" w:after="120" w:afterLines="50" w:line="500" w:lineRule="exact"/>
        <w:jc w:val="center"/>
        <w:rPr>
          <w:rFonts w:ascii="宋体" w:hAnsi="宋体" w:eastAsia="宋体" w:cs="宋体"/>
          <w:color w:val="auto"/>
          <w:sz w:val="24"/>
          <w:szCs w:val="24"/>
          <w:highlight w:val="none"/>
        </w:rPr>
      </w:pPr>
      <w:bookmarkStart w:id="12" w:name="_Toc18671556"/>
      <w:bookmarkStart w:id="13" w:name="_Toc2350"/>
      <w:r>
        <w:rPr>
          <w:rFonts w:hint="eastAsia" w:ascii="宋体" w:hAnsi="宋体" w:eastAsia="宋体" w:cs="宋体"/>
          <w:color w:val="auto"/>
          <w:sz w:val="24"/>
          <w:szCs w:val="24"/>
          <w:highlight w:val="none"/>
        </w:rPr>
        <w:t>一、总则</w:t>
      </w:r>
      <w:bookmarkEnd w:id="12"/>
      <w:bookmarkEnd w:id="13"/>
    </w:p>
    <w:p w14:paraId="178BFA8E">
      <w:pPr>
        <w:spacing w:line="500" w:lineRule="exact"/>
        <w:rPr>
          <w:rFonts w:asciiTheme="minorEastAsia" w:hAnsiTheme="minorEastAsia" w:eastAsiaTheme="minorEastAsia" w:cstheme="minorEastAsia"/>
          <w:b/>
          <w:color w:val="auto"/>
          <w:sz w:val="24"/>
          <w:highlight w:val="none"/>
        </w:rPr>
      </w:pPr>
      <w:bookmarkStart w:id="14" w:name="_Toc272163834"/>
      <w:bookmarkStart w:id="15" w:name="_Toc533314952"/>
      <w:r>
        <w:rPr>
          <w:rFonts w:hint="eastAsia" w:asciiTheme="minorEastAsia" w:hAnsiTheme="minorEastAsia" w:eastAsiaTheme="minorEastAsia" w:cstheme="minorEastAsia"/>
          <w:b/>
          <w:color w:val="auto"/>
          <w:sz w:val="24"/>
          <w:highlight w:val="none"/>
        </w:rPr>
        <w:t>1、适用范围</w:t>
      </w:r>
    </w:p>
    <w:p w14:paraId="0F9C6B02">
      <w:pPr>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1.1本文件是根据《中华人民共和国政府采购法》等相关法律、法规制订。</w:t>
      </w:r>
    </w:p>
    <w:p w14:paraId="3E576B2D">
      <w:pPr>
        <w:tabs>
          <w:tab w:val="left" w:pos="0"/>
        </w:tabs>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本采购文件的最终解释权归项目单位所有。</w:t>
      </w:r>
    </w:p>
    <w:p w14:paraId="5ED2870E">
      <w:pPr>
        <w:spacing w:line="50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2、定义</w:t>
      </w:r>
    </w:p>
    <w:p w14:paraId="457D9B6E">
      <w:pPr>
        <w:tabs>
          <w:tab w:val="left" w:pos="0"/>
        </w:tabs>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w:t>
      </w:r>
      <w:r>
        <w:rPr>
          <w:rFonts w:hint="eastAsia" w:asciiTheme="minorEastAsia" w:hAnsiTheme="minorEastAsia" w:eastAsiaTheme="minorEastAsia" w:cstheme="minorEastAsia"/>
          <w:b/>
          <w:color w:val="auto"/>
          <w:sz w:val="24"/>
          <w:highlight w:val="none"/>
        </w:rPr>
        <w:t>服务：</w:t>
      </w:r>
      <w:r>
        <w:rPr>
          <w:rFonts w:hint="eastAsia" w:asciiTheme="minorEastAsia" w:hAnsiTheme="minorEastAsia" w:eastAsiaTheme="minorEastAsia" w:cstheme="minorEastAsia"/>
          <w:color w:val="auto"/>
          <w:sz w:val="24"/>
          <w:highlight w:val="none"/>
        </w:rPr>
        <w:t>既是指本范本适用于服务采购。</w:t>
      </w:r>
    </w:p>
    <w:p w14:paraId="6D3ABDB1">
      <w:pPr>
        <w:tabs>
          <w:tab w:val="left" w:pos="0"/>
        </w:tabs>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w:t>
      </w:r>
      <w:r>
        <w:rPr>
          <w:rFonts w:hint="eastAsia" w:asciiTheme="minorEastAsia" w:hAnsiTheme="minorEastAsia" w:eastAsiaTheme="minorEastAsia" w:cstheme="minorEastAsia"/>
          <w:b/>
          <w:color w:val="auto"/>
          <w:sz w:val="24"/>
          <w:highlight w:val="none"/>
        </w:rPr>
        <w:t>采购人：</w:t>
      </w:r>
      <w:r>
        <w:rPr>
          <w:rFonts w:hint="eastAsia" w:asciiTheme="minorEastAsia" w:hAnsiTheme="minorEastAsia" w:eastAsiaTheme="minorEastAsia" w:cstheme="minorEastAsia"/>
          <w:color w:val="auto"/>
          <w:sz w:val="24"/>
          <w:highlight w:val="none"/>
        </w:rPr>
        <w:t>项目单位（采购人）的总称。</w:t>
      </w:r>
    </w:p>
    <w:p w14:paraId="0D510528">
      <w:pPr>
        <w:spacing w:line="50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3、供应商资格要求：</w:t>
      </w:r>
      <w:r>
        <w:rPr>
          <w:rFonts w:hint="eastAsia" w:asciiTheme="minorEastAsia" w:hAnsiTheme="minorEastAsia" w:eastAsiaTheme="minorEastAsia" w:cstheme="minorEastAsia"/>
          <w:color w:val="auto"/>
          <w:sz w:val="24"/>
          <w:highlight w:val="none"/>
        </w:rPr>
        <w:t>符合政府采购法等法律法规的相关规定。</w:t>
      </w:r>
    </w:p>
    <w:p w14:paraId="726346E7">
      <w:pPr>
        <w:spacing w:line="50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4、供应商参与采购活动的费用</w:t>
      </w:r>
    </w:p>
    <w:p w14:paraId="230615EE">
      <w:pPr>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4.1供应商必须自行承担所有与参加采购活动的有关费用。不论结果如何，采购人在任何情况下均无义务和责任承担这些费用。</w:t>
      </w:r>
    </w:p>
    <w:p w14:paraId="50AB5389">
      <w:pPr>
        <w:spacing w:line="50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5、保密</w:t>
      </w:r>
    </w:p>
    <w:p w14:paraId="2389F8CA">
      <w:pPr>
        <w:tabs>
          <w:tab w:val="left" w:pos="0"/>
        </w:tabs>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参与采购活动的各方主体应对服务类单一来源采购文件和单一来源响应文件中的商业和技术等秘密保密，违者应对由此造成的后果承担法律责任。</w:t>
      </w:r>
    </w:p>
    <w:p w14:paraId="7EE95748">
      <w:pPr>
        <w:spacing w:line="50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6、语言文字</w:t>
      </w:r>
    </w:p>
    <w:p w14:paraId="2E862C79">
      <w:pPr>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单一来源及其响应文件使用的语言文字</w:t>
      </w:r>
      <w:r>
        <w:rPr>
          <w:rFonts w:hint="eastAsia" w:asciiTheme="minorEastAsia" w:hAnsiTheme="minorEastAsia" w:eastAsiaTheme="minorEastAsia" w:cstheme="minorEastAsia"/>
          <w:color w:val="auto"/>
          <w:sz w:val="24"/>
          <w:highlight w:val="none"/>
          <w:lang w:eastAsia="zh-CN"/>
        </w:rPr>
        <w:t>以及</w:t>
      </w:r>
      <w:r>
        <w:rPr>
          <w:rFonts w:hint="eastAsia" w:asciiTheme="minorEastAsia" w:hAnsiTheme="minorEastAsia" w:eastAsiaTheme="minorEastAsia" w:cstheme="minorEastAsia"/>
          <w:color w:val="auto"/>
          <w:sz w:val="24"/>
          <w:highlight w:val="none"/>
        </w:rPr>
        <w:t>供应商与采购人就单一来源采购相关事项的所有往来函电均须使用简体中文（部分专用术语需使用外文的除外）。</w:t>
      </w:r>
    </w:p>
    <w:p w14:paraId="657A476D">
      <w:pPr>
        <w:spacing w:line="50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7、计量单位</w:t>
      </w:r>
    </w:p>
    <w:p w14:paraId="3D849DDB">
      <w:pPr>
        <w:pStyle w:val="35"/>
        <w:spacing w:line="50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所有计量均采用中华人民共和国法定计量单位。</w:t>
      </w:r>
    </w:p>
    <w:p w14:paraId="14987E1F">
      <w:pPr>
        <w:spacing w:line="50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8、勘察现场</w:t>
      </w:r>
    </w:p>
    <w:p w14:paraId="41D3A29D">
      <w:pPr>
        <w:tabs>
          <w:tab w:val="left" w:pos="0"/>
        </w:tabs>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采购人根据项目的具体情况，可以组织单一来源供应商现场考察。</w:t>
      </w:r>
    </w:p>
    <w:p w14:paraId="2913DB4C">
      <w:pPr>
        <w:spacing w:line="50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9、偏离</w:t>
      </w:r>
    </w:p>
    <w:p w14:paraId="3D352E8A">
      <w:pPr>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若服务类单一来源采购文件允许响应文件偏离某些要求，偏离应当符合单一来源文件规定的偏离范围和幅度。</w:t>
      </w:r>
    </w:p>
    <w:p w14:paraId="782C0B4C">
      <w:pPr>
        <w:pStyle w:val="3"/>
        <w:spacing w:before="120" w:beforeLines="50" w:after="120" w:afterLines="50" w:line="500" w:lineRule="exact"/>
        <w:jc w:val="center"/>
        <w:rPr>
          <w:rFonts w:ascii="宋体" w:hAnsi="宋体" w:eastAsia="宋体" w:cs="宋体"/>
          <w:color w:val="auto"/>
          <w:sz w:val="24"/>
          <w:szCs w:val="24"/>
          <w:highlight w:val="none"/>
        </w:rPr>
      </w:pPr>
      <w:bookmarkStart w:id="16" w:name="_Toc18671557"/>
      <w:bookmarkStart w:id="17" w:name="_Toc12653"/>
      <w:r>
        <w:rPr>
          <w:rFonts w:hint="eastAsia" w:ascii="宋体" w:hAnsi="宋体" w:eastAsia="宋体" w:cs="宋体"/>
          <w:color w:val="auto"/>
          <w:sz w:val="24"/>
          <w:szCs w:val="24"/>
          <w:highlight w:val="none"/>
        </w:rPr>
        <w:t>二、</w:t>
      </w:r>
      <w:bookmarkEnd w:id="16"/>
      <w:r>
        <w:rPr>
          <w:rFonts w:hint="eastAsia" w:ascii="宋体" w:hAnsi="宋体" w:eastAsia="宋体" w:cs="宋体"/>
          <w:color w:val="auto"/>
          <w:sz w:val="24"/>
          <w:szCs w:val="24"/>
          <w:highlight w:val="none"/>
        </w:rPr>
        <w:t>服务类单一来源采购文件</w:t>
      </w:r>
      <w:bookmarkEnd w:id="17"/>
    </w:p>
    <w:p w14:paraId="2FDC9DE4">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10采购文件构成</w:t>
      </w:r>
    </w:p>
    <w:p w14:paraId="25FECCFB">
      <w:pPr>
        <w:tabs>
          <w:tab w:val="left" w:pos="72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10.1采购文件包括：</w:t>
      </w:r>
    </w:p>
    <w:p w14:paraId="48F1EED0">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第一章  单一来源采购邀请书</w:t>
      </w:r>
    </w:p>
    <w:p w14:paraId="3DEF7208">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第二章  供应商须知前附表</w:t>
      </w:r>
    </w:p>
    <w:p w14:paraId="72E75603">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第三章  供应商须知</w:t>
      </w:r>
    </w:p>
    <w:p w14:paraId="40D65848">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第四章  采购需求</w:t>
      </w:r>
    </w:p>
    <w:p w14:paraId="76739050">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第五章  单一来源响应文件</w:t>
      </w:r>
    </w:p>
    <w:p w14:paraId="45595045">
      <w:pPr>
        <w:tabs>
          <w:tab w:val="left" w:pos="72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10.2供应商应认真阅读和充分理解服务类单一来源采购文件中所有的内容。如果其单一来源响应文件没有满足服务类单一来源采购文件的有关要求，其风险由供应商自行承担。</w:t>
      </w:r>
    </w:p>
    <w:p w14:paraId="48BDD848">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11、服务类单一来源采购文件的澄清和修改</w:t>
      </w:r>
    </w:p>
    <w:p w14:paraId="71862E66">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11.1采购人认为服务类单一来源采购文件未表述清楚的，可以进行澄清并书面通知供应商。</w:t>
      </w:r>
    </w:p>
    <w:p w14:paraId="55FA9EB6">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11.2 供应商认为服务类单一来源采购文件表述不清的，可以要求采购人作出解释。 </w:t>
      </w:r>
    </w:p>
    <w:p w14:paraId="2DA40384">
      <w:pPr>
        <w:pStyle w:val="3"/>
        <w:spacing w:before="120" w:beforeLines="50" w:after="120" w:afterLines="50" w:line="480" w:lineRule="exact"/>
        <w:jc w:val="center"/>
        <w:rPr>
          <w:rFonts w:ascii="宋体" w:hAnsi="宋体" w:eastAsia="宋体" w:cs="宋体"/>
          <w:color w:val="auto"/>
          <w:sz w:val="24"/>
          <w:szCs w:val="24"/>
          <w:highlight w:val="none"/>
        </w:rPr>
      </w:pPr>
      <w:bookmarkStart w:id="18" w:name="_Toc2231"/>
      <w:bookmarkStart w:id="19" w:name="_Toc18671558"/>
      <w:r>
        <w:rPr>
          <w:rFonts w:hint="eastAsia" w:ascii="宋体" w:hAnsi="宋体" w:eastAsia="宋体" w:cs="宋体"/>
          <w:color w:val="auto"/>
          <w:sz w:val="24"/>
          <w:szCs w:val="24"/>
          <w:highlight w:val="none"/>
        </w:rPr>
        <w:t>三、单一来源响应文件的编制</w:t>
      </w:r>
      <w:bookmarkEnd w:id="18"/>
      <w:bookmarkEnd w:id="19"/>
    </w:p>
    <w:p w14:paraId="3EB61A28">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12、单一来源响应文件构成</w:t>
      </w:r>
    </w:p>
    <w:p w14:paraId="595AEA40">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12.1响应文件必须按照本文件规定的内容和顺序进行编写。</w:t>
      </w:r>
    </w:p>
    <w:p w14:paraId="7D9A8DFF">
      <w:pPr>
        <w:tabs>
          <w:tab w:val="left" w:pos="72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12.2供应商必须对其响应文件的真实性与准确性负责。供应商一旦成为成交供应商，其响应文件将作为合同的重要组成部分。 </w:t>
      </w:r>
    </w:p>
    <w:p w14:paraId="771AA211">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12.3供应商不得在未征得采购人许可的情况下，擅自对服务类单一来源采购文件条款和技术要求进行修改。</w:t>
      </w:r>
    </w:p>
    <w:p w14:paraId="1A21D6D5">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12.4证明供应商合格的资格文件</w:t>
      </w:r>
    </w:p>
    <w:p w14:paraId="6DF2C03A">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12.4.1应包括服务类单一来源采购文件要求的证明其有资格参加采购活动</w:t>
      </w:r>
      <w:r>
        <w:rPr>
          <w:rFonts w:hint="eastAsia" w:asciiTheme="minorEastAsia" w:hAnsiTheme="minorEastAsia" w:eastAsiaTheme="minorEastAsia" w:cstheme="minorEastAsia"/>
          <w:color w:val="auto"/>
          <w:sz w:val="24"/>
          <w:highlight w:val="none"/>
          <w:lang w:eastAsia="zh-CN"/>
        </w:rPr>
        <w:t>以及</w:t>
      </w:r>
      <w:r>
        <w:rPr>
          <w:rFonts w:hint="eastAsia" w:asciiTheme="minorEastAsia" w:hAnsiTheme="minorEastAsia" w:eastAsiaTheme="minorEastAsia" w:cstheme="minorEastAsia"/>
          <w:color w:val="auto"/>
          <w:sz w:val="24"/>
          <w:highlight w:val="none"/>
        </w:rPr>
        <w:t>之后有能力履行合同的证明文件。</w:t>
      </w:r>
    </w:p>
    <w:p w14:paraId="28DBD5DB">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13、单一来源报价</w:t>
      </w:r>
    </w:p>
    <w:p w14:paraId="1AC5CA36">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13.1本项目只允许一个方案、一个报价。多方案、多报价的响应文件将不被接受。</w:t>
      </w:r>
    </w:p>
    <w:p w14:paraId="7E4FD714">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13.2服务类项目适用：响应总报价应包括完成本项目的费用、税费、等所有费用，即为履行合同的最终价格。</w:t>
      </w:r>
    </w:p>
    <w:p w14:paraId="01F1923D">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13.3供应商响应的货币为人民币。</w:t>
      </w:r>
    </w:p>
    <w:p w14:paraId="10A4F3B1">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14、响应保证金</w:t>
      </w:r>
    </w:p>
    <w:p w14:paraId="14B14437">
      <w:pPr>
        <w:tabs>
          <w:tab w:val="left" w:pos="720"/>
        </w:tabs>
        <w:spacing w:line="480" w:lineRule="exac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本项目无须递交响应保证金</w:t>
      </w:r>
    </w:p>
    <w:p w14:paraId="7394823B">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15、响应有效期</w:t>
      </w:r>
    </w:p>
    <w:p w14:paraId="69D92780">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15.1响应有效期在“供应商须知前附表”中有明确的规定。供应商如未就此提出异议，则视同接受；如承诺的响应有效期短于此规定时间的，将被视为非响应性投标而予以拒绝。</w:t>
      </w:r>
    </w:p>
    <w:p w14:paraId="34662BB4">
      <w:pPr>
        <w:pStyle w:val="35"/>
        <w:spacing w:line="48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15.2在特殊情况下，采购人可于原</w:t>
      </w:r>
      <w:r>
        <w:rPr>
          <w:rFonts w:hint="eastAsia" w:asciiTheme="minorEastAsia" w:hAnsiTheme="minorEastAsia" w:eastAsiaTheme="minorEastAsia" w:cstheme="minorEastAsia"/>
          <w:color w:val="auto"/>
          <w:sz w:val="24"/>
          <w:highlight w:val="none"/>
        </w:rPr>
        <w:t>响应</w:t>
      </w:r>
      <w:r>
        <w:rPr>
          <w:rFonts w:hint="eastAsia" w:asciiTheme="minorEastAsia" w:hAnsiTheme="minorEastAsia" w:eastAsiaTheme="minorEastAsia" w:cstheme="minorEastAsia"/>
          <w:color w:val="auto"/>
          <w:sz w:val="24"/>
          <w:szCs w:val="24"/>
          <w:highlight w:val="none"/>
        </w:rPr>
        <w:t>有效期满之前，向供应商提出延长</w:t>
      </w:r>
      <w:r>
        <w:rPr>
          <w:rFonts w:hint="eastAsia" w:asciiTheme="minorEastAsia" w:hAnsiTheme="minorEastAsia" w:eastAsiaTheme="minorEastAsia" w:cstheme="minorEastAsia"/>
          <w:color w:val="auto"/>
          <w:sz w:val="24"/>
          <w:highlight w:val="none"/>
        </w:rPr>
        <w:t>响应</w:t>
      </w:r>
      <w:r>
        <w:rPr>
          <w:rFonts w:hint="eastAsia" w:asciiTheme="minorEastAsia" w:hAnsiTheme="minorEastAsia" w:eastAsiaTheme="minorEastAsia" w:cstheme="minorEastAsia"/>
          <w:color w:val="auto"/>
          <w:sz w:val="24"/>
          <w:szCs w:val="24"/>
          <w:highlight w:val="none"/>
        </w:rPr>
        <w:t>有效期的要求。供应商同意延长的，不得要求或被允许修改或撤销其单一来源响应文件。供应商拒绝延长的，可以书面形式拒绝采购人的这种要求。如在规定的时间内未提出书面意见表示拒绝，将视为同意延长</w:t>
      </w:r>
      <w:r>
        <w:rPr>
          <w:rFonts w:hint="eastAsia" w:asciiTheme="minorEastAsia" w:hAnsiTheme="minorEastAsia" w:eastAsiaTheme="minorEastAsia" w:cstheme="minorEastAsia"/>
          <w:color w:val="auto"/>
          <w:sz w:val="24"/>
          <w:highlight w:val="none"/>
        </w:rPr>
        <w:t>响应</w:t>
      </w:r>
      <w:r>
        <w:rPr>
          <w:rFonts w:hint="eastAsia" w:asciiTheme="minorEastAsia" w:hAnsiTheme="minorEastAsia" w:eastAsiaTheme="minorEastAsia" w:cstheme="minorEastAsia"/>
          <w:color w:val="auto"/>
          <w:sz w:val="24"/>
          <w:szCs w:val="24"/>
          <w:highlight w:val="none"/>
        </w:rPr>
        <w:t>有效期。</w:t>
      </w:r>
    </w:p>
    <w:p w14:paraId="79C7358A">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15.3在响应有效期内，供应商撤销或修改其单一来源响应文件的，应承担责任。</w:t>
      </w:r>
    </w:p>
    <w:p w14:paraId="1CD35223">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16、单一来源响应文件签署</w:t>
      </w:r>
    </w:p>
    <w:p w14:paraId="63F275E8">
      <w:pPr>
        <w:tabs>
          <w:tab w:val="left" w:pos="0"/>
          <w:tab w:val="left" w:pos="54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除特别说明外，本文件要求供应商盖章或者法定代表人签字处，均需加盖供应商</w:t>
      </w:r>
      <w:r>
        <w:rPr>
          <w:rFonts w:hint="eastAsia" w:asciiTheme="minorEastAsia" w:hAnsiTheme="minorEastAsia" w:eastAsiaTheme="minorEastAsia" w:cstheme="minorEastAsia"/>
          <w:color w:val="auto"/>
          <w:sz w:val="24"/>
          <w:highlight w:val="none"/>
          <w:lang w:val="en-US" w:eastAsia="zh-CN"/>
        </w:rPr>
        <w:t>公章</w:t>
      </w:r>
      <w:r>
        <w:rPr>
          <w:rFonts w:hint="eastAsia" w:asciiTheme="minorEastAsia" w:hAnsiTheme="minorEastAsia" w:eastAsiaTheme="minorEastAsia" w:cstheme="minorEastAsia"/>
          <w:color w:val="auto"/>
          <w:sz w:val="24"/>
          <w:highlight w:val="none"/>
        </w:rPr>
        <w:t>或其法定代表人</w:t>
      </w:r>
      <w:r>
        <w:rPr>
          <w:rFonts w:hint="eastAsia" w:asciiTheme="minorEastAsia" w:hAnsiTheme="minorEastAsia" w:eastAsiaTheme="minorEastAsia" w:cstheme="minorEastAsia"/>
          <w:color w:val="auto"/>
          <w:sz w:val="24"/>
          <w:highlight w:val="none"/>
          <w:lang w:val="en-US" w:eastAsia="zh-CN"/>
        </w:rPr>
        <w:t>签字</w:t>
      </w:r>
      <w:r>
        <w:rPr>
          <w:rFonts w:hint="eastAsia" w:asciiTheme="minorEastAsia" w:hAnsiTheme="minorEastAsia" w:eastAsiaTheme="minorEastAsia" w:cstheme="minorEastAsia"/>
          <w:color w:val="auto"/>
          <w:sz w:val="24"/>
          <w:highlight w:val="none"/>
        </w:rPr>
        <w:t>。被授权人签字的，还需附法定代表人授权委托书。</w:t>
      </w:r>
    </w:p>
    <w:p w14:paraId="426D71EE">
      <w:pPr>
        <w:pStyle w:val="3"/>
        <w:spacing w:before="120" w:beforeLines="50" w:after="120" w:afterLines="50" w:line="480" w:lineRule="exact"/>
        <w:jc w:val="center"/>
        <w:rPr>
          <w:rFonts w:ascii="宋体" w:hAnsi="宋体" w:eastAsia="宋体" w:cs="宋体"/>
          <w:color w:val="auto"/>
          <w:sz w:val="24"/>
          <w:szCs w:val="24"/>
          <w:highlight w:val="none"/>
        </w:rPr>
      </w:pPr>
      <w:bookmarkStart w:id="20" w:name="_Toc18671559"/>
      <w:bookmarkStart w:id="21" w:name="_Toc26999"/>
      <w:r>
        <w:rPr>
          <w:rFonts w:hint="eastAsia" w:ascii="宋体" w:hAnsi="宋体" w:eastAsia="宋体" w:cs="宋体"/>
          <w:color w:val="auto"/>
          <w:sz w:val="24"/>
          <w:szCs w:val="24"/>
          <w:highlight w:val="none"/>
        </w:rPr>
        <w:t>四、单一来源响应文件的递交</w:t>
      </w:r>
      <w:bookmarkEnd w:id="20"/>
      <w:bookmarkEnd w:id="21"/>
    </w:p>
    <w:p w14:paraId="5A46B418">
      <w:pPr>
        <w:spacing w:line="480" w:lineRule="exac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17、单一来源响应文件的提交</w:t>
      </w:r>
    </w:p>
    <w:p w14:paraId="5D14B3EB">
      <w:pPr>
        <w:pStyle w:val="35"/>
        <w:spacing w:line="480" w:lineRule="exac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本项目为纸质投标，在</w:t>
      </w:r>
      <w:r>
        <w:rPr>
          <w:rFonts w:hint="eastAsia" w:asciiTheme="minorEastAsia" w:hAnsiTheme="minorEastAsia" w:eastAsiaTheme="minorEastAsia" w:cstheme="minorEastAsia"/>
          <w:color w:val="auto"/>
          <w:sz w:val="24"/>
          <w:szCs w:val="24"/>
          <w:highlight w:val="none"/>
          <w:lang w:val="en-US" w:eastAsia="zh-CN"/>
        </w:rPr>
        <w:t>响应文件递交</w:t>
      </w:r>
      <w:r>
        <w:rPr>
          <w:rFonts w:hint="eastAsia" w:asciiTheme="minorEastAsia" w:hAnsiTheme="minorEastAsia" w:eastAsiaTheme="minorEastAsia" w:cstheme="minorEastAsia"/>
          <w:color w:val="auto"/>
          <w:sz w:val="24"/>
          <w:szCs w:val="24"/>
          <w:highlight w:val="none"/>
        </w:rPr>
        <w:t>截止时间前现场递交</w:t>
      </w:r>
      <w:r>
        <w:rPr>
          <w:rFonts w:hint="eastAsia" w:asciiTheme="minorEastAsia" w:hAnsiTheme="minorEastAsia" w:eastAsiaTheme="minorEastAsia" w:cstheme="minorEastAsia"/>
          <w:color w:val="auto"/>
          <w:sz w:val="24"/>
          <w:szCs w:val="24"/>
          <w:highlight w:val="none"/>
          <w:lang w:eastAsia="zh-CN"/>
        </w:rPr>
        <w:t>。</w:t>
      </w:r>
    </w:p>
    <w:p w14:paraId="63BAFA38">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18、单一来源响应文件的修改和撤回</w:t>
      </w:r>
    </w:p>
    <w:p w14:paraId="6833B439">
      <w:pPr>
        <w:pStyle w:val="35"/>
        <w:spacing w:line="48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在供应商须知前附表规定的响应文件提交截止时间前，供应商可以修改或撤回已递交的单一来源响应文件。</w:t>
      </w:r>
    </w:p>
    <w:p w14:paraId="531B6A99">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19、联合体参加单一来源协商</w:t>
      </w:r>
    </w:p>
    <w:p w14:paraId="5BE404CF">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由两家或两家以上供应商组成的联合体参与协商时，应满足以下要求：</w:t>
      </w:r>
    </w:p>
    <w:p w14:paraId="47954EBC">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19.1参加联合体的供应商均应当具备政府采购法第二十二条规定的条件，如本项目还有其他特定条件的，联合体各方中至少有一方符合特定的条件。联合体中有同类资质的供应商按照联合体分工承担相同工作的，应当按照资质等级较低的供应商确定资质等级。</w:t>
      </w:r>
    </w:p>
    <w:p w14:paraId="39B7DFAB">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19.2联合体应签订联合参与协商的协议，明确各方承担的职责和相应的责任，并授权其中的一个成员作为代表，具体进行协商、签订合同等事务。此协议或授权书应作为单一来源响应文件的一部分。</w:t>
      </w:r>
    </w:p>
    <w:p w14:paraId="5F235466">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19.3联合体中牵头方应能全权处理协商过程中的有关问题。一旦成为成交供应商，该被授权供应商应负责签订合同并负责合同的全面实施，包括合同款项的收付。</w:t>
      </w:r>
    </w:p>
    <w:p w14:paraId="24B96FE6">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19.4以联合体形式参加采购活动的，联合体各方不得再单独参加或者与其他供应商另外组成联合体参加同一合同项下的采购活动。</w:t>
      </w:r>
    </w:p>
    <w:p w14:paraId="7C91706C">
      <w:pPr>
        <w:pStyle w:val="3"/>
        <w:spacing w:before="120" w:beforeLines="50" w:after="120" w:afterLines="50" w:line="480" w:lineRule="exact"/>
        <w:jc w:val="center"/>
        <w:rPr>
          <w:rFonts w:ascii="宋体" w:hAnsi="宋体" w:eastAsia="宋体" w:cs="宋体"/>
          <w:color w:val="auto"/>
          <w:sz w:val="24"/>
          <w:szCs w:val="24"/>
          <w:highlight w:val="none"/>
        </w:rPr>
      </w:pPr>
      <w:bookmarkStart w:id="22" w:name="_Toc18671560"/>
      <w:bookmarkStart w:id="23" w:name="_Toc20301"/>
      <w:r>
        <w:rPr>
          <w:rFonts w:hint="eastAsia" w:ascii="宋体" w:hAnsi="宋体" w:eastAsia="宋体" w:cs="宋体"/>
          <w:color w:val="auto"/>
          <w:sz w:val="24"/>
          <w:szCs w:val="24"/>
          <w:highlight w:val="none"/>
        </w:rPr>
        <w:t>五、协商与评审</w:t>
      </w:r>
      <w:bookmarkEnd w:id="22"/>
      <w:bookmarkEnd w:id="23"/>
    </w:p>
    <w:p w14:paraId="239BF74F">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20、协商</w:t>
      </w:r>
    </w:p>
    <w:p w14:paraId="22D99628">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20.1采购人将在规定的时间组织协商。供应商的法定代表人或其委托的代理人应在</w:t>
      </w:r>
      <w:r>
        <w:rPr>
          <w:rFonts w:hint="eastAsia" w:asciiTheme="minorEastAsia" w:hAnsiTheme="minorEastAsia" w:eastAsiaTheme="minorEastAsia" w:cstheme="minorEastAsia"/>
          <w:color w:val="auto"/>
          <w:sz w:val="24"/>
          <w:highlight w:val="none"/>
          <w:lang w:val="en-US" w:eastAsia="zh-CN"/>
        </w:rPr>
        <w:t>现场</w:t>
      </w:r>
      <w:r>
        <w:rPr>
          <w:rFonts w:hint="eastAsia" w:asciiTheme="minorEastAsia" w:hAnsiTheme="minorEastAsia" w:eastAsiaTheme="minorEastAsia" w:cstheme="minorEastAsia"/>
          <w:color w:val="auto"/>
          <w:sz w:val="24"/>
          <w:highlight w:val="none"/>
        </w:rPr>
        <w:t>准时参加。</w:t>
      </w:r>
    </w:p>
    <w:p w14:paraId="0CBF5D61">
      <w:pPr>
        <w:tabs>
          <w:tab w:val="left" w:pos="90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20.2采购人将按规定组织相关人员组成协商小组。</w:t>
      </w:r>
    </w:p>
    <w:p w14:paraId="51B8AB35">
      <w:pPr>
        <w:tabs>
          <w:tab w:val="left" w:pos="36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20.3协商小组将首先对单一来源响应文件进行符合性评审，了解其与采购文件要求是否有偏离。</w:t>
      </w:r>
    </w:p>
    <w:p w14:paraId="73A3FE52">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20.4符合性评审结束后，协商小组将要求供应商就单一来源响应文件中含糊不清、错漏的地方或协商小组提出的其他内容进行澄清，然后与供应商就采购需求进行协商并要求供应商就之前提出的问题和技术内容进行书面确认。</w:t>
      </w:r>
      <w:r>
        <w:rPr>
          <w:rFonts w:hint="eastAsia" w:asciiTheme="minorEastAsia" w:hAnsiTheme="minorEastAsia" w:eastAsiaTheme="minorEastAsia" w:cstheme="minorEastAsia"/>
          <w:b/>
          <w:color w:val="auto"/>
          <w:sz w:val="24"/>
          <w:highlight w:val="none"/>
        </w:rPr>
        <w:t>供应商未通过符合性评审的，不进入后续程序。</w:t>
      </w:r>
    </w:p>
    <w:p w14:paraId="17324077">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20.5符合性评审通过后，协商小组与供应商进行价格协商，并确定最终合同价格。</w:t>
      </w:r>
    </w:p>
    <w:p w14:paraId="0974EA06">
      <w:pPr>
        <w:spacing w:line="480" w:lineRule="exact"/>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供应商每次报价都应当在协商小组发出报价要求后半小时内完成报价事宜。</w:t>
      </w:r>
    </w:p>
    <w:p w14:paraId="3182970A">
      <w:pPr>
        <w:spacing w:line="480" w:lineRule="exac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供应商必须在规定的时间内将自己在协商中作出的澄清、变动以及最终的报价，经供应商</w:t>
      </w:r>
      <w:r>
        <w:rPr>
          <w:rFonts w:hint="eastAsia" w:asciiTheme="minorEastAsia" w:hAnsiTheme="minorEastAsia" w:eastAsiaTheme="minorEastAsia" w:cstheme="minorEastAsia"/>
          <w:bCs/>
          <w:color w:val="auto"/>
          <w:sz w:val="24"/>
          <w:highlight w:val="none"/>
          <w:lang w:val="en-US" w:eastAsia="zh-CN"/>
        </w:rPr>
        <w:t>填写</w:t>
      </w:r>
      <w:r>
        <w:rPr>
          <w:rFonts w:hint="eastAsia" w:asciiTheme="minorEastAsia" w:hAnsiTheme="minorEastAsia" w:eastAsiaTheme="minorEastAsia" w:cstheme="minorEastAsia"/>
          <w:bCs/>
          <w:color w:val="auto"/>
          <w:sz w:val="24"/>
          <w:highlight w:val="none"/>
        </w:rPr>
        <w:t>后，以</w:t>
      </w:r>
      <w:r>
        <w:rPr>
          <w:rFonts w:hint="eastAsia" w:asciiTheme="minorEastAsia" w:hAnsiTheme="minorEastAsia" w:eastAsiaTheme="minorEastAsia" w:cstheme="minorEastAsia"/>
          <w:bCs/>
          <w:color w:val="auto"/>
          <w:sz w:val="24"/>
          <w:highlight w:val="none"/>
          <w:lang w:val="en-US" w:eastAsia="zh-CN"/>
        </w:rPr>
        <w:t>纸质</w:t>
      </w:r>
      <w:r>
        <w:rPr>
          <w:rFonts w:hint="eastAsia" w:asciiTheme="minorEastAsia" w:hAnsiTheme="minorEastAsia" w:eastAsiaTheme="minorEastAsia" w:cstheme="minorEastAsia"/>
          <w:bCs/>
          <w:color w:val="auto"/>
          <w:sz w:val="24"/>
          <w:highlight w:val="none"/>
        </w:rPr>
        <w:t>的方式提交给协商小组。</w:t>
      </w:r>
    </w:p>
    <w:p w14:paraId="7C3A5889">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21、评审</w:t>
      </w:r>
    </w:p>
    <w:p w14:paraId="061CE653">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21.1协商小组将依据供应商最终提交的确认件进行评审，并编写协商报告。</w:t>
      </w:r>
    </w:p>
    <w:p w14:paraId="717E27A7">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21.2采购人确认成交供应商后，应将结果在指定的网站公告。</w:t>
      </w:r>
    </w:p>
    <w:p w14:paraId="6FADB347">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22、异常情况处理</w:t>
      </w:r>
    </w:p>
    <w:p w14:paraId="4DB3F282">
      <w:pPr>
        <w:tabs>
          <w:tab w:val="left" w:pos="54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出现下列情形之一的，采购人或者采购代理机构应当终止采购活动，发布项目终止公告并说明原因，重新开展采购活动：</w:t>
      </w:r>
    </w:p>
    <w:p w14:paraId="49BDCBD5">
      <w:pPr>
        <w:tabs>
          <w:tab w:val="left" w:pos="54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（一）因情况变化，不再符合规定的单一来源采购方式适用情形的；</w:t>
      </w:r>
    </w:p>
    <w:p w14:paraId="4FF8EDA8">
      <w:pPr>
        <w:tabs>
          <w:tab w:val="left" w:pos="54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（二）出现影响采购公正的违法、违规行为的；</w:t>
      </w:r>
    </w:p>
    <w:p w14:paraId="526A68FF">
      <w:pPr>
        <w:tabs>
          <w:tab w:val="left" w:pos="54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（三）报价超过采购预算的；</w:t>
      </w:r>
    </w:p>
    <w:p w14:paraId="37C680F1">
      <w:pPr>
        <w:tabs>
          <w:tab w:val="left" w:pos="54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（四）因重大事故，采购任务取消的。</w:t>
      </w:r>
    </w:p>
    <w:p w14:paraId="4980FBD0">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23、供应商存在下列情况之一的，响应无效：</w:t>
      </w:r>
    </w:p>
    <w:p w14:paraId="2400B9A3">
      <w:pPr>
        <w:tabs>
          <w:tab w:val="left" w:pos="54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（一）响应文件未按采购文件要求签署、盖章的；</w:t>
      </w:r>
    </w:p>
    <w:p w14:paraId="0FA38E94">
      <w:pPr>
        <w:tabs>
          <w:tab w:val="left" w:pos="54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（二）报价超过采购文件中规定的金额或者最高限价的，采购人可以支付的除外；</w:t>
      </w:r>
    </w:p>
    <w:p w14:paraId="4D396149">
      <w:pPr>
        <w:tabs>
          <w:tab w:val="left" w:pos="54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（三）响应文件含有采购人不能接受的附加条件的；</w:t>
      </w:r>
    </w:p>
    <w:p w14:paraId="1A757B55">
      <w:pPr>
        <w:tabs>
          <w:tab w:val="left" w:pos="54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（四）法律、法规和采购文件规定的其他无效情形的；</w:t>
      </w:r>
    </w:p>
    <w:p w14:paraId="31528204">
      <w:pPr>
        <w:tabs>
          <w:tab w:val="left" w:pos="54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（五）提供虚假材料参加单一来源活动的违法、违规行为被查实的。</w:t>
      </w:r>
    </w:p>
    <w:p w14:paraId="39F0B4BD">
      <w:pPr>
        <w:pStyle w:val="3"/>
        <w:spacing w:before="120" w:beforeLines="50" w:after="120" w:afterLines="50" w:line="480" w:lineRule="exact"/>
        <w:jc w:val="center"/>
        <w:rPr>
          <w:rFonts w:ascii="宋体" w:hAnsi="宋体" w:eastAsia="宋体" w:cs="宋体"/>
          <w:color w:val="auto"/>
          <w:sz w:val="24"/>
          <w:szCs w:val="24"/>
          <w:highlight w:val="none"/>
        </w:rPr>
      </w:pPr>
      <w:bookmarkStart w:id="24" w:name="_Toc18671561"/>
      <w:bookmarkStart w:id="25" w:name="_Toc4538"/>
      <w:r>
        <w:rPr>
          <w:rFonts w:hint="eastAsia" w:ascii="宋体" w:hAnsi="宋体" w:eastAsia="宋体" w:cs="宋体"/>
          <w:color w:val="auto"/>
          <w:sz w:val="24"/>
          <w:szCs w:val="24"/>
          <w:highlight w:val="none"/>
        </w:rPr>
        <w:t>六、成交和授予合同</w:t>
      </w:r>
      <w:bookmarkEnd w:id="24"/>
      <w:bookmarkEnd w:id="25"/>
    </w:p>
    <w:p w14:paraId="73E7CE7A">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24、成交确认</w:t>
      </w:r>
    </w:p>
    <w:p w14:paraId="4FEBA8F9">
      <w:pPr>
        <w:tabs>
          <w:tab w:val="left" w:pos="0"/>
        </w:tabs>
        <w:spacing w:line="480" w:lineRule="exact"/>
        <w:rPr>
          <w:rFonts w:asciiTheme="minorEastAsia" w:hAnsiTheme="minorEastAsia" w:eastAsiaTheme="minorEastAsia" w:cstheme="minorEastAsia"/>
          <w:color w:val="auto"/>
          <w:sz w:val="24"/>
          <w:highlight w:val="none"/>
          <w:shd w:val="clear" w:color="auto" w:fill="FFFFFF"/>
        </w:rPr>
      </w:pPr>
      <w:r>
        <w:rPr>
          <w:rFonts w:hint="eastAsia" w:asciiTheme="minorEastAsia" w:hAnsiTheme="minorEastAsia" w:eastAsiaTheme="minorEastAsia" w:cstheme="minorEastAsia"/>
          <w:color w:val="auto"/>
          <w:sz w:val="24"/>
          <w:highlight w:val="none"/>
          <w:shd w:val="clear" w:color="auto" w:fill="FFFFFF"/>
        </w:rPr>
        <w:t>采购人应当在收到协商报告后5个工作日内，确定成交供应商。</w:t>
      </w:r>
    </w:p>
    <w:p w14:paraId="3EA1F90B">
      <w:pPr>
        <w:tabs>
          <w:tab w:val="left" w:pos="0"/>
        </w:tabs>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25、签订合同</w:t>
      </w:r>
    </w:p>
    <w:p w14:paraId="304F4F51">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shd w:val="clear" w:color="auto" w:fill="FFFFFF"/>
        </w:rPr>
        <w:t>25</w:t>
      </w:r>
      <w:r>
        <w:rPr>
          <w:rFonts w:hint="eastAsia" w:asciiTheme="minorEastAsia" w:hAnsiTheme="minorEastAsia" w:eastAsiaTheme="minorEastAsia" w:cstheme="minorEastAsia"/>
          <w:color w:val="auto"/>
          <w:sz w:val="24"/>
          <w:highlight w:val="none"/>
        </w:rPr>
        <w:t>.1采购</w:t>
      </w:r>
      <w:r>
        <w:rPr>
          <w:rFonts w:hint="eastAsia" w:asciiTheme="minorEastAsia" w:hAnsiTheme="minorEastAsia" w:eastAsiaTheme="minorEastAsia" w:cstheme="minorEastAsia"/>
          <w:color w:val="auto"/>
          <w:sz w:val="24"/>
          <w:highlight w:val="none"/>
          <w:shd w:val="clear" w:color="auto" w:fill="FFFFFF"/>
        </w:rPr>
        <w:t>人应尽量缩短采购合同签订时间，按照采购文件确定的合同文本以及采购标的、规格型号、采购金额、采购数量、技术和服务要求等事项签订采购合同，不得晚于中标（成交）通知书发放之日起 7 个工作日。无正当理由不得拒绝或者拖延签订合同，因供应商自身原因导致无法及时签订的除外。</w:t>
      </w:r>
    </w:p>
    <w:p w14:paraId="12A3D037">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25.2政府采购合同在履行中可追加与合同标的相同的服务，但采购金额不得超过原合同采购金额的10%。</w:t>
      </w:r>
    </w:p>
    <w:p w14:paraId="7DFC35BD">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25.3成交供应商拒绝与采购人签订合同的，将按相关规定进行处理。成交通知书发出后，采购人无正当理由不与成交供应商签订采购合同的，将依据相关规定给予处理。</w:t>
      </w:r>
    </w:p>
    <w:p w14:paraId="18A88CF5">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25.4因政策变化等原因不能签订合同，造成企业合法利益受损的情形，采购人可以与供应商充分协商，给予合理补偿。</w:t>
      </w:r>
    </w:p>
    <w:p w14:paraId="3B625E83">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25.5在签订合同时，供应商书面明确表示无需预付款或者主动要求降低预付款比例的，采购人可不适用前述（即付款方式）规定。</w:t>
      </w:r>
    </w:p>
    <w:p w14:paraId="5D2381B6">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25.6采购文件和合同中没有约定预付款的，经供应商申请，采购人可以支付预付款。</w:t>
      </w:r>
    </w:p>
    <w:p w14:paraId="2804A138">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25.7采购人可根据项目特点、供应商诚信等因素，要求供应商提交银行、保险公司、担保公司等金融机构出具的预付款保函或其他担保措施。</w:t>
      </w:r>
    </w:p>
    <w:p w14:paraId="2E4905E3">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25.8政府采购预付款应在合同、担保措施生效以及具备实施条件后 5 个工作日内支付。</w:t>
      </w:r>
    </w:p>
    <w:p w14:paraId="4F52624C">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25.9延迟支付中小企业款项的，供应商可要求采购人按照合同约定支付逾期利息，合同没有约定的，按照同期人民银行 LPR支付逾期利息。</w:t>
      </w:r>
    </w:p>
    <w:p w14:paraId="1A5AC5A3">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25.10 成交供应商无正当理由不与采购人订立合同的处罚依据：</w:t>
      </w:r>
    </w:p>
    <w:p w14:paraId="445934D5">
      <w:pPr>
        <w:pStyle w:val="15"/>
        <w:spacing w:after="0" w:line="480" w:lineRule="exact"/>
        <w:ind w:firstLine="0"/>
        <w:rPr>
          <w:color w:val="auto"/>
          <w:highlight w:val="none"/>
        </w:rPr>
      </w:pPr>
      <w:r>
        <w:rPr>
          <w:rFonts w:hint="eastAsia"/>
          <w:color w:val="auto"/>
          <w:highlight w:val="none"/>
        </w:rPr>
        <w:t>（1）《中华人民共和国政府采购法实施条例》</w:t>
      </w:r>
    </w:p>
    <w:p w14:paraId="128BBFA3">
      <w:pPr>
        <w:pStyle w:val="15"/>
        <w:spacing w:after="0" w:line="480" w:lineRule="exact"/>
        <w:ind w:firstLine="0"/>
        <w:rPr>
          <w:color w:val="auto"/>
          <w:highlight w:val="none"/>
        </w:rPr>
      </w:pPr>
      <w:r>
        <w:rPr>
          <w:rFonts w:hint="eastAsia"/>
          <w:color w:val="auto"/>
          <w:highlight w:val="none"/>
        </w:rPr>
        <w:t>第七十二条 供应商有下列情形之一的，依照政府采购法第七十七条第一款的规定追究法律责任：……</w:t>
      </w:r>
    </w:p>
    <w:p w14:paraId="7D14500C">
      <w:pPr>
        <w:pStyle w:val="15"/>
        <w:spacing w:after="0" w:line="480" w:lineRule="exact"/>
        <w:ind w:firstLine="0"/>
        <w:rPr>
          <w:color w:val="auto"/>
          <w:highlight w:val="none"/>
        </w:rPr>
      </w:pPr>
      <w:r>
        <w:rPr>
          <w:rFonts w:hint="eastAsia"/>
          <w:color w:val="auto"/>
          <w:highlight w:val="none"/>
        </w:rPr>
        <w:t>（二）中标或者成交后无正当理由拒不与采购人签订政府采购合同；……</w:t>
      </w:r>
    </w:p>
    <w:p w14:paraId="2BE8E449">
      <w:pPr>
        <w:pStyle w:val="15"/>
        <w:spacing w:after="0" w:line="480" w:lineRule="exact"/>
        <w:ind w:firstLine="0"/>
        <w:rPr>
          <w:color w:val="auto"/>
          <w:highlight w:val="none"/>
        </w:rPr>
      </w:pPr>
      <w:r>
        <w:rPr>
          <w:rFonts w:hint="eastAsia"/>
          <w:color w:val="auto"/>
          <w:highlight w:val="none"/>
        </w:rPr>
        <w:t>（2）《中华人民共和国政府采购法》</w:t>
      </w:r>
    </w:p>
    <w:p w14:paraId="01122CE4">
      <w:pPr>
        <w:pStyle w:val="15"/>
        <w:spacing w:after="0" w:line="480" w:lineRule="exact"/>
        <w:ind w:firstLine="0"/>
        <w:rPr>
          <w:color w:val="auto"/>
          <w:highlight w:val="none"/>
        </w:rPr>
      </w:pPr>
      <w:r>
        <w:rPr>
          <w:rFonts w:hint="eastAsia"/>
          <w:color w:val="auto"/>
          <w:highlight w:val="none"/>
        </w:rPr>
        <w:t>第七十七条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5B2876D">
      <w:pPr>
        <w:pStyle w:val="15"/>
        <w:spacing w:after="0" w:line="480" w:lineRule="exact"/>
        <w:ind w:firstLine="0"/>
        <w:rPr>
          <w:color w:val="auto"/>
          <w:highlight w:val="none"/>
        </w:rPr>
      </w:pPr>
      <w:r>
        <w:rPr>
          <w:rFonts w:hint="eastAsia"/>
          <w:color w:val="auto"/>
          <w:highlight w:val="none"/>
        </w:rPr>
        <w:t>（3）《政府采购非招标采购方式管理办法》（财政部令第74号）</w:t>
      </w:r>
    </w:p>
    <w:p w14:paraId="28A48336">
      <w:pPr>
        <w:pStyle w:val="15"/>
        <w:spacing w:after="0" w:line="480" w:lineRule="exact"/>
        <w:ind w:firstLine="120" w:firstLineChars="50"/>
        <w:rPr>
          <w:color w:val="auto"/>
          <w:highlight w:val="none"/>
        </w:rPr>
      </w:pPr>
      <w:r>
        <w:rPr>
          <w:rFonts w:hint="eastAsia"/>
          <w:color w:val="auto"/>
          <w:highlight w:val="none"/>
        </w:rPr>
        <w:t>第五十四条 成交供应商有下列情形之一的，责令限期整改，情节严重的，列入不良行为记录名单，在1至3年内禁止参加政府采购活动，并予以通报：……</w:t>
      </w:r>
    </w:p>
    <w:p w14:paraId="1EBAF858">
      <w:pPr>
        <w:pStyle w:val="15"/>
        <w:spacing w:after="0" w:line="480" w:lineRule="exact"/>
        <w:ind w:firstLine="0"/>
        <w:rPr>
          <w:rFonts w:asciiTheme="minorEastAsia" w:hAnsiTheme="minorEastAsia" w:eastAsiaTheme="minorEastAsia" w:cstheme="minorEastAsia"/>
          <w:color w:val="auto"/>
          <w:highlight w:val="none"/>
        </w:rPr>
      </w:pPr>
      <w:r>
        <w:rPr>
          <w:rFonts w:hint="eastAsia"/>
          <w:color w:val="auto"/>
          <w:highlight w:val="none"/>
        </w:rPr>
        <w:t>（二）成交后无正当理由不与采购人签订合同的；……</w:t>
      </w:r>
    </w:p>
    <w:p w14:paraId="7392E441">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26、履约保证金</w:t>
      </w:r>
    </w:p>
    <w:p w14:paraId="04A5A9EA">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26.1成交供应商在签订合同前必须按单一来源文件的规定，及时、足额交纳履约保证金。</w:t>
      </w:r>
    </w:p>
    <w:p w14:paraId="7C47A6F7">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26.2履约保证金是督促成交供应商按时、按质、按量履行合同的一个经济制约手段。当采购人因成交供应商违约而造成损失时，可在无须征得成交供应商同意的情况下首先从其所交纳的履约保证金中获取相应的补偿。</w:t>
      </w:r>
    </w:p>
    <w:bookmarkEnd w:id="14"/>
    <w:bookmarkEnd w:id="15"/>
    <w:p w14:paraId="15CC37AC">
      <w:pPr>
        <w:spacing w:line="480" w:lineRule="exact"/>
        <w:rPr>
          <w:rFonts w:asciiTheme="minorEastAsia" w:hAnsiTheme="minorEastAsia" w:eastAsiaTheme="minorEastAsia" w:cstheme="minorEastAsia"/>
          <w:b/>
          <w:color w:val="auto"/>
          <w:sz w:val="24"/>
          <w:highlight w:val="none"/>
        </w:rPr>
      </w:pPr>
      <w:bookmarkStart w:id="26" w:name="_Toc27142"/>
      <w:bookmarkStart w:id="27" w:name="_Toc14936"/>
      <w:bookmarkStart w:id="28" w:name="_Toc533314955"/>
      <w:bookmarkStart w:id="29" w:name="_Toc272163837"/>
      <w:r>
        <w:rPr>
          <w:rFonts w:hint="eastAsia" w:asciiTheme="minorEastAsia" w:hAnsiTheme="minorEastAsia" w:eastAsiaTheme="minorEastAsia" w:cstheme="minorEastAsia"/>
          <w:b/>
          <w:color w:val="auto"/>
          <w:sz w:val="24"/>
          <w:highlight w:val="none"/>
        </w:rPr>
        <w:t>27、验收</w:t>
      </w:r>
      <w:bookmarkEnd w:id="26"/>
      <w:bookmarkEnd w:id="27"/>
      <w:r>
        <w:rPr>
          <w:rFonts w:hint="eastAsia" w:asciiTheme="minorEastAsia" w:hAnsiTheme="minorEastAsia" w:eastAsiaTheme="minorEastAsia" w:cstheme="minorEastAsia"/>
          <w:b/>
          <w:color w:val="auto"/>
          <w:sz w:val="24"/>
          <w:highlight w:val="none"/>
        </w:rPr>
        <w:t>与支付</w:t>
      </w:r>
    </w:p>
    <w:p w14:paraId="11C993FB">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27.1采购人应当在项目完成且收到供应商验收申请后 5 个工作日内组织开展履约验收。</w:t>
      </w:r>
    </w:p>
    <w:p w14:paraId="4B99CEE4">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27.2采购人验收时，应成立三人以上（由合同双方、资产管理人、技术人员、纪检等相关人员组成）验收小组，明确责任，严格依照采购文件、成交通知书、政府采购合同及相关验收规范进行核对、验收，形成验收结论，并出具书面验收报告。</w:t>
      </w:r>
    </w:p>
    <w:p w14:paraId="0BB0AF76">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27.3涉及安全、消防、环保等其他需要由质检或行业主管部门进行验收的项目，必须邀请相关部门或相关专家参与验收。</w:t>
      </w:r>
    </w:p>
    <w:p w14:paraId="3F5EA867">
      <w:pPr>
        <w:tabs>
          <w:tab w:val="left" w:pos="0"/>
        </w:tabs>
        <w:spacing w:line="480" w:lineRule="exact"/>
        <w:rPr>
          <w:rFonts w:hint="eastAsia" w:ascii="宋体" w:hAnsi="宋体" w:eastAsia="宋体" w:cs="宋体"/>
          <w:b/>
          <w:color w:val="auto"/>
          <w:sz w:val="24"/>
          <w:szCs w:val="24"/>
          <w:highlight w:val="none"/>
        </w:rPr>
      </w:pPr>
      <w:r>
        <w:rPr>
          <w:rFonts w:hint="eastAsia" w:asciiTheme="minorEastAsia" w:hAnsiTheme="minorEastAsia" w:eastAsiaTheme="minorEastAsia" w:cstheme="minorEastAsia"/>
          <w:color w:val="auto"/>
          <w:sz w:val="24"/>
          <w:highlight w:val="none"/>
        </w:rPr>
        <w:t>27.4对于符合支付条件的项目，应在收到发票后7个工作日内将资金支付到合同约定的供应商账户，不得以进行审计作为支付供应商款项的条件。采购人不得以机构变动、人员更替、政策调整、履行内部付款流程等为由延迟付款。</w:t>
      </w:r>
      <w:bookmarkStart w:id="30" w:name="_Toc29961"/>
      <w:bookmarkStart w:id="31" w:name="_Toc220232392"/>
      <w:bookmarkStart w:id="32" w:name="_Toc463733011"/>
    </w:p>
    <w:p w14:paraId="3894CB3F">
      <w:pPr>
        <w:pStyle w:val="2"/>
        <w:spacing w:before="120" w:beforeLines="50" w:after="120" w:afterLines="50" w:line="560" w:lineRule="exact"/>
        <w:ind w:left="0" w:leftChars="0" w:firstLine="0" w:firstLineChars="0"/>
        <w:jc w:val="center"/>
        <w:rPr>
          <w:rFonts w:hint="eastAsia" w:ascii="宋体" w:hAnsi="宋体" w:eastAsia="宋体" w:cs="宋体"/>
          <w:b/>
          <w:color w:val="auto"/>
          <w:sz w:val="24"/>
          <w:szCs w:val="24"/>
          <w:highlight w:val="none"/>
        </w:rPr>
      </w:pPr>
    </w:p>
    <w:p w14:paraId="741801DC">
      <w:pPr>
        <w:pStyle w:val="2"/>
        <w:spacing w:before="120" w:beforeLines="50" w:after="120" w:afterLines="50" w:line="560" w:lineRule="exact"/>
        <w:ind w:left="0" w:leftChars="0" w:firstLine="0" w:firstLineChars="0"/>
        <w:jc w:val="center"/>
        <w:rPr>
          <w:rFonts w:hint="eastAsia" w:ascii="宋体" w:hAnsi="宋体" w:eastAsia="宋体" w:cs="宋体"/>
          <w:b/>
          <w:color w:val="auto"/>
          <w:sz w:val="24"/>
          <w:szCs w:val="24"/>
          <w:highlight w:val="none"/>
        </w:rPr>
      </w:pPr>
    </w:p>
    <w:p w14:paraId="16DE2745">
      <w:pPr>
        <w:pStyle w:val="2"/>
        <w:spacing w:before="120" w:beforeLines="50" w:after="120" w:afterLines="50" w:line="560" w:lineRule="exact"/>
        <w:ind w:left="0" w:leftChars="0" w:firstLine="0" w:firstLineChars="0"/>
        <w:jc w:val="center"/>
        <w:rPr>
          <w:rFonts w:hint="eastAsia" w:ascii="宋体" w:hAnsi="宋体" w:eastAsia="宋体" w:cs="宋体"/>
          <w:b/>
          <w:color w:val="auto"/>
          <w:sz w:val="24"/>
          <w:szCs w:val="24"/>
          <w:highlight w:val="none"/>
        </w:rPr>
      </w:pPr>
    </w:p>
    <w:p w14:paraId="6BE9A2C4">
      <w:pPr>
        <w:pStyle w:val="2"/>
        <w:spacing w:before="120" w:beforeLines="50" w:after="120" w:afterLines="50" w:line="560" w:lineRule="exact"/>
        <w:ind w:left="0" w:leftChars="0" w:firstLine="0" w:firstLineChars="0"/>
        <w:jc w:val="center"/>
        <w:rPr>
          <w:rFonts w:hint="eastAsia" w:ascii="宋体" w:hAnsi="宋体" w:eastAsia="宋体" w:cs="宋体"/>
          <w:b/>
          <w:color w:val="auto"/>
          <w:sz w:val="24"/>
          <w:szCs w:val="24"/>
          <w:highlight w:val="none"/>
        </w:rPr>
      </w:pPr>
    </w:p>
    <w:p w14:paraId="694867DF">
      <w:pPr>
        <w:pStyle w:val="2"/>
        <w:spacing w:before="120" w:beforeLines="50" w:after="120" w:afterLines="50" w:line="560" w:lineRule="exact"/>
        <w:ind w:left="0" w:leftChars="0" w:firstLine="0" w:firstLineChars="0"/>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第四章  采购合同</w:t>
      </w:r>
      <w:bookmarkEnd w:id="30"/>
      <w:bookmarkEnd w:id="31"/>
      <w:bookmarkEnd w:id="32"/>
    </w:p>
    <w:p w14:paraId="7D5497A1">
      <w:pPr>
        <w:spacing w:before="78" w:line="220" w:lineRule="auto"/>
        <w:jc w:val="center"/>
        <w:rPr>
          <w:rFonts w:hint="eastAsia" w:ascii="宋体" w:hAnsi="宋体" w:eastAsia="宋体" w:cs="宋体"/>
          <w:color w:val="auto"/>
          <w:spacing w:val="-6"/>
          <w:sz w:val="24"/>
          <w:highlight w:val="none"/>
          <w:lang w:eastAsia="zh-CN"/>
        </w:rPr>
      </w:pPr>
      <w:r>
        <w:rPr>
          <w:rFonts w:hint="eastAsia" w:ascii="宋体" w:hAnsi="宋体" w:eastAsia="宋体" w:cs="宋体"/>
          <w:color w:val="auto"/>
          <w:spacing w:val="-6"/>
          <w:sz w:val="24"/>
          <w:highlight w:val="none"/>
          <w:lang w:eastAsia="zh-CN"/>
        </w:rPr>
        <w:t>（</w:t>
      </w:r>
      <w:r>
        <w:rPr>
          <w:rFonts w:hint="eastAsia" w:ascii="宋体" w:hAnsi="宋体" w:eastAsia="宋体" w:cs="宋体"/>
          <w:color w:val="auto"/>
          <w:spacing w:val="-6"/>
          <w:sz w:val="24"/>
          <w:highlight w:val="none"/>
          <w:lang w:val="en-US" w:eastAsia="zh-CN"/>
        </w:rPr>
        <w:t>甲乙双方自行拟定</w:t>
      </w:r>
      <w:r>
        <w:rPr>
          <w:rFonts w:hint="eastAsia" w:ascii="宋体" w:hAnsi="宋体" w:eastAsia="宋体" w:cs="宋体"/>
          <w:color w:val="auto"/>
          <w:spacing w:val="-6"/>
          <w:sz w:val="24"/>
          <w:highlight w:val="none"/>
          <w:lang w:eastAsia="zh-CN"/>
        </w:rPr>
        <w:t>）</w:t>
      </w:r>
    </w:p>
    <w:p w14:paraId="68E01BFC">
      <w:pPr>
        <w:spacing w:line="253" w:lineRule="auto"/>
        <w:rPr>
          <w:color w:val="auto"/>
          <w:highlight w:val="none"/>
        </w:rPr>
      </w:pPr>
    </w:p>
    <w:p w14:paraId="54DC687F">
      <w:pPr>
        <w:spacing w:line="254" w:lineRule="auto"/>
        <w:rPr>
          <w:color w:val="auto"/>
          <w:highlight w:val="none"/>
        </w:rPr>
      </w:pPr>
    </w:p>
    <w:p w14:paraId="7B85AEDE">
      <w:pPr>
        <w:spacing w:line="254" w:lineRule="auto"/>
        <w:rPr>
          <w:color w:val="auto"/>
          <w:highlight w:val="none"/>
        </w:rPr>
      </w:pPr>
    </w:p>
    <w:p w14:paraId="4EE777CC">
      <w:pPr>
        <w:spacing w:before="79" w:line="220" w:lineRule="auto"/>
        <w:ind w:left="998"/>
        <w:rPr>
          <w:rFonts w:ascii="宋体" w:hAnsi="宋体" w:cs="宋体"/>
          <w:color w:val="auto"/>
          <w:sz w:val="24"/>
          <w:highlight w:val="none"/>
        </w:rPr>
      </w:pPr>
    </w:p>
    <w:p w14:paraId="7A28A4DA">
      <w:pPr>
        <w:rPr>
          <w:color w:val="auto"/>
          <w:highlight w:val="none"/>
        </w:rPr>
        <w:sectPr>
          <w:footerReference r:id="rId4" w:type="default"/>
          <w:pgSz w:w="11907" w:h="16839"/>
          <w:pgMar w:top="1118" w:right="1769" w:bottom="1233" w:left="1771" w:header="877" w:footer="982" w:gutter="0"/>
          <w:pgNumType w:fmt="decimal" w:start="1"/>
          <w:cols w:space="720" w:num="1"/>
        </w:sectPr>
      </w:pPr>
    </w:p>
    <w:p w14:paraId="515DF485">
      <w:pPr>
        <w:keepNext w:val="0"/>
        <w:keepLines w:val="0"/>
        <w:pageBreakBefore w:val="0"/>
        <w:widowControl w:val="0"/>
        <w:numPr>
          <w:ilvl w:val="255"/>
          <w:numId w:val="0"/>
        </w:numPr>
        <w:kinsoku/>
        <w:wordWrap/>
        <w:overflowPunct/>
        <w:topLinePunct w:val="0"/>
        <w:autoSpaceDE/>
        <w:autoSpaceDN/>
        <w:bidi w:val="0"/>
        <w:adjustRightInd/>
        <w:snapToGrid/>
        <w:spacing w:line="360" w:lineRule="auto"/>
        <w:jc w:val="center"/>
        <w:textAlignment w:val="auto"/>
        <w:rPr>
          <w:rFonts w:ascii="宋体" w:hAnsi="宋体" w:cs="宋体"/>
          <w:b/>
          <w:bCs/>
          <w:color w:val="auto"/>
          <w:kern w:val="0"/>
          <w:sz w:val="24"/>
          <w:highlight w:val="none"/>
        </w:rPr>
      </w:pPr>
      <w:bookmarkStart w:id="33" w:name="_Toc2581"/>
      <w:r>
        <w:rPr>
          <w:rStyle w:val="39"/>
          <w:rFonts w:hint="eastAsia" w:ascii="宋体" w:hAnsi="宋体" w:eastAsia="宋体" w:cs="宋体"/>
          <w:color w:val="auto"/>
          <w:sz w:val="24"/>
          <w:szCs w:val="24"/>
          <w:highlight w:val="none"/>
        </w:rPr>
        <w:t>第五章</w:t>
      </w:r>
      <w:r>
        <w:rPr>
          <w:rStyle w:val="39"/>
          <w:rFonts w:hint="eastAsia" w:ascii="宋体" w:hAnsi="宋体" w:cs="宋体"/>
          <w:color w:val="auto"/>
          <w:sz w:val="24"/>
          <w:szCs w:val="24"/>
          <w:highlight w:val="none"/>
        </w:rPr>
        <w:t xml:space="preserve">  </w:t>
      </w:r>
      <w:r>
        <w:rPr>
          <w:rStyle w:val="39"/>
          <w:rFonts w:hint="eastAsia" w:ascii="宋体" w:hAnsi="宋体" w:eastAsia="宋体" w:cs="宋体"/>
          <w:color w:val="auto"/>
          <w:sz w:val="24"/>
          <w:szCs w:val="24"/>
          <w:highlight w:val="none"/>
        </w:rPr>
        <w:t>采购需求</w:t>
      </w:r>
      <w:bookmarkEnd w:id="33"/>
    </w:p>
    <w:p w14:paraId="1272890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eastAsia="宋体"/>
          <w:b/>
          <w:bCs/>
          <w:color w:val="auto"/>
          <w:sz w:val="24"/>
          <w:szCs w:val="24"/>
          <w:highlight w:val="none"/>
          <w:lang w:val="en-US" w:eastAsia="zh-CN"/>
        </w:rPr>
      </w:pPr>
      <w:r>
        <w:rPr>
          <w:rFonts w:hint="default" w:eastAsia="宋体"/>
          <w:b/>
          <w:bCs/>
          <w:color w:val="auto"/>
          <w:sz w:val="24"/>
          <w:szCs w:val="24"/>
          <w:highlight w:val="none"/>
          <w:lang w:val="en-US" w:eastAsia="zh-CN"/>
        </w:rPr>
        <w:t>1.迁移目标：</w:t>
      </w:r>
    </w:p>
    <w:p w14:paraId="27C24DC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eastAsia="宋体"/>
          <w:color w:val="auto"/>
          <w:sz w:val="24"/>
          <w:szCs w:val="24"/>
          <w:highlight w:val="none"/>
          <w:lang w:val="en-US" w:eastAsia="zh-CN"/>
        </w:rPr>
      </w:pPr>
      <w:r>
        <w:rPr>
          <w:rFonts w:hint="default" w:eastAsia="宋体"/>
          <w:color w:val="auto"/>
          <w:sz w:val="24"/>
          <w:szCs w:val="24"/>
          <w:highlight w:val="none"/>
          <w:lang w:val="en-US" w:eastAsia="zh-CN"/>
        </w:rPr>
        <w:t>实现HIS、PACS、LIS、体检系统的平滑迁移，确保系统功能完整性、数据一致性及业务连续性。</w:t>
      </w:r>
    </w:p>
    <w:p w14:paraId="229FFBA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eastAsia="宋体"/>
          <w:b/>
          <w:bCs/>
          <w:color w:val="auto"/>
          <w:sz w:val="24"/>
          <w:szCs w:val="24"/>
          <w:highlight w:val="none"/>
          <w:lang w:val="en-US" w:eastAsia="zh-CN"/>
        </w:rPr>
      </w:pPr>
      <w:r>
        <w:rPr>
          <w:rFonts w:hint="default" w:eastAsia="宋体"/>
          <w:b/>
          <w:bCs/>
          <w:color w:val="auto"/>
          <w:sz w:val="24"/>
          <w:szCs w:val="24"/>
          <w:highlight w:val="none"/>
          <w:lang w:val="en-US" w:eastAsia="zh-CN"/>
        </w:rPr>
        <w:t>2.迁移范围：</w:t>
      </w:r>
    </w:p>
    <w:p w14:paraId="585F505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eastAsia="宋体"/>
          <w:color w:val="auto"/>
          <w:sz w:val="24"/>
          <w:szCs w:val="24"/>
          <w:highlight w:val="none"/>
          <w:lang w:val="en-US" w:eastAsia="zh-CN"/>
        </w:rPr>
      </w:pPr>
      <w:r>
        <w:rPr>
          <w:rFonts w:hint="default" w:eastAsia="宋体"/>
          <w:color w:val="auto"/>
          <w:sz w:val="24"/>
          <w:szCs w:val="24"/>
          <w:highlight w:val="none"/>
          <w:lang w:val="en-US" w:eastAsia="zh-CN"/>
        </w:rPr>
        <w:t>涵盖系统数据（结构化/非结构化数据，如电子病历、医学影像、检验结果、体检报告等）、应用系统（核心业务模块、接口服务、辅助功能）及硬件/环境适配。</w:t>
      </w:r>
    </w:p>
    <w:p w14:paraId="7612125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eastAsia="宋体"/>
          <w:b/>
          <w:bCs/>
          <w:color w:val="auto"/>
          <w:sz w:val="24"/>
          <w:szCs w:val="24"/>
          <w:highlight w:val="none"/>
          <w:lang w:val="en-US" w:eastAsia="zh-CN"/>
        </w:rPr>
      </w:pPr>
      <w:r>
        <w:rPr>
          <w:rFonts w:hint="default" w:eastAsia="宋体"/>
          <w:b/>
          <w:bCs/>
          <w:color w:val="auto"/>
          <w:sz w:val="24"/>
          <w:szCs w:val="24"/>
          <w:highlight w:val="none"/>
          <w:lang w:val="en-US" w:eastAsia="zh-CN"/>
        </w:rPr>
        <w:t>3.技术要求：</w:t>
      </w:r>
    </w:p>
    <w:p w14:paraId="1145A35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eastAsia="宋体"/>
          <w:color w:val="auto"/>
          <w:sz w:val="24"/>
          <w:szCs w:val="24"/>
          <w:highlight w:val="none"/>
          <w:lang w:val="en-US" w:eastAsia="zh-CN"/>
        </w:rPr>
      </w:pPr>
      <w:r>
        <w:rPr>
          <w:rFonts w:hint="eastAsia"/>
          <w:color w:val="auto"/>
          <w:sz w:val="24"/>
          <w:szCs w:val="24"/>
          <w:highlight w:val="none"/>
          <w:lang w:val="en-US" w:eastAsia="zh-CN"/>
        </w:rPr>
        <w:t>（1）</w:t>
      </w:r>
      <w:r>
        <w:rPr>
          <w:rFonts w:hint="default" w:eastAsia="宋体"/>
          <w:color w:val="auto"/>
          <w:sz w:val="24"/>
          <w:szCs w:val="24"/>
          <w:highlight w:val="none"/>
          <w:lang w:val="en-US" w:eastAsia="zh-CN"/>
        </w:rPr>
        <w:t>数据迁移：保证数据零丢失、一致性（通过MD5校验、数据比对工具验证）；支持增量迁移（实时同步迁移过程中新增数据）；数据传输与存储加密（符合《医疗数据安全管理规范》）。</w:t>
      </w:r>
    </w:p>
    <w:p w14:paraId="556480D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eastAsia="宋体"/>
          <w:color w:val="auto"/>
          <w:sz w:val="24"/>
          <w:szCs w:val="24"/>
          <w:highlight w:val="none"/>
          <w:lang w:val="en-US" w:eastAsia="zh-CN"/>
        </w:rPr>
      </w:pPr>
      <w:r>
        <w:rPr>
          <w:rFonts w:hint="eastAsia"/>
          <w:color w:val="auto"/>
          <w:sz w:val="24"/>
          <w:szCs w:val="24"/>
          <w:highlight w:val="none"/>
          <w:lang w:val="en-US" w:eastAsia="zh-CN"/>
        </w:rPr>
        <w:t>（2）</w:t>
      </w:r>
      <w:r>
        <w:rPr>
          <w:rFonts w:hint="default" w:eastAsia="宋体"/>
          <w:color w:val="auto"/>
          <w:sz w:val="24"/>
          <w:szCs w:val="24"/>
          <w:highlight w:val="none"/>
          <w:lang w:val="en-US" w:eastAsia="zh-CN"/>
        </w:rPr>
        <w:t>系统兼容性：迁移后系统需兼容原有业务流程（如门诊挂号、住院结算）及现有医院信息系统（电子签名、医保接口）；适配目标环境技术标准（如容器化、K8s编排）。</w:t>
      </w:r>
    </w:p>
    <w:p w14:paraId="412ACDF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eastAsia="宋体"/>
          <w:color w:val="auto"/>
          <w:sz w:val="24"/>
          <w:szCs w:val="24"/>
          <w:highlight w:val="none"/>
          <w:lang w:val="en-US" w:eastAsia="zh-CN"/>
        </w:rPr>
      </w:pPr>
      <w:r>
        <w:rPr>
          <w:rFonts w:hint="eastAsia"/>
          <w:color w:val="auto"/>
          <w:sz w:val="24"/>
          <w:szCs w:val="24"/>
          <w:highlight w:val="none"/>
          <w:lang w:val="en-US" w:eastAsia="zh-CN"/>
        </w:rPr>
        <w:t>（3）</w:t>
      </w:r>
      <w:r>
        <w:rPr>
          <w:rFonts w:hint="default" w:eastAsia="宋体"/>
          <w:color w:val="auto"/>
          <w:sz w:val="24"/>
          <w:szCs w:val="24"/>
          <w:highlight w:val="none"/>
          <w:lang w:val="en-US" w:eastAsia="zh-CN"/>
        </w:rPr>
        <w:t>业务连续性：迁移过程中业务 downtime 不超过4小时；采用分阶段迁移策略（先非核心模块、后核心模块）；制定回滚方案，30分钟内启动回滚恢复原有系统。</w:t>
      </w:r>
    </w:p>
    <w:p w14:paraId="127ADD8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eastAsia="宋体"/>
          <w:color w:val="auto"/>
          <w:sz w:val="24"/>
          <w:szCs w:val="24"/>
          <w:highlight w:val="none"/>
          <w:lang w:val="en-US" w:eastAsia="zh-CN"/>
        </w:rPr>
      </w:pPr>
      <w:r>
        <w:rPr>
          <w:rFonts w:hint="default" w:eastAsia="宋体"/>
          <w:color w:val="auto"/>
          <w:sz w:val="24"/>
          <w:szCs w:val="24"/>
          <w:highlight w:val="none"/>
          <w:lang w:val="en-US" w:eastAsia="zh-CN"/>
        </w:rPr>
        <w:t>安全要求：符合《网络安全法》《医疗保障数据安全管理规范》；严格权限控制（最小权限原则）；迁移完成后进行安全审计（数据访问日志查看、权限验证）。</w:t>
      </w:r>
    </w:p>
    <w:p w14:paraId="4D1FA6D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eastAsia="宋体"/>
          <w:b/>
          <w:bCs/>
          <w:color w:val="auto"/>
          <w:sz w:val="24"/>
          <w:szCs w:val="24"/>
          <w:highlight w:val="none"/>
          <w:lang w:val="en-US" w:eastAsia="zh-CN"/>
        </w:rPr>
      </w:pPr>
      <w:r>
        <w:rPr>
          <w:rFonts w:hint="default" w:eastAsia="宋体"/>
          <w:b/>
          <w:bCs/>
          <w:color w:val="auto"/>
          <w:sz w:val="24"/>
          <w:szCs w:val="24"/>
          <w:highlight w:val="none"/>
          <w:lang w:val="en-US" w:eastAsia="zh-CN"/>
        </w:rPr>
        <w:t>4.服务内容：</w:t>
      </w:r>
    </w:p>
    <w:p w14:paraId="27F39FC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eastAsia="宋体"/>
          <w:color w:val="auto"/>
          <w:sz w:val="24"/>
          <w:szCs w:val="24"/>
          <w:highlight w:val="none"/>
          <w:lang w:val="en-US" w:eastAsia="zh-CN"/>
        </w:rPr>
      </w:pPr>
      <w:r>
        <w:rPr>
          <w:rFonts w:hint="eastAsia"/>
          <w:color w:val="auto"/>
          <w:sz w:val="24"/>
          <w:szCs w:val="24"/>
          <w:highlight w:val="none"/>
          <w:lang w:val="en-US" w:eastAsia="zh-CN"/>
        </w:rPr>
        <w:t>（1）</w:t>
      </w:r>
      <w:r>
        <w:rPr>
          <w:rFonts w:hint="default" w:eastAsia="宋体"/>
          <w:color w:val="auto"/>
          <w:sz w:val="24"/>
          <w:szCs w:val="24"/>
          <w:highlight w:val="none"/>
          <w:lang w:val="en-US" w:eastAsia="zh-CN"/>
        </w:rPr>
        <w:t>迁移方案设计：针对现有系统架构（服务器、数据库、网络拓扑）及目标环境，制定包含步骤、时间计划、风险应对的详细方案。</w:t>
      </w:r>
    </w:p>
    <w:p w14:paraId="28C16C0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eastAsia="宋体"/>
          <w:color w:val="auto"/>
          <w:sz w:val="24"/>
          <w:szCs w:val="24"/>
          <w:highlight w:val="none"/>
          <w:lang w:val="en-US" w:eastAsia="zh-CN"/>
        </w:rPr>
      </w:pPr>
      <w:r>
        <w:rPr>
          <w:rFonts w:hint="eastAsia"/>
          <w:color w:val="auto"/>
          <w:sz w:val="24"/>
          <w:szCs w:val="24"/>
          <w:highlight w:val="none"/>
          <w:lang w:val="en-US" w:eastAsia="zh-CN"/>
        </w:rPr>
        <w:t>（2）</w:t>
      </w:r>
      <w:r>
        <w:rPr>
          <w:rFonts w:hint="default" w:eastAsia="宋体"/>
          <w:color w:val="auto"/>
          <w:sz w:val="24"/>
          <w:szCs w:val="24"/>
          <w:highlight w:val="none"/>
          <w:lang w:val="en-US" w:eastAsia="zh-CN"/>
        </w:rPr>
        <w:t>数据迁移实施：完成历史数据与实时数据迁移，提供每日进度报告（迁移比例、未迁移原因）。</w:t>
      </w:r>
    </w:p>
    <w:p w14:paraId="3337796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eastAsia="宋体"/>
          <w:color w:val="auto"/>
          <w:sz w:val="24"/>
          <w:szCs w:val="24"/>
          <w:highlight w:val="none"/>
          <w:lang w:val="en-US" w:eastAsia="zh-CN"/>
        </w:rPr>
      </w:pPr>
      <w:r>
        <w:rPr>
          <w:rFonts w:hint="eastAsia"/>
          <w:color w:val="auto"/>
          <w:sz w:val="24"/>
          <w:szCs w:val="24"/>
          <w:highlight w:val="none"/>
          <w:lang w:val="en-US" w:eastAsia="zh-CN"/>
        </w:rPr>
        <w:t>（3）</w:t>
      </w:r>
      <w:r>
        <w:rPr>
          <w:rFonts w:hint="default" w:eastAsia="宋体"/>
          <w:color w:val="auto"/>
          <w:sz w:val="24"/>
          <w:szCs w:val="24"/>
          <w:highlight w:val="none"/>
          <w:lang w:val="en-US" w:eastAsia="zh-CN"/>
        </w:rPr>
        <w:t>应用适配改造：根据目标环境要求进行容器化、微服务拆分等改造，解决兼容性问题（接口调用失败、功能异常）。</w:t>
      </w:r>
    </w:p>
    <w:p w14:paraId="78715E6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eastAsia="宋体"/>
          <w:color w:val="auto"/>
          <w:sz w:val="24"/>
          <w:szCs w:val="24"/>
          <w:highlight w:val="none"/>
          <w:lang w:val="en-US" w:eastAsia="zh-CN"/>
        </w:rPr>
      </w:pPr>
      <w:r>
        <w:rPr>
          <w:rFonts w:hint="eastAsia"/>
          <w:color w:val="auto"/>
          <w:sz w:val="24"/>
          <w:szCs w:val="24"/>
          <w:highlight w:val="none"/>
          <w:lang w:val="en-US" w:eastAsia="zh-CN"/>
        </w:rPr>
        <w:t>（4）</w:t>
      </w:r>
      <w:r>
        <w:rPr>
          <w:rFonts w:hint="default" w:eastAsia="宋体"/>
          <w:color w:val="auto"/>
          <w:sz w:val="24"/>
          <w:szCs w:val="24"/>
          <w:highlight w:val="none"/>
          <w:lang w:val="en-US" w:eastAsia="zh-CN"/>
        </w:rPr>
        <w:t>测试验证：开展功能、性能、压力、安全测试，提供测试报告（结果及问题整改情况）。</w:t>
      </w:r>
    </w:p>
    <w:p w14:paraId="079137A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eastAsia="宋体"/>
          <w:color w:val="auto"/>
          <w:sz w:val="24"/>
          <w:szCs w:val="24"/>
          <w:highlight w:val="none"/>
          <w:lang w:val="en-US" w:eastAsia="zh-CN"/>
        </w:rPr>
        <w:sectPr>
          <w:headerReference r:id="rId5" w:type="default"/>
          <w:footerReference r:id="rId6" w:type="default"/>
          <w:pgSz w:w="11910" w:h="16840"/>
          <w:pgMar w:top="1580" w:right="1372" w:bottom="1340" w:left="1650" w:header="1304" w:footer="1144" w:gutter="0"/>
          <w:pgNumType w:fmt="decimal"/>
          <w:cols w:space="720" w:num="1"/>
        </w:sectPr>
      </w:pPr>
      <w:r>
        <w:rPr>
          <w:rFonts w:hint="eastAsia"/>
          <w:color w:val="auto"/>
          <w:sz w:val="24"/>
          <w:szCs w:val="24"/>
          <w:highlight w:val="none"/>
          <w:lang w:val="en-US" w:eastAsia="zh-CN"/>
        </w:rPr>
        <w:t>（5）</w:t>
      </w:r>
      <w:r>
        <w:rPr>
          <w:rFonts w:hint="default" w:eastAsia="宋体"/>
          <w:color w:val="auto"/>
          <w:sz w:val="24"/>
          <w:szCs w:val="24"/>
          <w:highlight w:val="none"/>
          <w:lang w:val="en-US" w:eastAsia="zh-CN"/>
        </w:rPr>
        <w:t>培训与售后：提供维护（IT人员）；7*24小时技术支持（30分钟响应、2小时故障解决）。</w:t>
      </w:r>
    </w:p>
    <w:p w14:paraId="2D046251">
      <w:pPr>
        <w:pStyle w:val="3"/>
        <w:spacing w:before="156" w:beforeLines="50" w:after="156" w:afterLines="50" w:line="560" w:lineRule="exact"/>
        <w:jc w:val="center"/>
        <w:rPr>
          <w:rFonts w:asciiTheme="minorEastAsia" w:hAnsiTheme="minorEastAsia" w:eastAsiaTheme="minorEastAsia" w:cstheme="minorEastAsia"/>
          <w:color w:val="auto"/>
          <w:sz w:val="24"/>
          <w:szCs w:val="24"/>
          <w:highlight w:val="none"/>
        </w:rPr>
      </w:pPr>
      <w:bookmarkStart w:id="34" w:name="_Toc20436"/>
      <w:bookmarkStart w:id="35" w:name="_Toc18671563"/>
      <w:r>
        <w:rPr>
          <w:rStyle w:val="39"/>
          <w:rFonts w:hint="eastAsia" w:ascii="宋体" w:hAnsi="宋体" w:eastAsia="宋体" w:cs="宋体"/>
          <w:b/>
          <w:bCs/>
          <w:color w:val="auto"/>
          <w:sz w:val="24"/>
          <w:szCs w:val="24"/>
          <w:highlight w:val="none"/>
        </w:rPr>
        <w:t>第六章  单一来源响应</w:t>
      </w:r>
      <w:bookmarkEnd w:id="28"/>
      <w:bookmarkEnd w:id="29"/>
      <w:r>
        <w:rPr>
          <w:rStyle w:val="39"/>
          <w:rFonts w:hint="eastAsia" w:ascii="宋体" w:hAnsi="宋体" w:eastAsia="宋体" w:cs="宋体"/>
          <w:b/>
          <w:bCs/>
          <w:color w:val="auto"/>
          <w:sz w:val="24"/>
          <w:szCs w:val="24"/>
          <w:highlight w:val="none"/>
        </w:rPr>
        <w:t>文件</w:t>
      </w:r>
      <w:bookmarkEnd w:id="34"/>
      <w:bookmarkEnd w:id="35"/>
    </w:p>
    <w:p w14:paraId="01EBFB01">
      <w:pPr>
        <w:rPr>
          <w:rFonts w:asciiTheme="minorEastAsia" w:hAnsiTheme="minorEastAsia" w:eastAsiaTheme="minorEastAsia" w:cstheme="minorEastAsia"/>
          <w:color w:val="auto"/>
          <w:sz w:val="24"/>
          <w:highlight w:val="none"/>
        </w:rPr>
      </w:pPr>
    </w:p>
    <w:p w14:paraId="541E886E">
      <w:pPr>
        <w:jc w:val="center"/>
        <w:rPr>
          <w:rFonts w:hint="default" w:asciiTheme="minorEastAsia" w:hAnsiTheme="minorEastAsia" w:eastAsiaTheme="minorEastAsia" w:cstheme="minorEastAsia"/>
          <w:b/>
          <w:color w:val="auto"/>
          <w:sz w:val="24"/>
          <w:highlight w:val="none"/>
          <w:lang w:val="en-US" w:eastAsia="zh-CN"/>
        </w:rPr>
      </w:pPr>
      <w:r>
        <w:rPr>
          <w:rFonts w:hint="eastAsia" w:asciiTheme="minorEastAsia" w:hAnsiTheme="minorEastAsia" w:eastAsiaTheme="minorEastAsia" w:cstheme="minorEastAsia"/>
          <w:b/>
          <w:color w:val="auto"/>
          <w:sz w:val="24"/>
          <w:highlight w:val="none"/>
          <w:lang w:val="en-US" w:eastAsia="zh-CN"/>
        </w:rPr>
        <w:t xml:space="preserve">                                                         正本/副本</w:t>
      </w:r>
    </w:p>
    <w:p w14:paraId="39B17D30">
      <w:pPr>
        <w:rPr>
          <w:rFonts w:asciiTheme="minorEastAsia" w:hAnsiTheme="minorEastAsia" w:eastAsiaTheme="minorEastAsia" w:cstheme="minorEastAsia"/>
          <w:b/>
          <w:color w:val="auto"/>
          <w:sz w:val="24"/>
          <w:highlight w:val="none"/>
        </w:rPr>
      </w:pPr>
    </w:p>
    <w:p w14:paraId="0525903B">
      <w:pPr>
        <w:spacing w:before="156" w:beforeLines="50" w:after="156" w:afterLines="5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单一来源响应文件</w:t>
      </w:r>
    </w:p>
    <w:p w14:paraId="7F420412">
      <w:pPr>
        <w:spacing w:before="156" w:beforeLines="50" w:after="156" w:afterLines="50"/>
        <w:jc w:val="center"/>
        <w:rPr>
          <w:rFonts w:asciiTheme="minorEastAsia" w:hAnsiTheme="minorEastAsia" w:eastAsiaTheme="minorEastAsia" w:cstheme="minorEastAsia"/>
          <w:color w:val="auto"/>
          <w:sz w:val="24"/>
          <w:highlight w:val="none"/>
        </w:rPr>
      </w:pPr>
    </w:p>
    <w:p w14:paraId="086C5BFE">
      <w:pPr>
        <w:spacing w:before="156" w:beforeLines="50" w:after="156" w:afterLines="5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（封面）</w:t>
      </w:r>
    </w:p>
    <w:p w14:paraId="04D32E0B">
      <w:pPr>
        <w:jc w:val="center"/>
        <w:rPr>
          <w:rFonts w:asciiTheme="minorEastAsia" w:hAnsiTheme="minorEastAsia" w:eastAsiaTheme="minorEastAsia" w:cstheme="minorEastAsia"/>
          <w:color w:val="auto"/>
          <w:sz w:val="24"/>
          <w:highlight w:val="none"/>
        </w:rPr>
      </w:pPr>
    </w:p>
    <w:p w14:paraId="5445226B">
      <w:pPr>
        <w:jc w:val="center"/>
        <w:rPr>
          <w:rFonts w:asciiTheme="minorEastAsia" w:hAnsiTheme="minorEastAsia" w:eastAsiaTheme="minorEastAsia" w:cstheme="minorEastAsia"/>
          <w:color w:val="auto"/>
          <w:sz w:val="24"/>
          <w:highlight w:val="none"/>
        </w:rPr>
      </w:pPr>
    </w:p>
    <w:p w14:paraId="399070E6">
      <w:pPr>
        <w:jc w:val="center"/>
        <w:rPr>
          <w:rFonts w:asciiTheme="minorEastAsia" w:hAnsiTheme="minorEastAsia" w:eastAsiaTheme="minorEastAsia" w:cstheme="minorEastAsia"/>
          <w:color w:val="auto"/>
          <w:sz w:val="24"/>
          <w:highlight w:val="none"/>
        </w:rPr>
      </w:pPr>
    </w:p>
    <w:p w14:paraId="5932C21F">
      <w:pPr>
        <w:rPr>
          <w:rFonts w:asciiTheme="minorEastAsia" w:hAnsiTheme="minorEastAsia" w:eastAsiaTheme="minorEastAsia" w:cstheme="minorEastAsia"/>
          <w:color w:val="auto"/>
          <w:sz w:val="24"/>
          <w:highlight w:val="none"/>
        </w:rPr>
      </w:pPr>
    </w:p>
    <w:p w14:paraId="47F5D38A">
      <w:pPr>
        <w:ind w:firstLine="1320" w:firstLineChars="55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项目名称：</w:t>
      </w:r>
    </w:p>
    <w:p w14:paraId="33805B79">
      <w:pPr>
        <w:ind w:firstLine="1320" w:firstLineChars="55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项目编号：</w:t>
      </w:r>
    </w:p>
    <w:p w14:paraId="3C47C10A">
      <w:pPr>
        <w:jc w:val="center"/>
        <w:rPr>
          <w:rFonts w:asciiTheme="minorEastAsia" w:hAnsiTheme="minorEastAsia" w:eastAsiaTheme="minorEastAsia" w:cstheme="minorEastAsia"/>
          <w:color w:val="auto"/>
          <w:sz w:val="24"/>
          <w:highlight w:val="none"/>
        </w:rPr>
      </w:pPr>
    </w:p>
    <w:p w14:paraId="756AFA4B">
      <w:pPr>
        <w:jc w:val="center"/>
        <w:rPr>
          <w:rFonts w:asciiTheme="minorEastAsia" w:hAnsiTheme="minorEastAsia" w:eastAsiaTheme="minorEastAsia" w:cstheme="minorEastAsia"/>
          <w:color w:val="auto"/>
          <w:sz w:val="24"/>
          <w:highlight w:val="none"/>
        </w:rPr>
      </w:pPr>
    </w:p>
    <w:p w14:paraId="28FDDB88">
      <w:pPr>
        <w:jc w:val="center"/>
        <w:rPr>
          <w:rFonts w:asciiTheme="minorEastAsia" w:hAnsiTheme="minorEastAsia" w:eastAsiaTheme="minorEastAsia" w:cstheme="minorEastAsia"/>
          <w:color w:val="auto"/>
          <w:sz w:val="24"/>
          <w:highlight w:val="none"/>
        </w:rPr>
      </w:pPr>
    </w:p>
    <w:p w14:paraId="096976FA">
      <w:pPr>
        <w:jc w:val="center"/>
        <w:rPr>
          <w:rFonts w:asciiTheme="minorEastAsia" w:hAnsiTheme="minorEastAsia" w:eastAsiaTheme="minorEastAsia" w:cstheme="minorEastAsia"/>
          <w:color w:val="auto"/>
          <w:sz w:val="24"/>
          <w:highlight w:val="none"/>
        </w:rPr>
      </w:pPr>
    </w:p>
    <w:p w14:paraId="24F50A0D">
      <w:pPr>
        <w:jc w:val="center"/>
        <w:rPr>
          <w:rFonts w:asciiTheme="minorEastAsia" w:hAnsiTheme="minorEastAsia" w:eastAsiaTheme="minorEastAsia" w:cstheme="minorEastAsia"/>
          <w:color w:val="auto"/>
          <w:sz w:val="24"/>
          <w:highlight w:val="none"/>
        </w:rPr>
      </w:pPr>
    </w:p>
    <w:p w14:paraId="618F4134">
      <w:pPr>
        <w:jc w:val="center"/>
        <w:rPr>
          <w:rFonts w:asciiTheme="minorEastAsia" w:hAnsiTheme="minorEastAsia" w:eastAsiaTheme="minorEastAsia" w:cstheme="minorEastAsia"/>
          <w:color w:val="auto"/>
          <w:sz w:val="24"/>
          <w:highlight w:val="none"/>
        </w:rPr>
      </w:pPr>
    </w:p>
    <w:p w14:paraId="0F3DCF49">
      <w:pPr>
        <w:jc w:val="center"/>
        <w:rPr>
          <w:rFonts w:asciiTheme="minorEastAsia" w:hAnsiTheme="minorEastAsia" w:eastAsiaTheme="minorEastAsia" w:cstheme="minorEastAsia"/>
          <w:color w:val="auto"/>
          <w:sz w:val="24"/>
          <w:highlight w:val="none"/>
        </w:rPr>
      </w:pPr>
    </w:p>
    <w:p w14:paraId="3903B5A0">
      <w:pPr>
        <w:jc w:val="center"/>
        <w:rPr>
          <w:rFonts w:asciiTheme="minorEastAsia" w:hAnsiTheme="minorEastAsia" w:eastAsiaTheme="minorEastAsia" w:cstheme="minorEastAsia"/>
          <w:color w:val="auto"/>
          <w:sz w:val="24"/>
          <w:highlight w:val="none"/>
        </w:rPr>
      </w:pPr>
    </w:p>
    <w:p w14:paraId="41A01D05">
      <w:pPr>
        <w:jc w:val="center"/>
        <w:rPr>
          <w:rFonts w:asciiTheme="minorEastAsia" w:hAnsiTheme="minorEastAsia" w:eastAsiaTheme="minorEastAsia" w:cstheme="minorEastAsia"/>
          <w:color w:val="auto"/>
          <w:sz w:val="24"/>
          <w:highlight w:val="none"/>
        </w:rPr>
      </w:pPr>
    </w:p>
    <w:p w14:paraId="2C472022">
      <w:pPr>
        <w:jc w:val="center"/>
        <w:rPr>
          <w:rFonts w:asciiTheme="minorEastAsia" w:hAnsiTheme="minorEastAsia" w:eastAsiaTheme="minorEastAsia" w:cstheme="minorEastAsia"/>
          <w:color w:val="auto"/>
          <w:sz w:val="24"/>
          <w:highlight w:val="none"/>
        </w:rPr>
      </w:pPr>
    </w:p>
    <w:p w14:paraId="30905A87">
      <w:pPr>
        <w:jc w:val="center"/>
        <w:rPr>
          <w:rFonts w:asciiTheme="minorEastAsia" w:hAnsiTheme="minorEastAsia" w:eastAsiaTheme="minorEastAsia" w:cstheme="minorEastAsia"/>
          <w:color w:val="auto"/>
          <w:sz w:val="24"/>
          <w:highlight w:val="none"/>
        </w:rPr>
      </w:pPr>
    </w:p>
    <w:p w14:paraId="0B2D6D0F">
      <w:pPr>
        <w:jc w:val="center"/>
        <w:rPr>
          <w:rFonts w:asciiTheme="minorEastAsia" w:hAnsiTheme="minorEastAsia" w:eastAsiaTheme="minorEastAsia" w:cstheme="minorEastAsia"/>
          <w:color w:val="auto"/>
          <w:sz w:val="24"/>
          <w:highlight w:val="none"/>
        </w:rPr>
      </w:pPr>
    </w:p>
    <w:p w14:paraId="6E8746EE">
      <w:pPr>
        <w:ind w:firstLine="2100" w:firstLineChars="875"/>
        <w:jc w:val="left"/>
        <w:rPr>
          <w:rFonts w:asciiTheme="minorEastAsia" w:hAnsiTheme="minorEastAsia" w:eastAsiaTheme="minorEastAsia" w:cstheme="minorEastAsia"/>
          <w:color w:val="auto"/>
          <w:sz w:val="24"/>
          <w:highlight w:val="none"/>
        </w:rPr>
      </w:pPr>
    </w:p>
    <w:p w14:paraId="2127A22B">
      <w:pPr>
        <w:ind w:firstLine="2280" w:firstLineChars="950"/>
        <w:rPr>
          <w:rFonts w:asciiTheme="minorEastAsia" w:hAnsiTheme="minorEastAsia" w:eastAsiaTheme="minorEastAsia" w:cstheme="minorEastAsia"/>
          <w:color w:val="auto"/>
          <w:sz w:val="24"/>
          <w:highlight w:val="none"/>
        </w:rPr>
      </w:pPr>
    </w:p>
    <w:p w14:paraId="66AEEA98">
      <w:pPr>
        <w:ind w:firstLine="1440" w:firstLineChars="6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供应商：                    </w:t>
      </w:r>
    </w:p>
    <w:p w14:paraId="1AEB12B1">
      <w:pPr>
        <w:ind w:firstLine="1440" w:firstLineChars="600"/>
        <w:rPr>
          <w:rFonts w:asciiTheme="minorEastAsia" w:hAnsiTheme="minorEastAsia" w:eastAsiaTheme="minorEastAsia" w:cstheme="minorEastAsia"/>
          <w:b/>
          <w:color w:val="auto"/>
          <w:sz w:val="24"/>
          <w:highlight w:val="none"/>
          <w:u w:val="single"/>
        </w:rPr>
      </w:pPr>
      <w:r>
        <w:rPr>
          <w:rFonts w:hint="eastAsia" w:asciiTheme="minorEastAsia" w:hAnsiTheme="minorEastAsia" w:eastAsiaTheme="minorEastAsia" w:cstheme="minorEastAsia"/>
          <w:color w:val="auto"/>
          <w:sz w:val="24"/>
          <w:highlight w:val="none"/>
          <w:lang w:val="en-US" w:eastAsia="zh-CN"/>
        </w:rPr>
        <w:t>盖</w:t>
      </w:r>
      <w:r>
        <w:rPr>
          <w:rFonts w:hint="eastAsia" w:asciiTheme="minorEastAsia" w:hAnsiTheme="minorEastAsia" w:eastAsiaTheme="minorEastAsia" w:cstheme="minorEastAsia"/>
          <w:color w:val="auto"/>
          <w:sz w:val="24"/>
          <w:highlight w:val="none"/>
        </w:rPr>
        <w:t xml:space="preserve">  章：</w:t>
      </w:r>
    </w:p>
    <w:p w14:paraId="22B1861B">
      <w:pPr>
        <w:ind w:firstLine="3240" w:firstLineChars="1350"/>
        <w:rPr>
          <w:rFonts w:asciiTheme="minorEastAsia" w:hAnsiTheme="minorEastAsia" w:eastAsiaTheme="minorEastAsia" w:cstheme="minorEastAsia"/>
          <w:color w:val="auto"/>
          <w:sz w:val="24"/>
          <w:highlight w:val="none"/>
        </w:rPr>
      </w:pPr>
    </w:p>
    <w:p w14:paraId="37DF5A6A">
      <w:pPr>
        <w:ind w:firstLine="3240" w:firstLineChars="1350"/>
        <w:rPr>
          <w:rFonts w:asciiTheme="minorEastAsia" w:hAnsiTheme="minorEastAsia" w:eastAsiaTheme="minorEastAsia" w:cstheme="minorEastAsia"/>
          <w:color w:val="auto"/>
          <w:sz w:val="24"/>
          <w:highlight w:val="none"/>
          <w:u w:val="single"/>
        </w:rPr>
      </w:pPr>
    </w:p>
    <w:p w14:paraId="14B279A4">
      <w:pPr>
        <w:ind w:firstLine="3240" w:firstLineChars="1350"/>
        <w:rPr>
          <w:rFonts w:ascii="宋体" w:hAnsi="宋体" w:cs="宋体"/>
          <w:color w:val="auto"/>
          <w:sz w:val="24"/>
          <w:highlight w:val="none"/>
          <w:u w:val="single"/>
        </w:rPr>
      </w:pPr>
    </w:p>
    <w:p w14:paraId="42845675">
      <w:pPr>
        <w:ind w:firstLine="3240" w:firstLineChars="1350"/>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04D7BBD1">
      <w:pPr>
        <w:pStyle w:val="36"/>
        <w:spacing w:before="156" w:beforeLines="50" w:after="156" w:afterLines="50" w:line="560" w:lineRule="exact"/>
        <w:ind w:firstLine="0" w:firstLineChars="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br w:type="page"/>
      </w:r>
      <w:bookmarkStart w:id="36" w:name="_Toc272163838"/>
      <w:bookmarkStart w:id="37" w:name="_Toc26899"/>
      <w:bookmarkStart w:id="38" w:name="_Toc18671564"/>
      <w:bookmarkStart w:id="39" w:name="_Hlk450146465"/>
      <w:bookmarkStart w:id="40" w:name="_Toc533314956"/>
      <w:r>
        <w:rPr>
          <w:rStyle w:val="39"/>
          <w:rFonts w:hint="eastAsia" w:ascii="宋体" w:hAnsi="宋体" w:eastAsia="宋体" w:cs="宋体"/>
          <w:b/>
          <w:color w:val="auto"/>
          <w:sz w:val="24"/>
          <w:szCs w:val="24"/>
          <w:highlight w:val="none"/>
        </w:rPr>
        <w:t>一、响应函格式</w:t>
      </w:r>
      <w:bookmarkEnd w:id="36"/>
      <w:bookmarkEnd w:id="37"/>
      <w:bookmarkEnd w:id="38"/>
      <w:bookmarkEnd w:id="39"/>
      <w:bookmarkEnd w:id="40"/>
    </w:p>
    <w:p w14:paraId="70353258">
      <w:pPr>
        <w:spacing w:before="156" w:beforeLines="50" w:after="156" w:afterLines="50" w:line="52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致：</w:t>
      </w:r>
      <w:r>
        <w:rPr>
          <w:rFonts w:hint="eastAsia" w:asciiTheme="minorEastAsia" w:hAnsiTheme="minorEastAsia" w:eastAsiaTheme="minorEastAsia" w:cstheme="minorEastAsia"/>
          <w:b/>
          <w:color w:val="auto"/>
          <w:sz w:val="24"/>
          <w:highlight w:val="none"/>
          <w:u w:val="single"/>
        </w:rPr>
        <w:t>（采购人的名称）</w:t>
      </w:r>
    </w:p>
    <w:p w14:paraId="16C6F698">
      <w:pPr>
        <w:spacing w:line="50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1、根据贵方</w:t>
      </w:r>
      <w:r>
        <w:rPr>
          <w:rFonts w:hint="eastAsia" w:asciiTheme="minorEastAsia" w:hAnsiTheme="minorEastAsia" w:eastAsiaTheme="minorEastAsia" w:cstheme="minorEastAsia"/>
          <w:color w:val="auto"/>
          <w:sz w:val="24"/>
          <w:highlight w:val="none"/>
          <w:u w:val="single"/>
        </w:rPr>
        <w:t xml:space="preserve"> （项目编号） </w:t>
      </w:r>
      <w:r>
        <w:rPr>
          <w:rFonts w:hint="eastAsia" w:asciiTheme="minorEastAsia" w:hAnsiTheme="minorEastAsia" w:eastAsiaTheme="minorEastAsia" w:cstheme="minorEastAsia"/>
          <w:color w:val="auto"/>
          <w:sz w:val="24"/>
          <w:highlight w:val="none"/>
        </w:rPr>
        <w:t>单一来源文件，我们决定参加贵方组织的</w:t>
      </w:r>
      <w:r>
        <w:rPr>
          <w:rFonts w:hint="eastAsia" w:asciiTheme="minorEastAsia" w:hAnsiTheme="minorEastAsia" w:eastAsiaTheme="minorEastAsia" w:cstheme="minorEastAsia"/>
          <w:color w:val="auto"/>
          <w:sz w:val="24"/>
          <w:highlight w:val="none"/>
          <w:u w:val="single"/>
        </w:rPr>
        <w:t xml:space="preserve"> （项目名称） </w:t>
      </w:r>
      <w:r>
        <w:rPr>
          <w:rFonts w:hint="eastAsia" w:asciiTheme="minorEastAsia" w:hAnsiTheme="minorEastAsia" w:eastAsiaTheme="minorEastAsia" w:cstheme="minorEastAsia"/>
          <w:color w:val="auto"/>
          <w:sz w:val="24"/>
          <w:highlight w:val="none"/>
        </w:rPr>
        <w:t>的采购活动。我方授权</w:t>
      </w:r>
      <w:r>
        <w:rPr>
          <w:rFonts w:hint="eastAsia" w:asciiTheme="minorEastAsia" w:hAnsiTheme="minorEastAsia" w:eastAsiaTheme="minorEastAsia" w:cstheme="minorEastAsia"/>
          <w:color w:val="auto"/>
          <w:sz w:val="24"/>
          <w:highlight w:val="none"/>
          <w:u w:val="single"/>
        </w:rPr>
        <w:t xml:space="preserve">  (姓名和职务)  </w:t>
      </w:r>
      <w:r>
        <w:rPr>
          <w:rFonts w:hint="eastAsia" w:asciiTheme="minorEastAsia" w:hAnsiTheme="minorEastAsia" w:eastAsiaTheme="minorEastAsia" w:cstheme="minorEastAsia"/>
          <w:color w:val="auto"/>
          <w:sz w:val="24"/>
          <w:highlight w:val="none"/>
        </w:rPr>
        <w:t>代表我方</w:t>
      </w:r>
      <w:r>
        <w:rPr>
          <w:rFonts w:hint="eastAsia" w:asciiTheme="minorEastAsia" w:hAnsiTheme="minorEastAsia" w:eastAsiaTheme="minorEastAsia" w:cstheme="minorEastAsia"/>
          <w:color w:val="auto"/>
          <w:sz w:val="24"/>
          <w:highlight w:val="none"/>
          <w:u w:val="single"/>
        </w:rPr>
        <w:t xml:space="preserve"> （供应商全称） </w:t>
      </w:r>
      <w:r>
        <w:rPr>
          <w:rFonts w:hint="eastAsia" w:asciiTheme="minorEastAsia" w:hAnsiTheme="minorEastAsia" w:eastAsiaTheme="minorEastAsia" w:cstheme="minorEastAsia"/>
          <w:color w:val="auto"/>
          <w:sz w:val="24"/>
          <w:highlight w:val="none"/>
        </w:rPr>
        <w:t>全权处理本项目的有关事宜。</w:t>
      </w:r>
    </w:p>
    <w:p w14:paraId="4CDE89E3">
      <w:pPr>
        <w:spacing w:line="50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2、我方愿意按照单一来源文件规定的各项要求，向采购人提供所需的服务。</w:t>
      </w:r>
    </w:p>
    <w:p w14:paraId="1E0347FC">
      <w:pPr>
        <w:spacing w:line="50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3、一旦确定我方成交，我方将严格履行合同规定的责任和义务，保证于合同签字生效后按时完成服务内容并交付采购人验收、使用。</w:t>
      </w:r>
    </w:p>
    <w:p w14:paraId="4865FEB5">
      <w:pPr>
        <w:tabs>
          <w:tab w:val="left" w:pos="840"/>
        </w:tabs>
        <w:spacing w:line="50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4、我方愿意提供贵方可能另外要求的、与协商有关的文件资料，并保证我方已提供和将要提供的文件是真实的、准确的。</w:t>
      </w:r>
    </w:p>
    <w:p w14:paraId="33716252">
      <w:pPr>
        <w:spacing w:line="500" w:lineRule="exact"/>
        <w:jc w:val="left"/>
        <w:rPr>
          <w:rFonts w:asciiTheme="minorEastAsia" w:hAnsiTheme="minorEastAsia" w:eastAsiaTheme="minorEastAsia" w:cstheme="minorEastAsia"/>
          <w:color w:val="auto"/>
          <w:sz w:val="24"/>
          <w:highlight w:val="none"/>
        </w:rPr>
      </w:pPr>
    </w:p>
    <w:p w14:paraId="17ADC50C">
      <w:pPr>
        <w:spacing w:line="500" w:lineRule="exact"/>
        <w:jc w:val="left"/>
        <w:rPr>
          <w:rFonts w:asciiTheme="minorEastAsia" w:hAnsiTheme="minorEastAsia" w:eastAsiaTheme="minorEastAsia" w:cstheme="minorEastAsia"/>
          <w:color w:val="auto"/>
          <w:sz w:val="24"/>
          <w:highlight w:val="none"/>
        </w:rPr>
      </w:pPr>
    </w:p>
    <w:p w14:paraId="702BCD2C">
      <w:pPr>
        <w:spacing w:line="500" w:lineRule="exact"/>
        <w:jc w:val="left"/>
        <w:rPr>
          <w:rFonts w:asciiTheme="minorEastAsia" w:hAnsiTheme="minorEastAsia" w:eastAsiaTheme="minorEastAsia" w:cstheme="minorEastAsia"/>
          <w:color w:val="auto"/>
          <w:sz w:val="24"/>
          <w:highlight w:val="none"/>
        </w:rPr>
      </w:pPr>
    </w:p>
    <w:p w14:paraId="13BAAF55">
      <w:pPr>
        <w:spacing w:line="500" w:lineRule="exact"/>
        <w:jc w:val="left"/>
        <w:rPr>
          <w:rFonts w:asciiTheme="minorEastAsia" w:hAnsiTheme="minorEastAsia" w:eastAsiaTheme="minorEastAsia" w:cstheme="minorEastAsia"/>
          <w:color w:val="auto"/>
          <w:sz w:val="24"/>
          <w:highlight w:val="none"/>
        </w:rPr>
      </w:pPr>
    </w:p>
    <w:p w14:paraId="71D544EB">
      <w:pPr>
        <w:pStyle w:val="35"/>
        <w:spacing w:line="50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供应商：（签章）</w:t>
      </w:r>
    </w:p>
    <w:p w14:paraId="09F0322D">
      <w:pPr>
        <w:pStyle w:val="35"/>
        <w:spacing w:line="50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w:t>
      </w:r>
    </w:p>
    <w:p w14:paraId="6DDD3E26">
      <w:pPr>
        <w:pStyle w:val="35"/>
        <w:spacing w:line="50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w:t>
      </w:r>
    </w:p>
    <w:p w14:paraId="7F55FE6A">
      <w:pPr>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日期：</w:t>
      </w:r>
    </w:p>
    <w:p w14:paraId="5C905422">
      <w:pPr>
        <w:pStyle w:val="36"/>
        <w:spacing w:line="500" w:lineRule="exact"/>
        <w:ind w:firstLine="3123" w:firstLineChars="1296"/>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br w:type="page"/>
      </w:r>
      <w:bookmarkStart w:id="41" w:name="_Toc2979"/>
    </w:p>
    <w:p w14:paraId="2CE6A728">
      <w:pPr>
        <w:pStyle w:val="3"/>
        <w:spacing w:before="156" w:beforeLines="50" w:after="156" w:afterLines="50" w:line="560" w:lineRule="exact"/>
        <w:jc w:val="center"/>
        <w:rPr>
          <w:rFonts w:ascii="宋体" w:hAnsi="宋体" w:eastAsia="宋体" w:cs="宋体"/>
          <w:color w:val="auto"/>
          <w:sz w:val="24"/>
          <w:szCs w:val="24"/>
          <w:highlight w:val="none"/>
        </w:rPr>
      </w:pPr>
      <w:bookmarkStart w:id="42" w:name="_Toc14608"/>
      <w:bookmarkStart w:id="43" w:name="_Toc18671565"/>
      <w:r>
        <w:rPr>
          <w:rFonts w:hint="eastAsia" w:ascii="宋体" w:hAnsi="宋体" w:eastAsia="宋体" w:cs="宋体"/>
          <w:color w:val="auto"/>
          <w:sz w:val="24"/>
          <w:szCs w:val="24"/>
          <w:highlight w:val="none"/>
        </w:rPr>
        <w:t>二、响应一览表</w:t>
      </w:r>
      <w:bookmarkEnd w:id="41"/>
      <w:bookmarkEnd w:id="42"/>
      <w:bookmarkEnd w:id="43"/>
    </w:p>
    <w:p w14:paraId="576C94CB">
      <w:pPr>
        <w:pStyle w:val="36"/>
        <w:ind w:firstLine="0" w:firstLineChars="0"/>
        <w:rPr>
          <w:rFonts w:asciiTheme="minorEastAsia" w:hAnsiTheme="minorEastAsia" w:eastAsiaTheme="minorEastAsia" w:cstheme="minorEastAsia"/>
          <w:color w:val="auto"/>
          <w:sz w:val="24"/>
          <w:highlight w:val="none"/>
        </w:rPr>
      </w:pPr>
    </w:p>
    <w:tbl>
      <w:tblPr>
        <w:tblStyle w:val="16"/>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7BA97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14:paraId="7941BE0E">
            <w:pPr>
              <w:widowControl/>
              <w:spacing w:line="360" w:lineRule="exact"/>
              <w:jc w:val="center"/>
              <w:rPr>
                <w:rFonts w:asciiTheme="minorEastAsia" w:hAnsiTheme="minorEastAsia" w:eastAsiaTheme="minorEastAsia" w:cstheme="minorEastAsia"/>
                <w:b/>
                <w:color w:val="auto"/>
                <w:sz w:val="24"/>
                <w:highlight w:val="none"/>
              </w:rPr>
            </w:pPr>
            <w:bookmarkStart w:id="44" w:name="_Toc272141475"/>
            <w:bookmarkStart w:id="45" w:name="_Hlk450185766"/>
            <w:bookmarkStart w:id="46" w:name="_Toc293560332"/>
            <w:r>
              <w:rPr>
                <w:rFonts w:hint="eastAsia" w:asciiTheme="minorEastAsia" w:hAnsiTheme="minorEastAsia" w:eastAsiaTheme="minorEastAsia" w:cstheme="minorEastAsia"/>
                <w:b/>
                <w:color w:val="auto"/>
                <w:sz w:val="24"/>
                <w:highlight w:val="none"/>
              </w:rPr>
              <w:t>项目名称</w:t>
            </w:r>
          </w:p>
        </w:tc>
        <w:tc>
          <w:tcPr>
            <w:tcW w:w="6667" w:type="dxa"/>
            <w:tcBorders>
              <w:top w:val="single" w:color="auto" w:sz="4" w:space="0"/>
              <w:bottom w:val="single" w:color="auto" w:sz="4" w:space="0"/>
              <w:right w:val="single" w:color="auto" w:sz="4" w:space="0"/>
            </w:tcBorders>
            <w:vAlign w:val="center"/>
          </w:tcPr>
          <w:p w14:paraId="47868CAC">
            <w:pPr>
              <w:spacing w:line="360" w:lineRule="exact"/>
              <w:rPr>
                <w:rFonts w:asciiTheme="minorEastAsia" w:hAnsiTheme="minorEastAsia" w:eastAsiaTheme="minorEastAsia" w:cstheme="minorEastAsia"/>
                <w:bCs/>
                <w:color w:val="auto"/>
                <w:sz w:val="24"/>
                <w:highlight w:val="none"/>
                <w:u w:val="single"/>
              </w:rPr>
            </w:pPr>
          </w:p>
        </w:tc>
      </w:tr>
      <w:tr w14:paraId="4758E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62962079">
            <w:pPr>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项目编号</w:t>
            </w:r>
          </w:p>
        </w:tc>
        <w:tc>
          <w:tcPr>
            <w:tcW w:w="6667" w:type="dxa"/>
            <w:tcBorders>
              <w:top w:val="nil"/>
            </w:tcBorders>
            <w:vAlign w:val="center"/>
          </w:tcPr>
          <w:p w14:paraId="7C971F41">
            <w:pPr>
              <w:rPr>
                <w:rFonts w:asciiTheme="minorEastAsia" w:hAnsiTheme="minorEastAsia" w:eastAsiaTheme="minorEastAsia" w:cstheme="minorEastAsia"/>
                <w:bCs/>
                <w:color w:val="auto"/>
                <w:sz w:val="24"/>
                <w:highlight w:val="none"/>
              </w:rPr>
            </w:pPr>
          </w:p>
        </w:tc>
      </w:tr>
      <w:tr w14:paraId="66A8D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01DAA431">
            <w:pPr>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响应供应商全称</w:t>
            </w:r>
          </w:p>
        </w:tc>
        <w:tc>
          <w:tcPr>
            <w:tcW w:w="6667" w:type="dxa"/>
            <w:tcBorders>
              <w:top w:val="nil"/>
            </w:tcBorders>
            <w:vAlign w:val="center"/>
          </w:tcPr>
          <w:p w14:paraId="380FA52A">
            <w:pPr>
              <w:spacing w:line="360" w:lineRule="auto"/>
              <w:rPr>
                <w:rFonts w:asciiTheme="minorEastAsia" w:hAnsiTheme="minorEastAsia" w:eastAsiaTheme="minorEastAsia" w:cstheme="minorEastAsia"/>
                <w:bCs/>
                <w:color w:val="auto"/>
                <w:sz w:val="24"/>
                <w:highlight w:val="none"/>
              </w:rPr>
            </w:pPr>
          </w:p>
        </w:tc>
      </w:tr>
      <w:tr w14:paraId="6F163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3321C69B">
            <w:pPr>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响应范围</w:t>
            </w:r>
          </w:p>
        </w:tc>
        <w:tc>
          <w:tcPr>
            <w:tcW w:w="6667" w:type="dxa"/>
            <w:tcBorders>
              <w:top w:val="nil"/>
            </w:tcBorders>
            <w:vAlign w:val="center"/>
          </w:tcPr>
          <w:p w14:paraId="02C1402E">
            <w:pPr>
              <w:widowControl/>
              <w:spacing w:line="360" w:lineRule="exac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第</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rPr>
              <w:t>包(不分包项目填写“全部”)</w:t>
            </w:r>
          </w:p>
        </w:tc>
      </w:tr>
      <w:tr w14:paraId="507C8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vMerge w:val="restart"/>
            <w:tcBorders>
              <w:top w:val="nil"/>
            </w:tcBorders>
            <w:vAlign w:val="center"/>
          </w:tcPr>
          <w:p w14:paraId="502CC39E">
            <w:pPr>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响应报价</w:t>
            </w:r>
          </w:p>
          <w:p w14:paraId="590B15B6">
            <w:pPr>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（人民币）</w:t>
            </w:r>
          </w:p>
          <w:p w14:paraId="633C106E">
            <w:pPr>
              <w:spacing w:line="360" w:lineRule="exact"/>
              <w:jc w:val="center"/>
              <w:rPr>
                <w:rFonts w:asciiTheme="minorEastAsia" w:hAnsiTheme="minorEastAsia" w:eastAsiaTheme="minorEastAsia" w:cstheme="minorEastAsia"/>
                <w:b/>
                <w:color w:val="auto"/>
                <w:sz w:val="24"/>
                <w:highlight w:val="none"/>
              </w:rPr>
            </w:pPr>
          </w:p>
        </w:tc>
        <w:tc>
          <w:tcPr>
            <w:tcW w:w="6667" w:type="dxa"/>
            <w:tcBorders>
              <w:top w:val="nil"/>
            </w:tcBorders>
            <w:vAlign w:val="center"/>
          </w:tcPr>
          <w:p w14:paraId="291ACFC3">
            <w:pPr>
              <w:spacing w:line="360" w:lineRule="auto"/>
              <w:ind w:right="-670"/>
              <w:rPr>
                <w:rFonts w:asciiTheme="minorEastAsia" w:hAnsiTheme="minorEastAsia" w:eastAsiaTheme="minorEastAsia" w:cstheme="minorEastAsia"/>
                <w:bCs/>
                <w:color w:val="auto"/>
                <w:sz w:val="24"/>
                <w:highlight w:val="none"/>
              </w:rPr>
            </w:pPr>
          </w:p>
          <w:p w14:paraId="3AEDAEBC">
            <w:pPr>
              <w:spacing w:line="360" w:lineRule="auto"/>
              <w:ind w:right="-67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大写：</w:t>
            </w:r>
            <w:r>
              <w:rPr>
                <w:rFonts w:hint="eastAsia" w:asciiTheme="minorEastAsia" w:hAnsiTheme="minorEastAsia" w:eastAsiaTheme="minorEastAsia" w:cstheme="minorEastAsia"/>
                <w:bCs/>
                <w:color w:val="auto"/>
                <w:sz w:val="24"/>
                <w:highlight w:val="none"/>
                <w:u w:val="single"/>
              </w:rPr>
              <w:t xml:space="preserve">        </w:t>
            </w:r>
          </w:p>
        </w:tc>
      </w:tr>
      <w:tr w14:paraId="129DC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vMerge w:val="continue"/>
            <w:vAlign w:val="center"/>
          </w:tcPr>
          <w:p w14:paraId="632B8219">
            <w:pPr>
              <w:spacing w:line="360" w:lineRule="exact"/>
              <w:jc w:val="center"/>
              <w:rPr>
                <w:rFonts w:asciiTheme="minorEastAsia" w:hAnsiTheme="minorEastAsia" w:eastAsiaTheme="minorEastAsia" w:cstheme="minorEastAsia"/>
                <w:b/>
                <w:color w:val="auto"/>
                <w:sz w:val="24"/>
                <w:highlight w:val="none"/>
              </w:rPr>
            </w:pPr>
          </w:p>
        </w:tc>
        <w:tc>
          <w:tcPr>
            <w:tcW w:w="6667" w:type="dxa"/>
            <w:tcBorders>
              <w:top w:val="nil"/>
            </w:tcBorders>
            <w:vAlign w:val="center"/>
          </w:tcPr>
          <w:p w14:paraId="1340EAB6">
            <w:pPr>
              <w:spacing w:line="360" w:lineRule="auto"/>
              <w:ind w:right="-670"/>
              <w:rPr>
                <w:rFonts w:asciiTheme="minorEastAsia" w:hAnsiTheme="minorEastAsia" w:eastAsiaTheme="minorEastAsia" w:cstheme="minorEastAsia"/>
                <w:bCs/>
                <w:color w:val="auto"/>
                <w:sz w:val="24"/>
                <w:highlight w:val="none"/>
              </w:rPr>
            </w:pPr>
          </w:p>
          <w:p w14:paraId="4A94A796">
            <w:pPr>
              <w:spacing w:line="360" w:lineRule="auto"/>
              <w:ind w:right="-670"/>
              <w:rPr>
                <w:rFonts w:asciiTheme="minorEastAsia" w:hAnsiTheme="minorEastAsia" w:eastAsiaTheme="minorEastAsia" w:cstheme="minorEastAsia"/>
                <w:bCs/>
                <w:color w:val="auto"/>
                <w:sz w:val="24"/>
                <w:highlight w:val="none"/>
                <w:u w:val="single"/>
              </w:rPr>
            </w:pPr>
            <w:r>
              <w:rPr>
                <w:rFonts w:hint="eastAsia" w:asciiTheme="minorEastAsia" w:hAnsiTheme="minorEastAsia" w:eastAsiaTheme="minorEastAsia" w:cstheme="minorEastAsia"/>
                <w:bCs/>
                <w:color w:val="auto"/>
                <w:sz w:val="24"/>
                <w:highlight w:val="none"/>
              </w:rPr>
              <w:t>小写：</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rPr>
              <w:t>（元/%）</w:t>
            </w:r>
          </w:p>
          <w:p w14:paraId="49AB09E8">
            <w:pPr>
              <w:spacing w:line="360" w:lineRule="auto"/>
              <w:ind w:right="-670"/>
              <w:rPr>
                <w:rFonts w:asciiTheme="minorEastAsia" w:hAnsiTheme="minorEastAsia" w:eastAsiaTheme="minorEastAsia" w:cstheme="minorEastAsia"/>
                <w:bCs/>
                <w:color w:val="auto"/>
                <w:sz w:val="24"/>
                <w:highlight w:val="none"/>
              </w:rPr>
            </w:pPr>
          </w:p>
        </w:tc>
      </w:tr>
      <w:tr w14:paraId="4F22C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8" w:hRule="atLeast"/>
          <w:jc w:val="center"/>
        </w:trPr>
        <w:tc>
          <w:tcPr>
            <w:tcW w:w="2471" w:type="dxa"/>
            <w:tcBorders>
              <w:top w:val="nil"/>
            </w:tcBorders>
            <w:vAlign w:val="center"/>
          </w:tcPr>
          <w:p w14:paraId="6B6C7EBE">
            <w:pPr>
              <w:spacing w:line="360" w:lineRule="auto"/>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备注</w:t>
            </w:r>
          </w:p>
        </w:tc>
        <w:tc>
          <w:tcPr>
            <w:tcW w:w="6667" w:type="dxa"/>
            <w:tcBorders>
              <w:top w:val="nil"/>
            </w:tcBorders>
            <w:vAlign w:val="center"/>
          </w:tcPr>
          <w:p w14:paraId="04556268">
            <w:pPr>
              <w:spacing w:line="360" w:lineRule="auto"/>
              <w:jc w:val="left"/>
              <w:rPr>
                <w:rFonts w:asciiTheme="minorEastAsia" w:hAnsiTheme="minorEastAsia" w:eastAsiaTheme="minorEastAsia" w:cstheme="minorEastAsia"/>
                <w:bCs/>
                <w:color w:val="auto"/>
                <w:sz w:val="24"/>
                <w:highlight w:val="none"/>
              </w:rPr>
            </w:pPr>
          </w:p>
        </w:tc>
      </w:tr>
    </w:tbl>
    <w:p w14:paraId="31CAA37C">
      <w:pPr>
        <w:spacing w:before="100" w:beforeAutospacing="1" w:after="100" w:afterAutospacing="1" w:line="360" w:lineRule="auto"/>
        <w:rPr>
          <w:rFonts w:asciiTheme="minorEastAsia" w:hAnsiTheme="minorEastAsia" w:eastAsiaTheme="minorEastAsia" w:cstheme="minorEastAsia"/>
          <w:b/>
          <w:color w:val="auto"/>
          <w:sz w:val="24"/>
          <w:highlight w:val="none"/>
        </w:rPr>
      </w:pPr>
    </w:p>
    <w:p w14:paraId="70423634">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响应供应商</w:t>
      </w:r>
      <w:r>
        <w:rPr>
          <w:rFonts w:hint="eastAsia" w:asciiTheme="minorEastAsia" w:hAnsiTheme="minorEastAsia" w:eastAsiaTheme="minorEastAsia" w:cstheme="minorEastAsia"/>
          <w:b/>
          <w:color w:val="auto"/>
          <w:sz w:val="24"/>
          <w:highlight w:val="none"/>
          <w:lang w:val="en-US" w:eastAsia="zh-CN"/>
        </w:rPr>
        <w:t>盖章</w:t>
      </w:r>
      <w:r>
        <w:rPr>
          <w:rFonts w:hint="eastAsia" w:asciiTheme="minorEastAsia" w:hAnsiTheme="minorEastAsia" w:eastAsiaTheme="minorEastAsia" w:cstheme="minorEastAsia"/>
          <w:b/>
          <w:color w:val="auto"/>
          <w:sz w:val="24"/>
          <w:highlight w:val="none"/>
        </w:rPr>
        <w:t xml:space="preserve">：   </w:t>
      </w:r>
    </w:p>
    <w:p w14:paraId="3A11BB5A">
      <w:pPr>
        <w:rPr>
          <w:rFonts w:asciiTheme="minorEastAsia" w:hAnsiTheme="minorEastAsia" w:eastAsiaTheme="minorEastAsia" w:cstheme="minorEastAsia"/>
          <w:color w:val="auto"/>
          <w:sz w:val="24"/>
          <w:highlight w:val="none"/>
        </w:rPr>
      </w:pPr>
    </w:p>
    <w:p w14:paraId="3FA557E3">
      <w:pPr>
        <w:rPr>
          <w:rFonts w:asciiTheme="minorEastAsia" w:hAnsiTheme="minorEastAsia" w:eastAsiaTheme="minorEastAsia" w:cstheme="minorEastAsia"/>
          <w:color w:val="auto"/>
          <w:sz w:val="24"/>
          <w:highlight w:val="none"/>
        </w:rPr>
      </w:pPr>
    </w:p>
    <w:p w14:paraId="238548BD">
      <w:pP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b/>
          <w:color w:val="auto"/>
          <w:sz w:val="24"/>
          <w:highlight w:val="none"/>
        </w:rPr>
        <w:t>日期</w:t>
      </w:r>
      <w:r>
        <w:rPr>
          <w:rFonts w:hint="eastAsia" w:asciiTheme="minorEastAsia" w:hAnsiTheme="minorEastAsia" w:eastAsiaTheme="minorEastAsia" w:cstheme="minorEastAsia"/>
          <w:color w:val="auto"/>
          <w:sz w:val="24"/>
          <w:highlight w:val="none"/>
        </w:rPr>
        <w:t>：   年    月    日</w:t>
      </w:r>
    </w:p>
    <w:p w14:paraId="69EF94DE">
      <w:pPr>
        <w:rPr>
          <w:rFonts w:asciiTheme="minorEastAsia" w:hAnsiTheme="minorEastAsia" w:eastAsiaTheme="minorEastAsia" w:cstheme="minorEastAsia"/>
          <w:color w:val="auto"/>
          <w:sz w:val="24"/>
          <w:highlight w:val="none"/>
        </w:rPr>
      </w:pPr>
    </w:p>
    <w:p w14:paraId="18BC0FFD">
      <w:pPr>
        <w:rPr>
          <w:rFonts w:asciiTheme="minorEastAsia" w:hAnsiTheme="minorEastAsia" w:eastAsiaTheme="minorEastAsia" w:cstheme="minorEastAsia"/>
          <w:color w:val="auto"/>
          <w:sz w:val="24"/>
          <w:highlight w:val="none"/>
        </w:rPr>
      </w:pPr>
    </w:p>
    <w:p w14:paraId="76720563">
      <w:pPr>
        <w:rPr>
          <w:rFonts w:asciiTheme="minorEastAsia" w:hAnsiTheme="minorEastAsia" w:eastAsiaTheme="minorEastAsia" w:cstheme="minorEastAsia"/>
          <w:color w:val="auto"/>
          <w:sz w:val="24"/>
          <w:highlight w:val="none"/>
        </w:rPr>
      </w:pPr>
    </w:p>
    <w:p w14:paraId="602784CF">
      <w:pPr>
        <w:rPr>
          <w:rFonts w:asciiTheme="minorEastAsia" w:hAnsiTheme="minorEastAsia" w:eastAsiaTheme="minorEastAsia" w:cstheme="minorEastAsia"/>
          <w:color w:val="auto"/>
          <w:sz w:val="24"/>
          <w:highlight w:val="none"/>
        </w:rPr>
      </w:pPr>
    </w:p>
    <w:p w14:paraId="08F88248">
      <w:pPr>
        <w:rPr>
          <w:rFonts w:asciiTheme="minorEastAsia" w:hAnsiTheme="minorEastAsia" w:eastAsiaTheme="minorEastAsia" w:cstheme="minorEastAsia"/>
          <w:color w:val="auto"/>
          <w:sz w:val="24"/>
          <w:highlight w:val="none"/>
        </w:rPr>
      </w:pPr>
    </w:p>
    <w:p w14:paraId="5EF0E251">
      <w:pPr>
        <w:rPr>
          <w:rFonts w:asciiTheme="minorEastAsia" w:hAnsiTheme="minorEastAsia" w:eastAsiaTheme="minorEastAsia" w:cstheme="minorEastAsia"/>
          <w:color w:val="auto"/>
          <w:sz w:val="24"/>
          <w:highlight w:val="none"/>
        </w:rPr>
      </w:pPr>
    </w:p>
    <w:p w14:paraId="1F9BC3AD">
      <w:pPr>
        <w:pStyle w:val="3"/>
        <w:spacing w:before="156" w:beforeLines="50" w:after="156" w:afterLines="50" w:line="560" w:lineRule="exact"/>
        <w:jc w:val="center"/>
        <w:rPr>
          <w:rFonts w:asciiTheme="minorEastAsia" w:hAnsiTheme="minorEastAsia" w:eastAsiaTheme="minorEastAsia" w:cstheme="minorEastAsia"/>
          <w:color w:val="auto"/>
          <w:sz w:val="24"/>
          <w:szCs w:val="24"/>
          <w:highlight w:val="none"/>
        </w:rPr>
      </w:pPr>
      <w:bookmarkStart w:id="47" w:name="_Toc3760"/>
      <w:r>
        <w:rPr>
          <w:rFonts w:hint="eastAsia" w:asciiTheme="minorEastAsia" w:hAnsiTheme="minorEastAsia" w:eastAsiaTheme="minorEastAsia" w:cstheme="minorEastAsia"/>
          <w:color w:val="auto"/>
          <w:sz w:val="24"/>
          <w:szCs w:val="24"/>
          <w:highlight w:val="none"/>
        </w:rPr>
        <w:br w:type="page"/>
      </w:r>
      <w:bookmarkStart w:id="48" w:name="_Toc9309"/>
      <w:bookmarkStart w:id="49" w:name="_Toc2257"/>
      <w:bookmarkStart w:id="50" w:name="_Toc18671566"/>
      <w:r>
        <w:rPr>
          <w:rFonts w:hint="eastAsia" w:ascii="宋体" w:hAnsi="宋体" w:eastAsia="宋体" w:cs="宋体"/>
          <w:color w:val="auto"/>
          <w:sz w:val="24"/>
          <w:szCs w:val="24"/>
          <w:highlight w:val="none"/>
        </w:rPr>
        <w:t>三、营业执照</w:t>
      </w:r>
      <w:bookmarkEnd w:id="48"/>
      <w:bookmarkEnd w:id="49"/>
    </w:p>
    <w:p w14:paraId="7E3ED950">
      <w:pPr>
        <w:jc w:val="center"/>
        <w:rPr>
          <w:rFonts w:ascii="宋体" w:hAnsi="宋体" w:cs="宋体"/>
          <w:color w:val="auto"/>
          <w:sz w:val="24"/>
          <w:highlight w:val="none"/>
        </w:rPr>
      </w:pPr>
      <w:bookmarkStart w:id="51" w:name="_Toc24176"/>
      <w:r>
        <w:rPr>
          <w:rFonts w:hint="eastAsia"/>
          <w:color w:val="auto"/>
          <w:sz w:val="24"/>
          <w:highlight w:val="none"/>
        </w:rPr>
        <w:t>（营业执照等信息）</w:t>
      </w:r>
    </w:p>
    <w:p w14:paraId="0A67B410">
      <w:pPr>
        <w:rPr>
          <w:rFonts w:ascii="宋体" w:hAnsi="宋体" w:cs="宋体"/>
          <w:color w:val="auto"/>
          <w:sz w:val="24"/>
          <w:highlight w:val="none"/>
        </w:rPr>
      </w:pPr>
      <w:r>
        <w:rPr>
          <w:rFonts w:hint="eastAsia" w:ascii="宋体" w:hAnsi="宋体" w:cs="宋体"/>
          <w:color w:val="auto"/>
          <w:sz w:val="24"/>
          <w:highlight w:val="none"/>
        </w:rPr>
        <w:br w:type="page"/>
      </w:r>
    </w:p>
    <w:p w14:paraId="4D56F52D">
      <w:pPr>
        <w:pStyle w:val="3"/>
        <w:spacing w:before="156" w:beforeLines="50" w:after="156" w:afterLines="50" w:line="560" w:lineRule="exact"/>
        <w:jc w:val="center"/>
        <w:rPr>
          <w:rFonts w:ascii="宋体" w:hAnsi="宋体" w:eastAsia="宋体" w:cs="宋体"/>
          <w:color w:val="auto"/>
          <w:sz w:val="24"/>
          <w:szCs w:val="24"/>
          <w:highlight w:val="none"/>
        </w:rPr>
      </w:pPr>
      <w:bookmarkStart w:id="52" w:name="_Toc1365"/>
      <w:r>
        <w:rPr>
          <w:rFonts w:hint="eastAsia" w:ascii="宋体" w:hAnsi="宋体" w:eastAsia="宋体" w:cs="宋体"/>
          <w:color w:val="auto"/>
          <w:sz w:val="24"/>
          <w:szCs w:val="24"/>
          <w:highlight w:val="none"/>
        </w:rPr>
        <w:t>四、授权委托书</w:t>
      </w:r>
      <w:bookmarkEnd w:id="51"/>
      <w:bookmarkEnd w:id="52"/>
    </w:p>
    <w:p w14:paraId="14CFAAD8">
      <w:pPr>
        <w:pStyle w:val="6"/>
        <w:snapToGrid w:val="0"/>
        <w:spacing w:line="560" w:lineRule="exact"/>
        <w:ind w:firstLine="480" w:firstLineChars="200"/>
        <w:jc w:val="left"/>
        <w:rPr>
          <w:rFonts w:asciiTheme="minorEastAsia" w:hAnsiTheme="minorEastAsia" w:eastAsiaTheme="minorEastAsia" w:cstheme="minorEastAsia"/>
          <w:color w:val="auto"/>
          <w:sz w:val="24"/>
          <w:highlight w:val="none"/>
        </w:rPr>
      </w:pPr>
      <w:r>
        <w:rPr>
          <w:rFonts w:hint="eastAsia" w:hAnsi="宋体" w:cs="宋体"/>
          <w:color w:val="auto"/>
          <w:sz w:val="24"/>
          <w:highlight w:val="none"/>
          <w:u w:val="single"/>
        </w:rPr>
        <w:t xml:space="preserve"> （供应商名称的全称） </w:t>
      </w:r>
      <w:r>
        <w:rPr>
          <w:rFonts w:hint="eastAsia" w:asciiTheme="minorEastAsia" w:hAnsiTheme="minorEastAsia" w:eastAsiaTheme="minorEastAsia" w:cstheme="minorEastAsia"/>
          <w:color w:val="auto"/>
          <w:sz w:val="24"/>
          <w:highlight w:val="none"/>
        </w:rPr>
        <w:t>授权本公司</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（响应供应商授权代表姓名、职务）代表本公司参加</w:t>
      </w:r>
      <w:r>
        <w:rPr>
          <w:rFonts w:hint="eastAsia" w:asciiTheme="minorEastAsia" w:hAnsiTheme="minorEastAsia" w:eastAsiaTheme="minorEastAsia" w:cstheme="minorEastAsia"/>
          <w:color w:val="auto"/>
          <w:sz w:val="24"/>
          <w:highlight w:val="none"/>
          <w:u w:val="single"/>
        </w:rPr>
        <w:t xml:space="preserve">       某项目</w:t>
      </w:r>
      <w:r>
        <w:rPr>
          <w:rFonts w:hint="eastAsia" w:asciiTheme="minorEastAsia" w:hAnsiTheme="minorEastAsia" w:eastAsiaTheme="minorEastAsia" w:cstheme="minorEastAsia"/>
          <w:color w:val="auto"/>
          <w:sz w:val="24"/>
          <w:highlight w:val="none"/>
        </w:rPr>
        <w:t>采购活动（项目编号：</w:t>
      </w:r>
      <w:r>
        <w:rPr>
          <w:rFonts w:hint="eastAsia" w:asciiTheme="minorEastAsia" w:hAnsiTheme="minorEastAsia" w:eastAsiaTheme="minorEastAsia" w:cstheme="minorEastAsia"/>
          <w:color w:val="auto"/>
          <w:sz w:val="24"/>
          <w:highlight w:val="none"/>
          <w:u w:val="single"/>
        </w:rPr>
        <w:t>某编号</w:t>
      </w:r>
      <w:r>
        <w:rPr>
          <w:rFonts w:hint="eastAsia" w:asciiTheme="minorEastAsia" w:hAnsiTheme="minorEastAsia" w:eastAsiaTheme="minorEastAsia" w:cstheme="minorEastAsia"/>
          <w:color w:val="auto"/>
          <w:sz w:val="24"/>
          <w:highlight w:val="none"/>
        </w:rPr>
        <w:t>），全权代表本公司处理采购过程的一切事宜。响应供应商授权代表在采购过程中所签署的一切文件和处理与之有关的一切事务，本公司均予以认可并对此承担责任。响应供应商授权代表无转委托权。</w:t>
      </w:r>
    </w:p>
    <w:p w14:paraId="10E4A6FA">
      <w:pPr>
        <w:pStyle w:val="6"/>
        <w:snapToGrid w:val="0"/>
        <w:spacing w:line="56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特此授权。</w:t>
      </w:r>
    </w:p>
    <w:p w14:paraId="3269DCA1">
      <w:pPr>
        <w:pStyle w:val="6"/>
        <w:snapToGrid w:val="0"/>
        <w:spacing w:line="56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本授权书自出具之日起生效。</w:t>
      </w:r>
    </w:p>
    <w:p w14:paraId="4605A72C">
      <w:pPr>
        <w:spacing w:line="360" w:lineRule="auto"/>
        <w:rPr>
          <w:rFonts w:asciiTheme="minorEastAsia" w:hAnsiTheme="minorEastAsia" w:eastAsiaTheme="minorEastAsia" w:cstheme="minorEastAsia"/>
          <w:color w:val="auto"/>
          <w:sz w:val="24"/>
          <w:highlight w:val="none"/>
        </w:rPr>
      </w:pPr>
    </w:p>
    <w:p w14:paraId="6C900534">
      <w:pPr>
        <w:spacing w:line="360" w:lineRule="auto"/>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授权代表（或法定代表人）身份证明扫描件或影印件：</w:t>
      </w:r>
    </w:p>
    <w:p w14:paraId="43C09D0B">
      <w:pPr>
        <w:spacing w:line="360" w:lineRule="auto"/>
        <w:rPr>
          <w:rFonts w:asciiTheme="minorEastAsia" w:hAnsiTheme="minorEastAsia" w:eastAsiaTheme="minorEastAsia" w:cstheme="minorEastAsia"/>
          <w:color w:val="auto"/>
          <w:sz w:val="24"/>
          <w:highlight w:val="none"/>
        </w:rPr>
      </w:pPr>
    </w:p>
    <w:p w14:paraId="0FF4D235">
      <w:pPr>
        <w:spacing w:line="360" w:lineRule="auto"/>
        <w:rPr>
          <w:rFonts w:asciiTheme="minorEastAsia" w:hAnsiTheme="minorEastAsia" w:eastAsiaTheme="minorEastAsia" w:cstheme="minorEastAsia"/>
          <w:color w:val="auto"/>
          <w:sz w:val="24"/>
          <w:highlight w:val="none"/>
        </w:rPr>
      </w:pPr>
    </w:p>
    <w:p w14:paraId="4BE52A52">
      <w:pPr>
        <w:spacing w:line="360" w:lineRule="auto"/>
        <w:rPr>
          <w:rFonts w:asciiTheme="minorEastAsia" w:hAnsiTheme="minorEastAsia" w:eastAsiaTheme="minorEastAsia" w:cstheme="minorEastAsia"/>
          <w:color w:val="auto"/>
          <w:sz w:val="24"/>
          <w:highlight w:val="none"/>
        </w:rPr>
      </w:pPr>
    </w:p>
    <w:p w14:paraId="16EC2347">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授权代表（或法定代表人）联系方式：</w:t>
      </w:r>
      <w:r>
        <w:rPr>
          <w:rFonts w:hint="eastAsia" w:asciiTheme="minorEastAsia" w:hAnsiTheme="minorEastAsia" w:eastAsiaTheme="minorEastAsia" w:cstheme="minorEastAsia"/>
          <w:color w:val="auto"/>
          <w:sz w:val="24"/>
          <w:highlight w:val="none"/>
        </w:rPr>
        <w:t>（请填写手机号码）</w:t>
      </w:r>
    </w:p>
    <w:p w14:paraId="1DEB79E4">
      <w:pPr>
        <w:spacing w:line="360" w:lineRule="auto"/>
        <w:ind w:firstLine="645"/>
        <w:rPr>
          <w:rFonts w:asciiTheme="minorEastAsia" w:hAnsiTheme="minorEastAsia" w:eastAsiaTheme="minorEastAsia" w:cstheme="minorEastAsia"/>
          <w:color w:val="auto"/>
          <w:sz w:val="24"/>
          <w:highlight w:val="none"/>
        </w:rPr>
      </w:pPr>
    </w:p>
    <w:p w14:paraId="03D4CA94">
      <w:pPr>
        <w:spacing w:line="360" w:lineRule="auto"/>
        <w:rPr>
          <w:rFonts w:asciiTheme="minorEastAsia" w:hAnsiTheme="minorEastAsia" w:eastAsiaTheme="minorEastAsia" w:cstheme="minorEastAsia"/>
          <w:color w:val="auto"/>
          <w:sz w:val="24"/>
          <w:highlight w:val="none"/>
        </w:rPr>
      </w:pPr>
    </w:p>
    <w:p w14:paraId="18FB97F2">
      <w:pPr>
        <w:spacing w:line="360" w:lineRule="auto"/>
        <w:rPr>
          <w:rFonts w:asciiTheme="minorEastAsia" w:hAnsiTheme="minorEastAsia" w:eastAsiaTheme="minorEastAsia" w:cstheme="minorEastAsia"/>
          <w:color w:val="auto"/>
          <w:sz w:val="24"/>
          <w:highlight w:val="none"/>
        </w:rPr>
      </w:pPr>
    </w:p>
    <w:p w14:paraId="09B5218A">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供应商</w:t>
      </w:r>
      <w:r>
        <w:rPr>
          <w:rFonts w:hint="eastAsia" w:asciiTheme="minorEastAsia" w:hAnsiTheme="minorEastAsia" w:eastAsiaTheme="minorEastAsia" w:cstheme="minorEastAsia"/>
          <w:b/>
          <w:bCs/>
          <w:color w:val="auto"/>
          <w:sz w:val="24"/>
          <w:highlight w:val="none"/>
          <w:lang w:val="en-US" w:eastAsia="zh-CN"/>
        </w:rPr>
        <w:t>盖章</w:t>
      </w:r>
      <w:r>
        <w:rPr>
          <w:rFonts w:hint="eastAsia" w:asciiTheme="minorEastAsia" w:hAnsiTheme="minorEastAsia" w:eastAsiaTheme="minorEastAsia" w:cstheme="minorEastAsia"/>
          <w:b/>
          <w:bCs/>
          <w:color w:val="auto"/>
          <w:sz w:val="24"/>
          <w:highlight w:val="none"/>
        </w:rPr>
        <w:t>：</w:t>
      </w:r>
    </w:p>
    <w:p w14:paraId="073F32FF">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     期：     年   月   日</w:t>
      </w:r>
    </w:p>
    <w:p w14:paraId="18E76048">
      <w:pPr>
        <w:rPr>
          <w:rFonts w:asciiTheme="minorEastAsia" w:hAnsiTheme="minorEastAsia" w:eastAsiaTheme="minorEastAsia" w:cstheme="minorEastAsia"/>
          <w:color w:val="auto"/>
          <w:sz w:val="24"/>
          <w:highlight w:val="none"/>
        </w:rPr>
      </w:pPr>
    </w:p>
    <w:p w14:paraId="11E23697">
      <w:pPr>
        <w:pStyle w:val="6"/>
        <w:snapToGrid w:val="0"/>
        <w:spacing w:line="360" w:lineRule="auto"/>
        <w:jc w:val="left"/>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注：</w:t>
      </w:r>
    </w:p>
    <w:p w14:paraId="648CD9A8">
      <w:pPr>
        <w:pStyle w:val="6"/>
        <w:numPr>
          <w:ilvl w:val="0"/>
          <w:numId w:val="2"/>
        </w:numPr>
        <w:snapToGrid w:val="0"/>
        <w:spacing w:line="360" w:lineRule="auto"/>
        <w:jc w:val="left"/>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本项目只允许有唯一的响应供应商授权代表（提供身份证明扫描件或影印件及联系方式）；</w:t>
      </w:r>
    </w:p>
    <w:p w14:paraId="17390F1E">
      <w:pPr>
        <w:pStyle w:val="6"/>
        <w:snapToGrid w:val="0"/>
        <w:spacing w:line="360"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2、法定代表人参加的，无需提供授权委托书，仅提供身份证明扫描件或影印件及联系方式即可。</w:t>
      </w:r>
    </w:p>
    <w:p w14:paraId="078069F7">
      <w:pPr>
        <w:rPr>
          <w:rFonts w:asciiTheme="minorEastAsia" w:hAnsiTheme="minorEastAsia" w:eastAsiaTheme="minorEastAsia" w:cstheme="minorEastAsia"/>
          <w:color w:val="auto"/>
          <w:sz w:val="24"/>
          <w:highlight w:val="none"/>
        </w:rPr>
      </w:pPr>
    </w:p>
    <w:bookmarkEnd w:id="44"/>
    <w:bookmarkEnd w:id="45"/>
    <w:bookmarkEnd w:id="46"/>
    <w:bookmarkEnd w:id="47"/>
    <w:bookmarkEnd w:id="50"/>
    <w:p w14:paraId="25FB72A4">
      <w:pPr>
        <w:rPr>
          <w:rStyle w:val="39"/>
          <w:rFonts w:ascii="宋体" w:hAnsi="宋体" w:eastAsia="宋体" w:cs="宋体"/>
          <w:color w:val="auto"/>
          <w:sz w:val="24"/>
          <w:szCs w:val="24"/>
          <w:highlight w:val="none"/>
        </w:rPr>
      </w:pPr>
      <w:bookmarkStart w:id="53" w:name="_Toc26032"/>
      <w:bookmarkStart w:id="54" w:name="_Toc18671568"/>
      <w:bookmarkStart w:id="55" w:name="_Toc272163840"/>
      <w:bookmarkStart w:id="56" w:name="_Toc533314960"/>
      <w:r>
        <w:rPr>
          <w:rStyle w:val="39"/>
          <w:rFonts w:hint="eastAsia" w:ascii="宋体" w:hAnsi="宋体" w:eastAsia="宋体" w:cs="宋体"/>
          <w:color w:val="auto"/>
          <w:sz w:val="24"/>
          <w:szCs w:val="24"/>
          <w:highlight w:val="none"/>
        </w:rPr>
        <w:br w:type="page"/>
      </w:r>
    </w:p>
    <w:p w14:paraId="3751C512">
      <w:pPr>
        <w:spacing w:line="560" w:lineRule="exact"/>
        <w:jc w:val="center"/>
        <w:rPr>
          <w:rFonts w:asciiTheme="minorEastAsia" w:hAnsiTheme="minorEastAsia" w:eastAsiaTheme="minorEastAsia" w:cstheme="minorEastAsia"/>
          <w:color w:val="auto"/>
          <w:sz w:val="24"/>
          <w:highlight w:val="none"/>
        </w:rPr>
      </w:pPr>
      <w:bookmarkStart w:id="57" w:name="_Toc7103"/>
      <w:r>
        <w:rPr>
          <w:rStyle w:val="39"/>
          <w:rFonts w:hint="eastAsia" w:ascii="宋体" w:hAnsi="宋体" w:eastAsia="宋体" w:cs="宋体"/>
          <w:color w:val="auto"/>
          <w:sz w:val="24"/>
          <w:szCs w:val="24"/>
          <w:highlight w:val="none"/>
        </w:rPr>
        <w:t>五、服务分项报价表</w:t>
      </w:r>
      <w:bookmarkEnd w:id="53"/>
      <w:bookmarkEnd w:id="57"/>
    </w:p>
    <w:p w14:paraId="3AFF66C7">
      <w:pPr>
        <w:pStyle w:val="36"/>
        <w:ind w:firstLine="0" w:firstLineChars="0"/>
        <w:rPr>
          <w:rFonts w:asciiTheme="minorEastAsia" w:hAnsiTheme="minorEastAsia" w:eastAsiaTheme="minorEastAsia" w:cstheme="minorEastAsia"/>
          <w:color w:val="auto"/>
          <w:sz w:val="24"/>
          <w:highlight w:val="none"/>
        </w:rPr>
      </w:pPr>
    </w:p>
    <w:tbl>
      <w:tblPr>
        <w:tblStyle w:val="16"/>
        <w:tblW w:w="878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234"/>
        <w:gridCol w:w="1559"/>
        <w:gridCol w:w="1276"/>
      </w:tblGrid>
      <w:tr w14:paraId="755DFF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jc w:val="center"/>
        </w:trPr>
        <w:tc>
          <w:tcPr>
            <w:tcW w:w="720" w:type="dxa"/>
            <w:vAlign w:val="center"/>
          </w:tcPr>
          <w:p w14:paraId="69F792FC">
            <w:pPr>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序号</w:t>
            </w:r>
          </w:p>
        </w:tc>
        <w:tc>
          <w:tcPr>
            <w:tcW w:w="5234" w:type="dxa"/>
            <w:vAlign w:val="center"/>
          </w:tcPr>
          <w:p w14:paraId="2B39E33D">
            <w:pPr>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内容</w:t>
            </w:r>
          </w:p>
        </w:tc>
        <w:tc>
          <w:tcPr>
            <w:tcW w:w="1559" w:type="dxa"/>
            <w:vAlign w:val="center"/>
          </w:tcPr>
          <w:p w14:paraId="7B116324">
            <w:pPr>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总价</w:t>
            </w:r>
          </w:p>
          <w:p w14:paraId="194F1148">
            <w:pPr>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（元）</w:t>
            </w:r>
          </w:p>
        </w:tc>
        <w:tc>
          <w:tcPr>
            <w:tcW w:w="1276" w:type="dxa"/>
            <w:vAlign w:val="center"/>
          </w:tcPr>
          <w:p w14:paraId="12147811">
            <w:pPr>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备注</w:t>
            </w:r>
          </w:p>
        </w:tc>
      </w:tr>
      <w:tr w14:paraId="322F230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14:paraId="4344E21E">
            <w:pPr>
              <w:jc w:val="center"/>
              <w:rPr>
                <w:rFonts w:asciiTheme="minorEastAsia" w:hAnsiTheme="minorEastAsia" w:eastAsiaTheme="minorEastAsia" w:cstheme="minorEastAsia"/>
                <w:color w:val="auto"/>
                <w:sz w:val="24"/>
                <w:highlight w:val="none"/>
              </w:rPr>
            </w:pPr>
          </w:p>
        </w:tc>
        <w:tc>
          <w:tcPr>
            <w:tcW w:w="5234" w:type="dxa"/>
            <w:vAlign w:val="center"/>
          </w:tcPr>
          <w:p w14:paraId="224596AF">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拟提供的服务费用</w:t>
            </w:r>
          </w:p>
        </w:tc>
        <w:tc>
          <w:tcPr>
            <w:tcW w:w="1559" w:type="dxa"/>
            <w:vAlign w:val="center"/>
          </w:tcPr>
          <w:p w14:paraId="641C02FE">
            <w:pPr>
              <w:jc w:val="center"/>
              <w:rPr>
                <w:rFonts w:asciiTheme="minorEastAsia" w:hAnsiTheme="minorEastAsia" w:eastAsiaTheme="minorEastAsia" w:cstheme="minorEastAsia"/>
                <w:color w:val="auto"/>
                <w:sz w:val="24"/>
                <w:highlight w:val="none"/>
              </w:rPr>
            </w:pPr>
          </w:p>
        </w:tc>
        <w:tc>
          <w:tcPr>
            <w:tcW w:w="1276" w:type="dxa"/>
            <w:vMerge w:val="restart"/>
            <w:vAlign w:val="center"/>
          </w:tcPr>
          <w:p w14:paraId="7961654F">
            <w:pPr>
              <w:jc w:val="center"/>
              <w:rPr>
                <w:rFonts w:asciiTheme="minorEastAsia" w:hAnsiTheme="minorEastAsia" w:eastAsiaTheme="minorEastAsia" w:cstheme="minorEastAsia"/>
                <w:color w:val="auto"/>
                <w:sz w:val="24"/>
                <w:highlight w:val="none"/>
              </w:rPr>
            </w:pPr>
          </w:p>
        </w:tc>
      </w:tr>
      <w:tr w14:paraId="2A7825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14:paraId="776CE377">
            <w:pPr>
              <w:jc w:val="center"/>
              <w:rPr>
                <w:rFonts w:asciiTheme="minorEastAsia" w:hAnsiTheme="minorEastAsia" w:eastAsiaTheme="minorEastAsia" w:cstheme="minorEastAsia"/>
                <w:color w:val="auto"/>
                <w:sz w:val="24"/>
                <w:highlight w:val="none"/>
              </w:rPr>
            </w:pPr>
          </w:p>
        </w:tc>
        <w:tc>
          <w:tcPr>
            <w:tcW w:w="5234" w:type="dxa"/>
            <w:vAlign w:val="center"/>
          </w:tcPr>
          <w:p w14:paraId="631EA396">
            <w:pPr>
              <w:jc w:val="center"/>
              <w:rPr>
                <w:rFonts w:asciiTheme="minorEastAsia" w:hAnsiTheme="minorEastAsia" w:eastAsiaTheme="minorEastAsia" w:cstheme="minorEastAsia"/>
                <w:color w:val="auto"/>
                <w:sz w:val="24"/>
                <w:highlight w:val="none"/>
              </w:rPr>
            </w:pPr>
          </w:p>
        </w:tc>
        <w:tc>
          <w:tcPr>
            <w:tcW w:w="1559" w:type="dxa"/>
            <w:vAlign w:val="center"/>
          </w:tcPr>
          <w:p w14:paraId="1641E855">
            <w:pPr>
              <w:jc w:val="center"/>
              <w:rPr>
                <w:rFonts w:asciiTheme="minorEastAsia" w:hAnsiTheme="minorEastAsia" w:eastAsiaTheme="minorEastAsia" w:cstheme="minorEastAsia"/>
                <w:color w:val="auto"/>
                <w:sz w:val="24"/>
                <w:highlight w:val="none"/>
              </w:rPr>
            </w:pPr>
          </w:p>
        </w:tc>
        <w:tc>
          <w:tcPr>
            <w:tcW w:w="1276" w:type="dxa"/>
            <w:vMerge w:val="continue"/>
          </w:tcPr>
          <w:p w14:paraId="1E1090C3">
            <w:pPr>
              <w:rPr>
                <w:rFonts w:asciiTheme="minorEastAsia" w:hAnsiTheme="minorEastAsia" w:eastAsiaTheme="minorEastAsia" w:cstheme="minorEastAsia"/>
                <w:color w:val="auto"/>
                <w:sz w:val="24"/>
                <w:highlight w:val="none"/>
              </w:rPr>
            </w:pPr>
          </w:p>
        </w:tc>
      </w:tr>
      <w:tr w14:paraId="5C22FC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14:paraId="69EB5A5A">
            <w:pPr>
              <w:jc w:val="center"/>
              <w:rPr>
                <w:rFonts w:asciiTheme="minorEastAsia" w:hAnsiTheme="minorEastAsia" w:eastAsiaTheme="minorEastAsia" w:cstheme="minorEastAsia"/>
                <w:color w:val="auto"/>
                <w:sz w:val="24"/>
                <w:highlight w:val="none"/>
              </w:rPr>
            </w:pPr>
          </w:p>
        </w:tc>
        <w:tc>
          <w:tcPr>
            <w:tcW w:w="5234" w:type="dxa"/>
            <w:vAlign w:val="center"/>
          </w:tcPr>
          <w:p w14:paraId="0C97644D">
            <w:pPr>
              <w:jc w:val="center"/>
              <w:rPr>
                <w:rFonts w:asciiTheme="minorEastAsia" w:hAnsiTheme="minorEastAsia" w:eastAsiaTheme="minorEastAsia" w:cstheme="minorEastAsia"/>
                <w:color w:val="auto"/>
                <w:sz w:val="24"/>
                <w:highlight w:val="none"/>
              </w:rPr>
            </w:pPr>
          </w:p>
        </w:tc>
        <w:tc>
          <w:tcPr>
            <w:tcW w:w="1559" w:type="dxa"/>
            <w:vAlign w:val="center"/>
          </w:tcPr>
          <w:p w14:paraId="22CDB8FB">
            <w:pPr>
              <w:jc w:val="center"/>
              <w:rPr>
                <w:rFonts w:asciiTheme="minorEastAsia" w:hAnsiTheme="minorEastAsia" w:eastAsiaTheme="minorEastAsia" w:cstheme="minorEastAsia"/>
                <w:color w:val="auto"/>
                <w:sz w:val="24"/>
                <w:highlight w:val="none"/>
              </w:rPr>
            </w:pPr>
          </w:p>
        </w:tc>
        <w:tc>
          <w:tcPr>
            <w:tcW w:w="1276" w:type="dxa"/>
            <w:vMerge w:val="continue"/>
          </w:tcPr>
          <w:p w14:paraId="6F15C436">
            <w:pPr>
              <w:rPr>
                <w:rFonts w:asciiTheme="minorEastAsia" w:hAnsiTheme="minorEastAsia" w:eastAsiaTheme="minorEastAsia" w:cstheme="minorEastAsia"/>
                <w:color w:val="auto"/>
                <w:sz w:val="24"/>
                <w:highlight w:val="none"/>
              </w:rPr>
            </w:pPr>
          </w:p>
        </w:tc>
      </w:tr>
      <w:tr w14:paraId="5CEE86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14:paraId="6107ECBF">
            <w:pPr>
              <w:jc w:val="center"/>
              <w:rPr>
                <w:rFonts w:asciiTheme="minorEastAsia" w:hAnsiTheme="minorEastAsia" w:eastAsiaTheme="minorEastAsia" w:cstheme="minorEastAsia"/>
                <w:color w:val="auto"/>
                <w:sz w:val="24"/>
                <w:highlight w:val="none"/>
              </w:rPr>
            </w:pPr>
          </w:p>
        </w:tc>
        <w:tc>
          <w:tcPr>
            <w:tcW w:w="5234" w:type="dxa"/>
            <w:vAlign w:val="center"/>
          </w:tcPr>
          <w:p w14:paraId="7D6705F0">
            <w:pPr>
              <w:jc w:val="center"/>
              <w:rPr>
                <w:rFonts w:asciiTheme="minorEastAsia" w:hAnsiTheme="minorEastAsia" w:eastAsiaTheme="minorEastAsia" w:cstheme="minorEastAsia"/>
                <w:color w:val="auto"/>
                <w:sz w:val="24"/>
                <w:highlight w:val="none"/>
              </w:rPr>
            </w:pPr>
          </w:p>
        </w:tc>
        <w:tc>
          <w:tcPr>
            <w:tcW w:w="1559" w:type="dxa"/>
            <w:vAlign w:val="center"/>
          </w:tcPr>
          <w:p w14:paraId="4E5A70B7">
            <w:pPr>
              <w:jc w:val="center"/>
              <w:rPr>
                <w:rFonts w:asciiTheme="minorEastAsia" w:hAnsiTheme="minorEastAsia" w:eastAsiaTheme="minorEastAsia" w:cstheme="minorEastAsia"/>
                <w:color w:val="auto"/>
                <w:sz w:val="24"/>
                <w:highlight w:val="none"/>
              </w:rPr>
            </w:pPr>
          </w:p>
        </w:tc>
        <w:tc>
          <w:tcPr>
            <w:tcW w:w="1276" w:type="dxa"/>
            <w:vMerge w:val="continue"/>
          </w:tcPr>
          <w:p w14:paraId="5679BBD8">
            <w:pPr>
              <w:rPr>
                <w:rFonts w:asciiTheme="minorEastAsia" w:hAnsiTheme="minorEastAsia" w:eastAsiaTheme="minorEastAsia" w:cstheme="minorEastAsia"/>
                <w:color w:val="auto"/>
                <w:sz w:val="24"/>
                <w:highlight w:val="none"/>
              </w:rPr>
            </w:pPr>
          </w:p>
        </w:tc>
      </w:tr>
      <w:tr w14:paraId="52B193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14:paraId="702D70A0">
            <w:pPr>
              <w:jc w:val="center"/>
              <w:rPr>
                <w:rFonts w:asciiTheme="minorEastAsia" w:hAnsiTheme="minorEastAsia" w:eastAsiaTheme="minorEastAsia" w:cstheme="minorEastAsia"/>
                <w:color w:val="auto"/>
                <w:sz w:val="24"/>
                <w:highlight w:val="none"/>
              </w:rPr>
            </w:pPr>
          </w:p>
        </w:tc>
        <w:tc>
          <w:tcPr>
            <w:tcW w:w="5234" w:type="dxa"/>
            <w:vAlign w:val="center"/>
          </w:tcPr>
          <w:p w14:paraId="455ACBC1">
            <w:pPr>
              <w:jc w:val="center"/>
              <w:rPr>
                <w:rFonts w:asciiTheme="minorEastAsia" w:hAnsiTheme="minorEastAsia" w:eastAsiaTheme="minorEastAsia" w:cstheme="minorEastAsia"/>
                <w:color w:val="auto"/>
                <w:sz w:val="24"/>
                <w:highlight w:val="none"/>
              </w:rPr>
            </w:pPr>
          </w:p>
        </w:tc>
        <w:tc>
          <w:tcPr>
            <w:tcW w:w="1559" w:type="dxa"/>
            <w:vAlign w:val="center"/>
          </w:tcPr>
          <w:p w14:paraId="00685CB3">
            <w:pPr>
              <w:jc w:val="center"/>
              <w:rPr>
                <w:rFonts w:asciiTheme="minorEastAsia" w:hAnsiTheme="minorEastAsia" w:eastAsiaTheme="minorEastAsia" w:cstheme="minorEastAsia"/>
                <w:color w:val="auto"/>
                <w:sz w:val="24"/>
                <w:highlight w:val="none"/>
              </w:rPr>
            </w:pPr>
          </w:p>
        </w:tc>
        <w:tc>
          <w:tcPr>
            <w:tcW w:w="1276" w:type="dxa"/>
            <w:vMerge w:val="continue"/>
          </w:tcPr>
          <w:p w14:paraId="42EAA35B">
            <w:pPr>
              <w:rPr>
                <w:rFonts w:asciiTheme="minorEastAsia" w:hAnsiTheme="minorEastAsia" w:eastAsiaTheme="minorEastAsia" w:cstheme="minorEastAsia"/>
                <w:color w:val="auto"/>
                <w:sz w:val="24"/>
                <w:highlight w:val="none"/>
              </w:rPr>
            </w:pPr>
          </w:p>
        </w:tc>
      </w:tr>
      <w:tr w14:paraId="057318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14:paraId="27D334A7">
            <w:pPr>
              <w:jc w:val="center"/>
              <w:rPr>
                <w:rFonts w:asciiTheme="minorEastAsia" w:hAnsiTheme="minorEastAsia" w:eastAsiaTheme="minorEastAsia" w:cstheme="minorEastAsia"/>
                <w:color w:val="auto"/>
                <w:sz w:val="24"/>
                <w:highlight w:val="none"/>
              </w:rPr>
            </w:pPr>
          </w:p>
        </w:tc>
        <w:tc>
          <w:tcPr>
            <w:tcW w:w="5234" w:type="dxa"/>
            <w:vAlign w:val="center"/>
          </w:tcPr>
          <w:p w14:paraId="6CAF316E">
            <w:pPr>
              <w:jc w:val="center"/>
              <w:rPr>
                <w:rFonts w:asciiTheme="minorEastAsia" w:hAnsiTheme="minorEastAsia" w:eastAsiaTheme="minorEastAsia" w:cstheme="minorEastAsia"/>
                <w:color w:val="auto"/>
                <w:sz w:val="24"/>
                <w:highlight w:val="none"/>
              </w:rPr>
            </w:pPr>
          </w:p>
        </w:tc>
        <w:tc>
          <w:tcPr>
            <w:tcW w:w="1559" w:type="dxa"/>
            <w:vAlign w:val="center"/>
          </w:tcPr>
          <w:p w14:paraId="65EBD4C5">
            <w:pPr>
              <w:jc w:val="center"/>
              <w:rPr>
                <w:rFonts w:asciiTheme="minorEastAsia" w:hAnsiTheme="minorEastAsia" w:eastAsiaTheme="minorEastAsia" w:cstheme="minorEastAsia"/>
                <w:color w:val="auto"/>
                <w:sz w:val="24"/>
                <w:highlight w:val="none"/>
              </w:rPr>
            </w:pPr>
          </w:p>
        </w:tc>
        <w:tc>
          <w:tcPr>
            <w:tcW w:w="1276" w:type="dxa"/>
            <w:vMerge w:val="continue"/>
          </w:tcPr>
          <w:p w14:paraId="022BD9B7">
            <w:pPr>
              <w:rPr>
                <w:rFonts w:asciiTheme="minorEastAsia" w:hAnsiTheme="minorEastAsia" w:eastAsiaTheme="minorEastAsia" w:cstheme="minorEastAsia"/>
                <w:color w:val="auto"/>
                <w:sz w:val="24"/>
                <w:highlight w:val="none"/>
              </w:rPr>
            </w:pPr>
          </w:p>
        </w:tc>
      </w:tr>
      <w:tr w14:paraId="674A8C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14:paraId="74069577">
            <w:pPr>
              <w:jc w:val="center"/>
              <w:rPr>
                <w:rFonts w:asciiTheme="minorEastAsia" w:hAnsiTheme="minorEastAsia" w:eastAsiaTheme="minorEastAsia" w:cstheme="minorEastAsia"/>
                <w:color w:val="auto"/>
                <w:sz w:val="24"/>
                <w:highlight w:val="none"/>
              </w:rPr>
            </w:pPr>
          </w:p>
        </w:tc>
        <w:tc>
          <w:tcPr>
            <w:tcW w:w="5234" w:type="dxa"/>
            <w:vAlign w:val="center"/>
          </w:tcPr>
          <w:p w14:paraId="17337E7F">
            <w:pPr>
              <w:jc w:val="center"/>
              <w:rPr>
                <w:rFonts w:asciiTheme="minorEastAsia" w:hAnsiTheme="minorEastAsia" w:eastAsiaTheme="minorEastAsia" w:cstheme="minorEastAsia"/>
                <w:color w:val="auto"/>
                <w:sz w:val="24"/>
                <w:highlight w:val="none"/>
              </w:rPr>
            </w:pPr>
          </w:p>
        </w:tc>
        <w:tc>
          <w:tcPr>
            <w:tcW w:w="1559" w:type="dxa"/>
            <w:vAlign w:val="center"/>
          </w:tcPr>
          <w:p w14:paraId="012F4F6C">
            <w:pPr>
              <w:jc w:val="center"/>
              <w:rPr>
                <w:rFonts w:asciiTheme="minorEastAsia" w:hAnsiTheme="minorEastAsia" w:eastAsiaTheme="minorEastAsia" w:cstheme="minorEastAsia"/>
                <w:color w:val="auto"/>
                <w:sz w:val="24"/>
                <w:highlight w:val="none"/>
              </w:rPr>
            </w:pPr>
          </w:p>
        </w:tc>
        <w:tc>
          <w:tcPr>
            <w:tcW w:w="1276" w:type="dxa"/>
            <w:vMerge w:val="continue"/>
          </w:tcPr>
          <w:p w14:paraId="51B4347D">
            <w:pPr>
              <w:rPr>
                <w:rFonts w:asciiTheme="minorEastAsia" w:hAnsiTheme="minorEastAsia" w:eastAsiaTheme="minorEastAsia" w:cstheme="minorEastAsia"/>
                <w:color w:val="auto"/>
                <w:sz w:val="24"/>
                <w:highlight w:val="none"/>
              </w:rPr>
            </w:pPr>
          </w:p>
        </w:tc>
      </w:tr>
      <w:tr w14:paraId="364C00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14:paraId="684DC5D8">
            <w:pPr>
              <w:jc w:val="center"/>
              <w:rPr>
                <w:rFonts w:asciiTheme="minorEastAsia" w:hAnsiTheme="minorEastAsia" w:eastAsiaTheme="minorEastAsia" w:cstheme="minorEastAsia"/>
                <w:color w:val="auto"/>
                <w:sz w:val="24"/>
                <w:highlight w:val="none"/>
              </w:rPr>
            </w:pPr>
          </w:p>
        </w:tc>
        <w:tc>
          <w:tcPr>
            <w:tcW w:w="5234" w:type="dxa"/>
            <w:vAlign w:val="center"/>
          </w:tcPr>
          <w:p w14:paraId="721BA5FD">
            <w:pPr>
              <w:jc w:val="center"/>
              <w:rPr>
                <w:rFonts w:asciiTheme="minorEastAsia" w:hAnsiTheme="minorEastAsia" w:eastAsiaTheme="minorEastAsia" w:cstheme="minorEastAsia"/>
                <w:color w:val="auto"/>
                <w:sz w:val="24"/>
                <w:highlight w:val="none"/>
              </w:rPr>
            </w:pPr>
          </w:p>
        </w:tc>
        <w:tc>
          <w:tcPr>
            <w:tcW w:w="1559" w:type="dxa"/>
            <w:vAlign w:val="center"/>
          </w:tcPr>
          <w:p w14:paraId="05592D67">
            <w:pPr>
              <w:jc w:val="center"/>
              <w:rPr>
                <w:rFonts w:asciiTheme="minorEastAsia" w:hAnsiTheme="minorEastAsia" w:eastAsiaTheme="minorEastAsia" w:cstheme="minorEastAsia"/>
                <w:color w:val="auto"/>
                <w:sz w:val="24"/>
                <w:highlight w:val="none"/>
              </w:rPr>
            </w:pPr>
          </w:p>
        </w:tc>
        <w:tc>
          <w:tcPr>
            <w:tcW w:w="1276" w:type="dxa"/>
            <w:vMerge w:val="continue"/>
          </w:tcPr>
          <w:p w14:paraId="77009421">
            <w:pPr>
              <w:rPr>
                <w:rFonts w:asciiTheme="minorEastAsia" w:hAnsiTheme="minorEastAsia" w:eastAsiaTheme="minorEastAsia" w:cstheme="minorEastAsia"/>
                <w:color w:val="auto"/>
                <w:sz w:val="24"/>
                <w:highlight w:val="none"/>
              </w:rPr>
            </w:pPr>
          </w:p>
        </w:tc>
      </w:tr>
      <w:tr w14:paraId="14A01C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14:paraId="0163B9A9">
            <w:pPr>
              <w:jc w:val="center"/>
              <w:rPr>
                <w:rFonts w:asciiTheme="minorEastAsia" w:hAnsiTheme="minorEastAsia" w:eastAsiaTheme="minorEastAsia" w:cstheme="minorEastAsia"/>
                <w:color w:val="auto"/>
                <w:sz w:val="24"/>
                <w:highlight w:val="none"/>
              </w:rPr>
            </w:pPr>
          </w:p>
        </w:tc>
        <w:tc>
          <w:tcPr>
            <w:tcW w:w="5234" w:type="dxa"/>
            <w:vAlign w:val="center"/>
          </w:tcPr>
          <w:p w14:paraId="1D758431">
            <w:pPr>
              <w:jc w:val="center"/>
              <w:rPr>
                <w:rFonts w:asciiTheme="minorEastAsia" w:hAnsiTheme="minorEastAsia" w:eastAsiaTheme="minorEastAsia" w:cstheme="minorEastAsia"/>
                <w:color w:val="auto"/>
                <w:sz w:val="24"/>
                <w:highlight w:val="none"/>
              </w:rPr>
            </w:pPr>
          </w:p>
        </w:tc>
        <w:tc>
          <w:tcPr>
            <w:tcW w:w="1559" w:type="dxa"/>
            <w:vAlign w:val="center"/>
          </w:tcPr>
          <w:p w14:paraId="00D4CF61">
            <w:pPr>
              <w:jc w:val="center"/>
              <w:rPr>
                <w:rFonts w:asciiTheme="minorEastAsia" w:hAnsiTheme="minorEastAsia" w:eastAsiaTheme="minorEastAsia" w:cstheme="minorEastAsia"/>
                <w:color w:val="auto"/>
                <w:sz w:val="24"/>
                <w:highlight w:val="none"/>
              </w:rPr>
            </w:pPr>
          </w:p>
        </w:tc>
        <w:tc>
          <w:tcPr>
            <w:tcW w:w="1276" w:type="dxa"/>
            <w:vMerge w:val="continue"/>
          </w:tcPr>
          <w:p w14:paraId="297FD971">
            <w:pPr>
              <w:rPr>
                <w:rFonts w:asciiTheme="minorEastAsia" w:hAnsiTheme="minorEastAsia" w:eastAsiaTheme="minorEastAsia" w:cstheme="minorEastAsia"/>
                <w:color w:val="auto"/>
                <w:sz w:val="24"/>
                <w:highlight w:val="none"/>
              </w:rPr>
            </w:pPr>
          </w:p>
        </w:tc>
      </w:tr>
      <w:tr w14:paraId="28372F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14:paraId="13C81E58">
            <w:pPr>
              <w:jc w:val="center"/>
              <w:rPr>
                <w:rFonts w:asciiTheme="minorEastAsia" w:hAnsiTheme="minorEastAsia" w:eastAsiaTheme="minorEastAsia" w:cstheme="minorEastAsia"/>
                <w:color w:val="auto"/>
                <w:sz w:val="24"/>
                <w:highlight w:val="none"/>
              </w:rPr>
            </w:pPr>
          </w:p>
        </w:tc>
        <w:tc>
          <w:tcPr>
            <w:tcW w:w="5234" w:type="dxa"/>
            <w:vAlign w:val="center"/>
          </w:tcPr>
          <w:p w14:paraId="54D39120">
            <w:pPr>
              <w:jc w:val="center"/>
              <w:rPr>
                <w:rFonts w:asciiTheme="minorEastAsia" w:hAnsiTheme="minorEastAsia" w:eastAsiaTheme="minorEastAsia" w:cstheme="minorEastAsia"/>
                <w:color w:val="auto"/>
                <w:sz w:val="24"/>
                <w:highlight w:val="none"/>
              </w:rPr>
            </w:pPr>
          </w:p>
        </w:tc>
        <w:tc>
          <w:tcPr>
            <w:tcW w:w="1559" w:type="dxa"/>
            <w:vAlign w:val="center"/>
          </w:tcPr>
          <w:p w14:paraId="52CAAC07">
            <w:pPr>
              <w:jc w:val="center"/>
              <w:rPr>
                <w:rFonts w:asciiTheme="minorEastAsia" w:hAnsiTheme="minorEastAsia" w:eastAsiaTheme="minorEastAsia" w:cstheme="minorEastAsia"/>
                <w:color w:val="auto"/>
                <w:sz w:val="24"/>
                <w:highlight w:val="none"/>
              </w:rPr>
            </w:pPr>
          </w:p>
        </w:tc>
        <w:tc>
          <w:tcPr>
            <w:tcW w:w="1276" w:type="dxa"/>
            <w:vMerge w:val="continue"/>
          </w:tcPr>
          <w:p w14:paraId="615C68E8">
            <w:pPr>
              <w:rPr>
                <w:rFonts w:asciiTheme="minorEastAsia" w:hAnsiTheme="minorEastAsia" w:eastAsiaTheme="minorEastAsia" w:cstheme="minorEastAsia"/>
                <w:color w:val="auto"/>
                <w:sz w:val="24"/>
                <w:highlight w:val="none"/>
              </w:rPr>
            </w:pPr>
          </w:p>
        </w:tc>
      </w:tr>
      <w:tr w14:paraId="45CBC2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14:paraId="2C97AD26">
            <w:pPr>
              <w:jc w:val="center"/>
              <w:rPr>
                <w:rFonts w:asciiTheme="minorEastAsia" w:hAnsiTheme="minorEastAsia" w:eastAsiaTheme="minorEastAsia" w:cstheme="minorEastAsia"/>
                <w:color w:val="auto"/>
                <w:sz w:val="24"/>
                <w:highlight w:val="none"/>
              </w:rPr>
            </w:pPr>
          </w:p>
        </w:tc>
        <w:tc>
          <w:tcPr>
            <w:tcW w:w="5234" w:type="dxa"/>
            <w:vAlign w:val="center"/>
          </w:tcPr>
          <w:p w14:paraId="3EC8B64C">
            <w:pPr>
              <w:jc w:val="center"/>
              <w:rPr>
                <w:rFonts w:asciiTheme="minorEastAsia" w:hAnsiTheme="minorEastAsia" w:eastAsiaTheme="minorEastAsia" w:cstheme="minorEastAsia"/>
                <w:color w:val="auto"/>
                <w:sz w:val="24"/>
                <w:highlight w:val="none"/>
              </w:rPr>
            </w:pPr>
          </w:p>
        </w:tc>
        <w:tc>
          <w:tcPr>
            <w:tcW w:w="1559" w:type="dxa"/>
            <w:vAlign w:val="center"/>
          </w:tcPr>
          <w:p w14:paraId="3FC1F4F0">
            <w:pPr>
              <w:jc w:val="center"/>
              <w:rPr>
                <w:rFonts w:asciiTheme="minorEastAsia" w:hAnsiTheme="minorEastAsia" w:eastAsiaTheme="minorEastAsia" w:cstheme="minorEastAsia"/>
                <w:color w:val="auto"/>
                <w:sz w:val="24"/>
                <w:highlight w:val="none"/>
              </w:rPr>
            </w:pPr>
          </w:p>
        </w:tc>
        <w:tc>
          <w:tcPr>
            <w:tcW w:w="1276" w:type="dxa"/>
            <w:vMerge w:val="continue"/>
          </w:tcPr>
          <w:p w14:paraId="3F0FF7F3">
            <w:pPr>
              <w:rPr>
                <w:rFonts w:asciiTheme="minorEastAsia" w:hAnsiTheme="minorEastAsia" w:eastAsiaTheme="minorEastAsia" w:cstheme="minorEastAsia"/>
                <w:color w:val="auto"/>
                <w:sz w:val="24"/>
                <w:highlight w:val="none"/>
              </w:rPr>
            </w:pPr>
          </w:p>
        </w:tc>
      </w:tr>
      <w:tr w14:paraId="72A5AE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14:paraId="6DFAB47E">
            <w:pPr>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合计</w:t>
            </w:r>
          </w:p>
        </w:tc>
        <w:tc>
          <w:tcPr>
            <w:tcW w:w="5234" w:type="dxa"/>
            <w:vAlign w:val="center"/>
          </w:tcPr>
          <w:p w14:paraId="33047382">
            <w:pPr>
              <w:jc w:val="center"/>
              <w:rPr>
                <w:rFonts w:asciiTheme="minorEastAsia" w:hAnsiTheme="minorEastAsia" w:eastAsiaTheme="minorEastAsia" w:cstheme="minorEastAsia"/>
                <w:b/>
                <w:color w:val="auto"/>
                <w:sz w:val="24"/>
                <w:highlight w:val="none"/>
              </w:rPr>
            </w:pPr>
          </w:p>
        </w:tc>
        <w:tc>
          <w:tcPr>
            <w:tcW w:w="1559" w:type="dxa"/>
            <w:vAlign w:val="center"/>
          </w:tcPr>
          <w:p w14:paraId="116ED130">
            <w:pPr>
              <w:jc w:val="center"/>
              <w:rPr>
                <w:rFonts w:asciiTheme="minorEastAsia" w:hAnsiTheme="minorEastAsia" w:eastAsiaTheme="minorEastAsia" w:cstheme="minorEastAsia"/>
                <w:b/>
                <w:color w:val="auto"/>
                <w:sz w:val="24"/>
                <w:highlight w:val="none"/>
              </w:rPr>
            </w:pPr>
          </w:p>
        </w:tc>
        <w:tc>
          <w:tcPr>
            <w:tcW w:w="1276" w:type="dxa"/>
            <w:vMerge w:val="continue"/>
          </w:tcPr>
          <w:p w14:paraId="44C93D5F">
            <w:pPr>
              <w:jc w:val="center"/>
              <w:rPr>
                <w:rFonts w:asciiTheme="minorEastAsia" w:hAnsiTheme="minorEastAsia" w:eastAsiaTheme="minorEastAsia" w:cstheme="minorEastAsia"/>
                <w:b/>
                <w:color w:val="auto"/>
                <w:sz w:val="24"/>
                <w:highlight w:val="none"/>
              </w:rPr>
            </w:pPr>
          </w:p>
        </w:tc>
      </w:tr>
    </w:tbl>
    <w:p w14:paraId="7D579890">
      <w:pPr>
        <w:rPr>
          <w:rFonts w:asciiTheme="minorEastAsia" w:hAnsiTheme="minorEastAsia" w:eastAsiaTheme="minorEastAsia" w:cstheme="minorEastAsia"/>
          <w:color w:val="auto"/>
          <w:sz w:val="24"/>
          <w:highlight w:val="none"/>
        </w:rPr>
      </w:pPr>
    </w:p>
    <w:p w14:paraId="438C893D">
      <w:pPr>
        <w:pStyle w:val="3"/>
        <w:spacing w:before="156" w:beforeLines="50" w:after="156" w:afterLines="50" w:line="560" w:lineRule="exact"/>
        <w:jc w:val="left"/>
        <w:rPr>
          <w:rFonts w:asciiTheme="minorEastAsia" w:hAnsiTheme="minorEastAsia" w:eastAsiaTheme="minorEastAsia" w:cstheme="minorEastAsia"/>
          <w:color w:val="auto"/>
          <w:sz w:val="24"/>
          <w:szCs w:val="24"/>
          <w:highlight w:val="none"/>
        </w:rPr>
      </w:pPr>
      <w:bookmarkStart w:id="58" w:name="_Toc1727"/>
      <w:r>
        <w:rPr>
          <w:rFonts w:hint="eastAsia" w:asciiTheme="minorEastAsia" w:hAnsiTheme="minorEastAsia" w:eastAsiaTheme="minorEastAsia" w:cstheme="minorEastAsia"/>
          <w:color w:val="auto"/>
          <w:sz w:val="24"/>
          <w:szCs w:val="24"/>
          <w:highlight w:val="none"/>
        </w:rPr>
        <w:t>注：</w:t>
      </w:r>
      <w:r>
        <w:rPr>
          <w:rFonts w:hint="eastAsia" w:asciiTheme="minorEastAsia" w:hAnsiTheme="minorEastAsia" w:eastAsiaTheme="minorEastAsia" w:cstheme="minorEastAsia"/>
          <w:b w:val="0"/>
          <w:bCs w:val="0"/>
          <w:color w:val="auto"/>
          <w:sz w:val="24"/>
          <w:szCs w:val="24"/>
          <w:highlight w:val="none"/>
        </w:rPr>
        <w:t>本表应清楚地标明供应商拟提供的服务费用等内容，其合计价格应与响应一览表中的总报价保持一致。</w:t>
      </w:r>
      <w:bookmarkEnd w:id="58"/>
    </w:p>
    <w:p w14:paraId="5240B6A3">
      <w:pPr>
        <w:rPr>
          <w:rFonts w:asciiTheme="minorEastAsia" w:hAnsiTheme="minorEastAsia" w:eastAsiaTheme="minorEastAsia" w:cstheme="minorEastAsia"/>
          <w:color w:val="auto"/>
          <w:sz w:val="24"/>
          <w:highlight w:val="none"/>
        </w:rPr>
      </w:pPr>
    </w:p>
    <w:p w14:paraId="266DD948">
      <w:pPr>
        <w:pStyle w:val="3"/>
        <w:spacing w:before="156" w:beforeLines="50" w:after="156" w:afterLines="50" w:line="560" w:lineRule="exact"/>
        <w:jc w:val="center"/>
        <w:rPr>
          <w:rFonts w:asciiTheme="minorEastAsia" w:hAnsiTheme="minorEastAsia" w:eastAsiaTheme="minorEastAsia" w:cstheme="minorEastAsia"/>
          <w:color w:val="auto"/>
          <w:sz w:val="24"/>
          <w:szCs w:val="24"/>
          <w:highlight w:val="none"/>
        </w:rPr>
      </w:pPr>
    </w:p>
    <w:p w14:paraId="1C162081">
      <w:pPr>
        <w:rPr>
          <w:color w:val="auto"/>
          <w:highlight w:val="none"/>
        </w:rPr>
      </w:pPr>
    </w:p>
    <w:p w14:paraId="0E5AD63F">
      <w:pPr>
        <w:pStyle w:val="3"/>
        <w:suppressLineNumbers/>
        <w:spacing w:before="156" w:beforeLines="50" w:after="156" w:afterLines="50" w:line="560" w:lineRule="exact"/>
        <w:rPr>
          <w:rFonts w:ascii="Times New Roman" w:hAnsi="Times New Roman" w:eastAsia="宋体"/>
          <w:b w:val="0"/>
          <w:bCs w:val="0"/>
          <w:color w:val="auto"/>
          <w:sz w:val="21"/>
          <w:szCs w:val="24"/>
          <w:highlight w:val="none"/>
        </w:rPr>
      </w:pPr>
    </w:p>
    <w:p w14:paraId="62D1126C">
      <w:pPr>
        <w:rPr>
          <w:color w:val="auto"/>
          <w:highlight w:val="none"/>
        </w:rPr>
      </w:pPr>
    </w:p>
    <w:p w14:paraId="1D5FD675">
      <w:pPr>
        <w:rPr>
          <w:rFonts w:ascii="宋体" w:hAnsi="宋体" w:cs="宋体"/>
          <w:color w:val="auto"/>
          <w:sz w:val="24"/>
          <w:highlight w:val="none"/>
        </w:rPr>
      </w:pPr>
      <w:r>
        <w:rPr>
          <w:rFonts w:hint="eastAsia" w:ascii="宋体" w:hAnsi="宋体" w:cs="宋体"/>
          <w:color w:val="auto"/>
          <w:sz w:val="24"/>
          <w:highlight w:val="none"/>
        </w:rPr>
        <w:br w:type="page"/>
      </w:r>
    </w:p>
    <w:p w14:paraId="6486358D">
      <w:pPr>
        <w:pStyle w:val="3"/>
        <w:spacing w:before="156" w:beforeLines="50" w:after="156" w:afterLines="50" w:line="560" w:lineRule="exact"/>
        <w:jc w:val="center"/>
        <w:rPr>
          <w:rFonts w:ascii="宋体" w:hAnsi="宋体" w:eastAsia="宋体" w:cs="宋体"/>
          <w:color w:val="auto"/>
          <w:sz w:val="24"/>
          <w:szCs w:val="24"/>
          <w:highlight w:val="none"/>
        </w:rPr>
      </w:pPr>
      <w:bookmarkStart w:id="59" w:name="_Toc27766"/>
      <w:r>
        <w:rPr>
          <w:rFonts w:hint="eastAsia" w:ascii="宋体" w:hAnsi="宋体" w:eastAsia="宋体" w:cs="宋体"/>
          <w:color w:val="auto"/>
          <w:sz w:val="24"/>
          <w:szCs w:val="24"/>
          <w:highlight w:val="none"/>
        </w:rPr>
        <w:t>六、</w:t>
      </w:r>
      <w:bookmarkEnd w:id="54"/>
      <w:bookmarkStart w:id="60" w:name="_Toc18671569"/>
      <w:r>
        <w:rPr>
          <w:rFonts w:hint="eastAsia" w:ascii="宋体" w:hAnsi="宋体" w:eastAsia="宋体" w:cs="宋体"/>
          <w:color w:val="auto"/>
          <w:sz w:val="24"/>
          <w:szCs w:val="24"/>
          <w:highlight w:val="none"/>
        </w:rPr>
        <w:t>服务要求响应情况表</w:t>
      </w:r>
      <w:bookmarkEnd w:id="59"/>
    </w:p>
    <w:p w14:paraId="5D97F22B">
      <w:pPr>
        <w:rPr>
          <w:rFonts w:asciiTheme="minorEastAsia" w:hAnsiTheme="minorEastAsia" w:eastAsiaTheme="minorEastAsia" w:cstheme="minorEastAsia"/>
          <w:color w:val="auto"/>
          <w:sz w:val="24"/>
          <w:highlight w:val="none"/>
        </w:rPr>
      </w:pPr>
    </w:p>
    <w:p w14:paraId="18924B6F">
      <w:pPr>
        <w:widowControl/>
        <w:spacing w:line="560" w:lineRule="exact"/>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采购人名称：                  </w:t>
      </w:r>
    </w:p>
    <w:p w14:paraId="72B94BA5">
      <w:pPr>
        <w:widowControl/>
        <w:spacing w:line="560" w:lineRule="exact"/>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采购代理名称：                </w:t>
      </w:r>
    </w:p>
    <w:p w14:paraId="4F9D33E2">
      <w:pPr>
        <w:widowControl/>
        <w:spacing w:line="560" w:lineRule="exact"/>
        <w:ind w:firstLine="600" w:firstLineChars="250"/>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经过认真研究</w:t>
      </w:r>
      <w:r>
        <w:rPr>
          <w:rFonts w:hint="eastAsia" w:asciiTheme="minorEastAsia" w:hAnsiTheme="minorEastAsia" w:eastAsiaTheme="minorEastAsia" w:cstheme="minorEastAsia"/>
          <w:color w:val="auto"/>
          <w:kern w:val="0"/>
          <w:sz w:val="24"/>
          <w:highlight w:val="none"/>
          <w:u w:val="single"/>
        </w:rPr>
        <w:t>（项目名称）（项目编号）</w:t>
      </w:r>
      <w:r>
        <w:rPr>
          <w:rFonts w:hint="eastAsia" w:asciiTheme="minorEastAsia" w:hAnsiTheme="minorEastAsia" w:eastAsiaTheme="minorEastAsia" w:cstheme="minorEastAsia"/>
          <w:color w:val="auto"/>
          <w:kern w:val="0"/>
          <w:sz w:val="24"/>
          <w:highlight w:val="none"/>
        </w:rPr>
        <w:t>单一来源文件要求，我方确认，</w:t>
      </w:r>
      <w:r>
        <w:rPr>
          <w:rFonts w:hint="eastAsia" w:asciiTheme="minorEastAsia" w:hAnsiTheme="minorEastAsia" w:eastAsiaTheme="minorEastAsia" w:cstheme="minorEastAsia"/>
          <w:b/>
          <w:color w:val="auto"/>
          <w:kern w:val="0"/>
          <w:sz w:val="24"/>
          <w:highlight w:val="none"/>
        </w:rPr>
        <w:t>除下列偏离表所列情况外，我方响应情况全部为“符合”</w:t>
      </w:r>
      <w:r>
        <w:rPr>
          <w:rFonts w:hint="eastAsia" w:asciiTheme="minorEastAsia" w:hAnsiTheme="minorEastAsia" w:eastAsiaTheme="minorEastAsia" w:cstheme="minorEastAsia"/>
          <w:color w:val="auto"/>
          <w:kern w:val="0"/>
          <w:sz w:val="24"/>
          <w:highlight w:val="none"/>
        </w:rPr>
        <w:t>。</w:t>
      </w:r>
    </w:p>
    <w:p w14:paraId="0FA1EC49">
      <w:pPr>
        <w:widowControl/>
        <w:spacing w:line="600" w:lineRule="exact"/>
        <w:jc w:val="center"/>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服务要求偏离表</w:t>
      </w:r>
    </w:p>
    <w:tbl>
      <w:tblPr>
        <w:tblStyle w:val="16"/>
        <w:tblW w:w="8522"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15"/>
        <w:gridCol w:w="2836"/>
        <w:gridCol w:w="2757"/>
        <w:gridCol w:w="2214"/>
      </w:tblGrid>
      <w:tr w14:paraId="598042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2" w:hRule="atLeast"/>
        </w:trPr>
        <w:tc>
          <w:tcPr>
            <w:tcW w:w="715" w:type="dxa"/>
            <w:tcBorders>
              <w:top w:val="single" w:color="auto" w:sz="4" w:space="0"/>
              <w:left w:val="single" w:color="auto" w:sz="4" w:space="0"/>
              <w:bottom w:val="single" w:color="auto" w:sz="4" w:space="0"/>
              <w:right w:val="single" w:color="auto" w:sz="4" w:space="0"/>
            </w:tcBorders>
            <w:vAlign w:val="center"/>
          </w:tcPr>
          <w:p w14:paraId="44C35007">
            <w:pPr>
              <w:widowControl/>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序号</w:t>
            </w:r>
          </w:p>
        </w:tc>
        <w:tc>
          <w:tcPr>
            <w:tcW w:w="2836" w:type="dxa"/>
            <w:tcBorders>
              <w:top w:val="single" w:color="auto" w:sz="4" w:space="0"/>
              <w:left w:val="single" w:color="auto" w:sz="4" w:space="0"/>
              <w:bottom w:val="single" w:color="auto" w:sz="4" w:space="0"/>
              <w:right w:val="single" w:color="auto" w:sz="4" w:space="0"/>
            </w:tcBorders>
            <w:vAlign w:val="center"/>
          </w:tcPr>
          <w:p w14:paraId="566D3BC2">
            <w:pPr>
              <w:widowControl/>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单一来源文件中要求</w:t>
            </w:r>
          </w:p>
        </w:tc>
        <w:tc>
          <w:tcPr>
            <w:tcW w:w="2757" w:type="dxa"/>
            <w:tcBorders>
              <w:top w:val="single" w:color="auto" w:sz="4" w:space="0"/>
              <w:left w:val="single" w:color="auto" w:sz="4" w:space="0"/>
              <w:bottom w:val="single" w:color="auto" w:sz="4" w:space="0"/>
              <w:right w:val="single" w:color="auto" w:sz="4" w:space="0"/>
            </w:tcBorders>
            <w:vAlign w:val="center"/>
          </w:tcPr>
          <w:p w14:paraId="320B7B28">
            <w:pPr>
              <w:widowControl/>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供应商的响应内容</w:t>
            </w:r>
          </w:p>
        </w:tc>
        <w:tc>
          <w:tcPr>
            <w:tcW w:w="2214" w:type="dxa"/>
            <w:tcBorders>
              <w:top w:val="single" w:color="auto" w:sz="4" w:space="0"/>
              <w:left w:val="single" w:color="auto" w:sz="4" w:space="0"/>
              <w:bottom w:val="single" w:color="auto" w:sz="4" w:space="0"/>
              <w:right w:val="single" w:color="auto" w:sz="4" w:space="0"/>
            </w:tcBorders>
            <w:vAlign w:val="center"/>
          </w:tcPr>
          <w:p w14:paraId="52DD58A0">
            <w:pPr>
              <w:widowControl/>
              <w:ind w:firstLine="361" w:firstLineChars="150"/>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偏离及影响</w:t>
            </w:r>
          </w:p>
          <w:p w14:paraId="0C07D1BD">
            <w:pPr>
              <w:widowControl/>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（正偏离/负偏离）</w:t>
            </w:r>
          </w:p>
        </w:tc>
      </w:tr>
      <w:tr w14:paraId="2581EF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2" w:hRule="atLeast"/>
        </w:trPr>
        <w:tc>
          <w:tcPr>
            <w:tcW w:w="715" w:type="dxa"/>
            <w:tcBorders>
              <w:top w:val="single" w:color="auto" w:sz="4" w:space="0"/>
              <w:left w:val="single" w:color="auto" w:sz="4" w:space="0"/>
              <w:bottom w:val="single" w:color="auto" w:sz="4" w:space="0"/>
              <w:right w:val="single" w:color="auto" w:sz="4" w:space="0"/>
            </w:tcBorders>
            <w:vAlign w:val="center"/>
          </w:tcPr>
          <w:p w14:paraId="69780D15">
            <w:pPr>
              <w:widowControl/>
              <w:jc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2836" w:type="dxa"/>
            <w:vAlign w:val="center"/>
          </w:tcPr>
          <w:p w14:paraId="3F5492F6">
            <w:pPr>
              <w:widowControl/>
              <w:jc w:val="left"/>
              <w:rPr>
                <w:rFonts w:hint="default" w:asciiTheme="minorEastAsia" w:hAnsiTheme="minorEastAsia" w:eastAsiaTheme="minorEastAsia" w:cstheme="minorEastAsia"/>
                <w:color w:val="auto"/>
                <w:kern w:val="0"/>
                <w:sz w:val="24"/>
                <w:highlight w:val="none"/>
                <w:lang w:val="en-US" w:eastAsia="zh-CN"/>
              </w:rPr>
            </w:pPr>
          </w:p>
        </w:tc>
        <w:tc>
          <w:tcPr>
            <w:tcW w:w="2757" w:type="dxa"/>
            <w:vAlign w:val="center"/>
          </w:tcPr>
          <w:p w14:paraId="218BEE5E">
            <w:pPr>
              <w:widowControl/>
              <w:jc w:val="left"/>
              <w:rPr>
                <w:rFonts w:asciiTheme="minorEastAsia" w:hAnsiTheme="minorEastAsia" w:eastAsiaTheme="minorEastAsia" w:cstheme="minorEastAsia"/>
                <w:color w:val="auto"/>
                <w:kern w:val="0"/>
                <w:sz w:val="24"/>
                <w:highlight w:val="none"/>
              </w:rPr>
            </w:pPr>
          </w:p>
        </w:tc>
        <w:tc>
          <w:tcPr>
            <w:tcW w:w="2214" w:type="dxa"/>
            <w:vAlign w:val="center"/>
          </w:tcPr>
          <w:p w14:paraId="2C4F3A31">
            <w:pPr>
              <w:widowControl/>
              <w:jc w:val="left"/>
              <w:rPr>
                <w:rFonts w:asciiTheme="minorEastAsia" w:hAnsiTheme="minorEastAsia" w:eastAsiaTheme="minorEastAsia" w:cstheme="minorEastAsia"/>
                <w:color w:val="auto"/>
                <w:kern w:val="0"/>
                <w:sz w:val="24"/>
                <w:highlight w:val="none"/>
              </w:rPr>
            </w:pPr>
          </w:p>
        </w:tc>
      </w:tr>
      <w:tr w14:paraId="5085F147">
        <w:tblPrEx>
          <w:tblCellMar>
            <w:top w:w="0" w:type="dxa"/>
            <w:left w:w="108" w:type="dxa"/>
            <w:bottom w:w="0" w:type="dxa"/>
            <w:right w:w="108" w:type="dxa"/>
          </w:tblCellMar>
        </w:tblPrEx>
        <w:trPr>
          <w:trHeight w:val="701" w:hRule="atLeast"/>
        </w:trPr>
        <w:tc>
          <w:tcPr>
            <w:tcW w:w="715" w:type="dxa"/>
            <w:tcBorders>
              <w:top w:val="single" w:color="auto" w:sz="4" w:space="0"/>
              <w:left w:val="single" w:color="auto" w:sz="4" w:space="0"/>
              <w:bottom w:val="single" w:color="auto" w:sz="4" w:space="0"/>
              <w:right w:val="single" w:color="auto" w:sz="4" w:space="0"/>
            </w:tcBorders>
            <w:vAlign w:val="center"/>
          </w:tcPr>
          <w:p w14:paraId="68FABF05">
            <w:pPr>
              <w:widowControl/>
              <w:jc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w:t>
            </w:r>
          </w:p>
        </w:tc>
        <w:tc>
          <w:tcPr>
            <w:tcW w:w="2836" w:type="dxa"/>
            <w:vAlign w:val="center"/>
          </w:tcPr>
          <w:p w14:paraId="5E73DF6C">
            <w:pPr>
              <w:widowControl/>
              <w:jc w:val="left"/>
              <w:rPr>
                <w:rFonts w:asciiTheme="minorEastAsia" w:hAnsiTheme="minorEastAsia" w:eastAsiaTheme="minorEastAsia" w:cstheme="minorEastAsia"/>
                <w:color w:val="auto"/>
                <w:kern w:val="0"/>
                <w:sz w:val="24"/>
                <w:highlight w:val="none"/>
              </w:rPr>
            </w:pPr>
          </w:p>
        </w:tc>
        <w:tc>
          <w:tcPr>
            <w:tcW w:w="2757" w:type="dxa"/>
            <w:vAlign w:val="center"/>
          </w:tcPr>
          <w:p w14:paraId="36CBD596">
            <w:pPr>
              <w:widowControl/>
              <w:jc w:val="left"/>
              <w:rPr>
                <w:rFonts w:asciiTheme="minorEastAsia" w:hAnsiTheme="minorEastAsia" w:eastAsiaTheme="minorEastAsia" w:cstheme="minorEastAsia"/>
                <w:color w:val="auto"/>
                <w:kern w:val="0"/>
                <w:sz w:val="24"/>
                <w:highlight w:val="none"/>
              </w:rPr>
            </w:pPr>
          </w:p>
        </w:tc>
        <w:tc>
          <w:tcPr>
            <w:tcW w:w="2214" w:type="dxa"/>
            <w:vAlign w:val="center"/>
          </w:tcPr>
          <w:p w14:paraId="2BB22DA8">
            <w:pPr>
              <w:widowControl/>
              <w:jc w:val="left"/>
              <w:rPr>
                <w:rFonts w:asciiTheme="minorEastAsia" w:hAnsiTheme="minorEastAsia" w:eastAsiaTheme="minorEastAsia" w:cstheme="minorEastAsia"/>
                <w:color w:val="auto"/>
                <w:kern w:val="0"/>
                <w:sz w:val="24"/>
                <w:highlight w:val="none"/>
              </w:rPr>
            </w:pPr>
          </w:p>
        </w:tc>
      </w:tr>
      <w:tr w14:paraId="651682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5" w:hRule="atLeast"/>
        </w:trPr>
        <w:tc>
          <w:tcPr>
            <w:tcW w:w="715" w:type="dxa"/>
            <w:tcBorders>
              <w:top w:val="single" w:color="auto" w:sz="4" w:space="0"/>
              <w:left w:val="single" w:color="auto" w:sz="4" w:space="0"/>
              <w:bottom w:val="single" w:color="auto" w:sz="4" w:space="0"/>
              <w:right w:val="single" w:color="auto" w:sz="4" w:space="0"/>
            </w:tcBorders>
            <w:vAlign w:val="center"/>
          </w:tcPr>
          <w:p w14:paraId="263C0ECC">
            <w:pPr>
              <w:widowControl/>
              <w:jc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p>
        </w:tc>
        <w:tc>
          <w:tcPr>
            <w:tcW w:w="2836" w:type="dxa"/>
            <w:vAlign w:val="center"/>
          </w:tcPr>
          <w:p w14:paraId="629D5A2C">
            <w:pPr>
              <w:widowControl/>
              <w:jc w:val="left"/>
              <w:rPr>
                <w:rFonts w:asciiTheme="minorEastAsia" w:hAnsiTheme="minorEastAsia" w:eastAsiaTheme="minorEastAsia" w:cstheme="minorEastAsia"/>
                <w:color w:val="auto"/>
                <w:kern w:val="0"/>
                <w:sz w:val="24"/>
                <w:highlight w:val="none"/>
              </w:rPr>
            </w:pPr>
          </w:p>
        </w:tc>
        <w:tc>
          <w:tcPr>
            <w:tcW w:w="2757" w:type="dxa"/>
            <w:vAlign w:val="center"/>
          </w:tcPr>
          <w:p w14:paraId="653543C7">
            <w:pPr>
              <w:widowControl/>
              <w:jc w:val="left"/>
              <w:rPr>
                <w:rFonts w:asciiTheme="minorEastAsia" w:hAnsiTheme="minorEastAsia" w:eastAsiaTheme="minorEastAsia" w:cstheme="minorEastAsia"/>
                <w:color w:val="auto"/>
                <w:kern w:val="0"/>
                <w:sz w:val="24"/>
                <w:highlight w:val="none"/>
              </w:rPr>
            </w:pPr>
          </w:p>
        </w:tc>
        <w:tc>
          <w:tcPr>
            <w:tcW w:w="2214" w:type="dxa"/>
            <w:vAlign w:val="center"/>
          </w:tcPr>
          <w:p w14:paraId="1F2A5009">
            <w:pPr>
              <w:widowControl/>
              <w:jc w:val="left"/>
              <w:rPr>
                <w:rFonts w:asciiTheme="minorEastAsia" w:hAnsiTheme="minorEastAsia" w:eastAsiaTheme="minorEastAsia" w:cstheme="minorEastAsia"/>
                <w:color w:val="auto"/>
                <w:kern w:val="0"/>
                <w:sz w:val="24"/>
                <w:highlight w:val="none"/>
              </w:rPr>
            </w:pPr>
          </w:p>
        </w:tc>
      </w:tr>
      <w:tr w14:paraId="3F0269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715" w:type="dxa"/>
            <w:tcBorders>
              <w:top w:val="single" w:color="auto" w:sz="4" w:space="0"/>
              <w:left w:val="single" w:color="auto" w:sz="4" w:space="0"/>
              <w:bottom w:val="single" w:color="auto" w:sz="4" w:space="0"/>
              <w:right w:val="single" w:color="auto" w:sz="4" w:space="0"/>
            </w:tcBorders>
            <w:vAlign w:val="center"/>
          </w:tcPr>
          <w:p w14:paraId="63FFA56A">
            <w:pPr>
              <w:widowControl/>
              <w:jc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w:t>
            </w:r>
          </w:p>
        </w:tc>
        <w:tc>
          <w:tcPr>
            <w:tcW w:w="2836" w:type="dxa"/>
            <w:vAlign w:val="center"/>
          </w:tcPr>
          <w:p w14:paraId="10B77BB0">
            <w:pPr>
              <w:widowControl/>
              <w:jc w:val="left"/>
              <w:rPr>
                <w:rFonts w:asciiTheme="minorEastAsia" w:hAnsiTheme="minorEastAsia" w:eastAsiaTheme="minorEastAsia" w:cstheme="minorEastAsia"/>
                <w:color w:val="auto"/>
                <w:kern w:val="0"/>
                <w:sz w:val="24"/>
                <w:highlight w:val="none"/>
              </w:rPr>
            </w:pPr>
          </w:p>
        </w:tc>
        <w:tc>
          <w:tcPr>
            <w:tcW w:w="2757" w:type="dxa"/>
            <w:vAlign w:val="center"/>
          </w:tcPr>
          <w:p w14:paraId="6B16455C">
            <w:pPr>
              <w:widowControl/>
              <w:jc w:val="left"/>
              <w:rPr>
                <w:rFonts w:asciiTheme="minorEastAsia" w:hAnsiTheme="minorEastAsia" w:eastAsiaTheme="minorEastAsia" w:cstheme="minorEastAsia"/>
                <w:color w:val="auto"/>
                <w:kern w:val="0"/>
                <w:sz w:val="24"/>
                <w:highlight w:val="none"/>
              </w:rPr>
            </w:pPr>
          </w:p>
        </w:tc>
        <w:tc>
          <w:tcPr>
            <w:tcW w:w="2214" w:type="dxa"/>
            <w:vAlign w:val="center"/>
          </w:tcPr>
          <w:p w14:paraId="1F45FA83">
            <w:pPr>
              <w:widowControl/>
              <w:jc w:val="left"/>
              <w:rPr>
                <w:rFonts w:asciiTheme="minorEastAsia" w:hAnsiTheme="minorEastAsia" w:eastAsiaTheme="minorEastAsia" w:cstheme="minorEastAsia"/>
                <w:color w:val="auto"/>
                <w:kern w:val="0"/>
                <w:sz w:val="24"/>
                <w:highlight w:val="none"/>
              </w:rPr>
            </w:pPr>
          </w:p>
        </w:tc>
      </w:tr>
    </w:tbl>
    <w:p w14:paraId="539382BF">
      <w:pPr>
        <w:spacing w:line="360" w:lineRule="auto"/>
        <w:rPr>
          <w:rFonts w:asciiTheme="minorEastAsia" w:hAnsiTheme="minorEastAsia" w:eastAsiaTheme="minorEastAsia" w:cstheme="minorEastAsia"/>
          <w:b/>
          <w:bCs/>
          <w:color w:val="auto"/>
          <w:sz w:val="24"/>
          <w:highlight w:val="none"/>
        </w:rPr>
      </w:pPr>
    </w:p>
    <w:p w14:paraId="116C80FD">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供应商</w:t>
      </w:r>
      <w:r>
        <w:rPr>
          <w:rFonts w:hint="eastAsia" w:asciiTheme="minorEastAsia" w:hAnsiTheme="minorEastAsia" w:eastAsiaTheme="minorEastAsia" w:cstheme="minorEastAsia"/>
          <w:b/>
          <w:bCs/>
          <w:color w:val="auto"/>
          <w:sz w:val="24"/>
          <w:highlight w:val="none"/>
          <w:lang w:val="en-US" w:eastAsia="zh-CN"/>
        </w:rPr>
        <w:t>盖章</w:t>
      </w:r>
      <w:r>
        <w:rPr>
          <w:rFonts w:hint="eastAsia" w:asciiTheme="minorEastAsia" w:hAnsiTheme="minorEastAsia" w:eastAsiaTheme="minorEastAsia" w:cstheme="minorEastAsia"/>
          <w:b/>
          <w:bCs/>
          <w:color w:val="auto"/>
          <w:sz w:val="24"/>
          <w:highlight w:val="none"/>
        </w:rPr>
        <w:t>：</w:t>
      </w:r>
    </w:p>
    <w:p w14:paraId="46491822">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     期：     年   月   日</w:t>
      </w:r>
    </w:p>
    <w:p w14:paraId="6CB03031">
      <w:pPr>
        <w:rPr>
          <w:rFonts w:asciiTheme="minorEastAsia" w:hAnsiTheme="minorEastAsia" w:eastAsiaTheme="minorEastAsia" w:cstheme="minorEastAsia"/>
          <w:color w:val="auto"/>
          <w:kern w:val="0"/>
          <w:sz w:val="24"/>
          <w:highlight w:val="none"/>
        </w:rPr>
      </w:pPr>
    </w:p>
    <w:p w14:paraId="7B90451F">
      <w:pPr>
        <w:ind w:firstLine="5160" w:firstLineChars="2150"/>
        <w:rPr>
          <w:rFonts w:asciiTheme="minorEastAsia" w:hAnsiTheme="minorEastAsia" w:eastAsiaTheme="minorEastAsia" w:cstheme="minorEastAsia"/>
          <w:color w:val="auto"/>
          <w:kern w:val="0"/>
          <w:sz w:val="24"/>
          <w:highlight w:val="none"/>
        </w:rPr>
      </w:pPr>
    </w:p>
    <w:p w14:paraId="3383FD34">
      <w:pPr>
        <w:jc w:val="left"/>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注：</w:t>
      </w:r>
    </w:p>
    <w:p w14:paraId="2F5B93ED">
      <w:pPr>
        <w:spacing w:line="44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服务要求偏离表中供应商的响应内容低于单一来源文件要求的，协商小组不寻求其他证明材料，直接判定该项要求为负偏离。</w:t>
      </w:r>
    </w:p>
    <w:p w14:paraId="7379DD41">
      <w:pPr>
        <w:pStyle w:val="3"/>
        <w:spacing w:before="156" w:beforeLines="50" w:after="156" w:afterLines="50" w:line="560" w:lineRule="exact"/>
        <w:jc w:val="center"/>
        <w:rPr>
          <w:rFonts w:ascii="宋体" w:hAnsi="宋体" w:cs="宋体"/>
          <w:color w:val="auto"/>
          <w:sz w:val="24"/>
          <w:highlight w:val="none"/>
        </w:rPr>
      </w:pPr>
      <w:r>
        <w:rPr>
          <w:rFonts w:hint="eastAsia" w:ascii="宋体" w:hAnsi="宋体" w:cs="宋体"/>
          <w:color w:val="auto"/>
          <w:sz w:val="24"/>
          <w:highlight w:val="none"/>
        </w:rPr>
        <w:br w:type="page"/>
      </w:r>
    </w:p>
    <w:bookmarkEnd w:id="55"/>
    <w:bookmarkEnd w:id="56"/>
    <w:bookmarkEnd w:id="60"/>
    <w:p w14:paraId="7578C221">
      <w:pPr>
        <w:pStyle w:val="3"/>
        <w:spacing w:before="156" w:beforeLines="50" w:after="156" w:afterLines="50" w:line="560" w:lineRule="exact"/>
        <w:jc w:val="center"/>
        <w:rPr>
          <w:rFonts w:ascii="宋体" w:hAnsi="宋体" w:eastAsia="宋体" w:cs="宋体"/>
          <w:color w:val="auto"/>
          <w:sz w:val="24"/>
          <w:szCs w:val="24"/>
          <w:highlight w:val="none"/>
        </w:rPr>
      </w:pPr>
      <w:bookmarkStart w:id="61" w:name="_Toc29403"/>
      <w:bookmarkStart w:id="62" w:name="_Toc18671571"/>
      <w:r>
        <w:rPr>
          <w:rFonts w:hint="eastAsia" w:ascii="宋体" w:hAnsi="宋体" w:eastAsia="宋体" w:cs="宋体"/>
          <w:color w:val="auto"/>
          <w:sz w:val="24"/>
          <w:szCs w:val="24"/>
          <w:highlight w:val="none"/>
        </w:rPr>
        <w:t>七、方案</w:t>
      </w:r>
      <w:bookmarkEnd w:id="61"/>
      <w:bookmarkEnd w:id="62"/>
    </w:p>
    <w:p w14:paraId="5553AB13">
      <w:pPr>
        <w:spacing w:line="44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（一）</w:t>
      </w:r>
      <w:r>
        <w:rPr>
          <w:rFonts w:hint="eastAsia" w:ascii="宋体" w:hAnsi="宋体" w:cs="宋体"/>
          <w:b/>
          <w:color w:val="auto"/>
          <w:sz w:val="24"/>
          <w:highlight w:val="none"/>
        </w:rPr>
        <w:t>服务方案</w:t>
      </w:r>
    </w:p>
    <w:p w14:paraId="25D84803">
      <w:pPr>
        <w:spacing w:line="440" w:lineRule="exact"/>
        <w:jc w:val="lef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（二）质量及售后服务等</w:t>
      </w:r>
    </w:p>
    <w:p w14:paraId="28A4ED1A">
      <w:pPr>
        <w:spacing w:line="440" w:lineRule="exact"/>
        <w:ind w:firstLine="2706" w:firstLineChars="1123"/>
        <w:jc w:val="left"/>
        <w:rPr>
          <w:rFonts w:asciiTheme="minorEastAsia" w:hAnsiTheme="minorEastAsia" w:eastAsiaTheme="minorEastAsia" w:cstheme="minorEastAsia"/>
          <w:b/>
          <w:color w:val="auto"/>
          <w:sz w:val="24"/>
          <w:highlight w:val="none"/>
        </w:rPr>
      </w:pPr>
    </w:p>
    <w:p w14:paraId="59460D81">
      <w:pPr>
        <w:numPr>
          <w:ilvl w:val="0"/>
          <w:numId w:val="3"/>
        </w:numPr>
        <w:spacing w:before="156" w:beforeLines="50" w:after="156" w:afterLines="50" w:line="560" w:lineRule="exact"/>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rPr>
        <w:br w:type="page"/>
      </w:r>
      <w:bookmarkStart w:id="63" w:name="_Toc18671573"/>
      <w:bookmarkStart w:id="64" w:name="_Toc30204"/>
      <w:bookmarkStart w:id="65" w:name="_Toc15376906"/>
      <w:r>
        <w:rPr>
          <w:rStyle w:val="39"/>
          <w:rFonts w:hint="eastAsia" w:ascii="宋体" w:hAnsi="宋体" w:eastAsia="宋体" w:cs="宋体"/>
          <w:color w:val="auto"/>
          <w:sz w:val="24"/>
          <w:szCs w:val="24"/>
          <w:highlight w:val="none"/>
        </w:rPr>
        <w:t>联合体协议</w:t>
      </w:r>
      <w:bookmarkEnd w:id="63"/>
      <w:bookmarkEnd w:id="64"/>
      <w:bookmarkEnd w:id="65"/>
    </w:p>
    <w:p w14:paraId="080CA607">
      <w:pPr>
        <w:jc w:val="center"/>
        <w:rPr>
          <w:rFonts w:asciiTheme="minorEastAsia" w:hAnsiTheme="minorEastAsia" w:eastAsiaTheme="minorEastAsia" w:cstheme="minorEastAsia"/>
          <w:color w:val="auto"/>
          <w:sz w:val="24"/>
          <w:highlight w:val="none"/>
        </w:rPr>
      </w:pPr>
      <w:r>
        <w:rPr>
          <w:rFonts w:hint="eastAsia"/>
          <w:color w:val="auto"/>
          <w:sz w:val="24"/>
          <w:highlight w:val="none"/>
        </w:rPr>
        <w:t>（不允许联合体投标或未组成联合体投标，不需此件）</w:t>
      </w:r>
    </w:p>
    <w:p w14:paraId="62E57FDF">
      <w:pPr>
        <w:rPr>
          <w:rFonts w:asciiTheme="minorEastAsia" w:hAnsiTheme="minorEastAsia" w:eastAsiaTheme="minorEastAsia" w:cstheme="minorEastAsia"/>
          <w:color w:val="auto"/>
          <w:sz w:val="24"/>
          <w:highlight w:val="none"/>
        </w:rPr>
      </w:pPr>
    </w:p>
    <w:p w14:paraId="17F77149">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与</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就“</w:t>
      </w:r>
      <w:r>
        <w:rPr>
          <w:rFonts w:hint="eastAsia" w:asciiTheme="minorEastAsia" w:hAnsiTheme="minorEastAsia" w:eastAsiaTheme="minorEastAsia" w:cstheme="minorEastAsia"/>
          <w:color w:val="auto"/>
          <w:sz w:val="24"/>
          <w:highlight w:val="none"/>
          <w:u w:val="single"/>
        </w:rPr>
        <w:t>某项目</w:t>
      </w:r>
      <w:r>
        <w:rPr>
          <w:rFonts w:hint="eastAsia" w:asciiTheme="minorEastAsia" w:hAnsiTheme="minorEastAsia" w:eastAsiaTheme="minorEastAsia" w:cstheme="minorEastAsia"/>
          <w:color w:val="auto"/>
          <w:sz w:val="24"/>
          <w:highlight w:val="none"/>
        </w:rPr>
        <w:t>”（项目编号：</w:t>
      </w:r>
      <w:r>
        <w:rPr>
          <w:rFonts w:hint="eastAsia" w:asciiTheme="minorEastAsia" w:hAnsiTheme="minorEastAsia" w:eastAsiaTheme="minorEastAsia" w:cstheme="minorEastAsia"/>
          <w:color w:val="auto"/>
          <w:sz w:val="24"/>
          <w:highlight w:val="none"/>
          <w:u w:val="single"/>
        </w:rPr>
        <w:t>某编号</w:t>
      </w:r>
      <w:r>
        <w:rPr>
          <w:rFonts w:hint="eastAsia" w:asciiTheme="minorEastAsia" w:hAnsiTheme="minorEastAsia" w:eastAsiaTheme="minorEastAsia" w:cstheme="minorEastAsia"/>
          <w:color w:val="auto"/>
          <w:sz w:val="24"/>
          <w:highlight w:val="none"/>
        </w:rPr>
        <w:t>）的响应有关事宜，经充分协商一致，达成如下协议：</w:t>
      </w:r>
    </w:p>
    <w:p w14:paraId="42BF9981">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一、由</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牵头，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参加，组成联合体共同参加本项目的单一来源活动。</w:t>
      </w:r>
    </w:p>
    <w:p w14:paraId="453C8F23">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为本次响应的主体方，联合体以主体方的名义参加单一来源活动。主体方负责单一来源项目的一切组织、协调工作，并授权代理人以联合体的名义参加项目的单一来源活动，代理人在参加单一来源活动过程中所签署的一切文件和处理与本次单一来源活动的有关一切事物，联合体各方均予以承认并承担法律责任。联合体成交后，联合体各方共同与采购人签订合同，就本项目对采购人承担连带责任。</w:t>
      </w:r>
    </w:p>
    <w:p w14:paraId="4357621E">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三、如联合体成交，则主体方负责</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等工作；参加方负责</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等工作。各方各自承担相应的责任。</w:t>
      </w:r>
    </w:p>
    <w:p w14:paraId="59299D9C">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四、各方不得再以自己名义单独在本项目中参加单一来源活动，也不得组成新的联合体参加本项目单一来源活动。</w:t>
      </w:r>
    </w:p>
    <w:p w14:paraId="361FBBF8">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五、参加方负责内容的合同金额占联合体协议合同总金额百分之</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p>
    <w:p w14:paraId="374DF831">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六、主体方负责内容的合同金额占联合体协议合同总金额百分之</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p>
    <w:p w14:paraId="73CCF81B">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七、未成交，本协议自动废止。</w:t>
      </w:r>
    </w:p>
    <w:p w14:paraId="55BBA774">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主体方：（公章）                       参加方：（公章）</w:t>
      </w:r>
    </w:p>
    <w:p w14:paraId="4558AF1D">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法定代表人：                           法定代表人： </w:t>
      </w:r>
    </w:p>
    <w:p w14:paraId="4F58CCB1">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地址：                                 地址：</w:t>
      </w:r>
    </w:p>
    <w:p w14:paraId="6D8FDB27">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邮编：                                 邮编：</w:t>
      </w:r>
    </w:p>
    <w:p w14:paraId="2F14F933">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电话：                                 电话：</w:t>
      </w:r>
    </w:p>
    <w:p w14:paraId="34511093">
      <w:pPr>
        <w:pStyle w:val="11"/>
        <w:spacing w:line="360" w:lineRule="auto"/>
        <w:rPr>
          <w:rFonts w:asciiTheme="minorEastAsia" w:hAnsiTheme="minorEastAsia" w:eastAsiaTheme="minorEastAsia" w:cstheme="minorEastAsia"/>
          <w:color w:val="auto"/>
          <w:szCs w:val="24"/>
          <w:highlight w:val="none"/>
        </w:rPr>
      </w:pPr>
    </w:p>
    <w:p w14:paraId="227F957D">
      <w:pPr>
        <w:rPr>
          <w:color w:val="auto"/>
          <w:highlight w:val="none"/>
        </w:rPr>
      </w:pPr>
    </w:p>
    <w:p w14:paraId="10012BEB">
      <w:pPr>
        <w:ind w:right="120"/>
        <w:jc w:val="righ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 xml:space="preserve">签订日期: </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rPr>
        <w:t>年</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rPr>
        <w:t>月</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rPr>
        <w:t>日</w:t>
      </w:r>
    </w:p>
    <w:p w14:paraId="0FCA1766">
      <w:pPr>
        <w:rPr>
          <w:rFonts w:hAnsi="宋体" w:cs="宋体"/>
          <w:color w:val="auto"/>
          <w:sz w:val="24"/>
          <w:szCs w:val="32"/>
          <w:highlight w:val="none"/>
        </w:rPr>
      </w:pPr>
      <w:r>
        <w:rPr>
          <w:rFonts w:hAnsi="宋体" w:cs="宋体"/>
          <w:color w:val="auto"/>
          <w:sz w:val="24"/>
          <w:szCs w:val="32"/>
          <w:highlight w:val="none"/>
        </w:rPr>
        <w:br w:type="page"/>
      </w:r>
    </w:p>
    <w:p w14:paraId="1BC85ABB">
      <w:pPr>
        <w:outlineLvl w:val="0"/>
        <w:rPr>
          <w:rStyle w:val="56"/>
          <w:rFonts w:hint="eastAsia" w:ascii="宋体" w:hAnsi="宋体" w:eastAsia="宋体" w:cs="宋体"/>
          <w:color w:val="auto"/>
          <w:sz w:val="24"/>
          <w:szCs w:val="24"/>
          <w:highlight w:val="none"/>
          <w:lang w:val="en-US" w:eastAsia="zh-CN"/>
        </w:rPr>
      </w:pPr>
      <w:r>
        <w:rPr>
          <w:rStyle w:val="56"/>
          <w:rFonts w:hint="eastAsia" w:ascii="宋体" w:hAnsi="宋体" w:eastAsia="宋体" w:cs="宋体"/>
          <w:color w:val="auto"/>
          <w:sz w:val="24"/>
          <w:szCs w:val="24"/>
          <w:highlight w:val="none"/>
          <w:lang w:val="en-US" w:eastAsia="zh-CN"/>
        </w:rPr>
        <w:t>额外附件（无需编入响应文件）</w:t>
      </w:r>
    </w:p>
    <w:p w14:paraId="11BF8D6E">
      <w:pPr>
        <w:spacing w:line="360" w:lineRule="auto"/>
        <w:jc w:val="center"/>
        <w:rPr>
          <w:rFonts w:hint="eastAsia" w:ascii="宋体" w:hAnsi="宋体" w:eastAsia="宋体" w:cs="宋体"/>
          <w:b/>
          <w:bCs w:val="0"/>
          <w:color w:val="auto"/>
          <w:sz w:val="24"/>
          <w:szCs w:val="24"/>
          <w:highlight w:val="none"/>
        </w:rPr>
      </w:pPr>
    </w:p>
    <w:p w14:paraId="7904B0BB">
      <w:pPr>
        <w:spacing w:line="360" w:lineRule="auto"/>
        <w:jc w:val="center"/>
        <w:rPr>
          <w:rFonts w:hint="eastAsia" w:ascii="宋体" w:hAnsi="宋体" w:eastAsia="宋体" w:cs="宋体"/>
          <w:b/>
          <w:bCs w:val="0"/>
          <w:color w:val="auto"/>
          <w:sz w:val="24"/>
          <w:szCs w:val="24"/>
          <w:highlight w:val="none"/>
        </w:rPr>
      </w:pPr>
      <w:r>
        <w:rPr>
          <w:rFonts w:hint="eastAsia" w:ascii="宋体" w:hAnsi="宋体" w:cs="宋体"/>
          <w:b/>
          <w:bCs w:val="0"/>
          <w:color w:val="auto"/>
          <w:sz w:val="24"/>
          <w:szCs w:val="24"/>
          <w:highlight w:val="none"/>
          <w:lang w:val="en-US" w:eastAsia="zh-CN"/>
        </w:rPr>
        <w:t>第</w:t>
      </w:r>
      <w:r>
        <w:rPr>
          <w:rFonts w:hint="eastAsia" w:ascii="宋体" w:hAnsi="宋体" w:cs="宋体"/>
          <w:b/>
          <w:bCs w:val="0"/>
          <w:color w:val="auto"/>
          <w:sz w:val="24"/>
          <w:szCs w:val="24"/>
          <w:highlight w:val="none"/>
          <w:u w:val="single"/>
          <w:lang w:val="en-US" w:eastAsia="zh-CN"/>
        </w:rPr>
        <w:t xml:space="preserve">     </w:t>
      </w:r>
      <w:r>
        <w:rPr>
          <w:rFonts w:hint="eastAsia" w:ascii="宋体" w:hAnsi="宋体" w:eastAsia="宋体" w:cs="宋体"/>
          <w:b/>
          <w:bCs w:val="0"/>
          <w:color w:val="auto"/>
          <w:sz w:val="24"/>
          <w:szCs w:val="24"/>
          <w:highlight w:val="none"/>
          <w:lang w:val="en-US" w:eastAsia="zh-CN"/>
        </w:rPr>
        <w:t>轮</w:t>
      </w:r>
      <w:r>
        <w:rPr>
          <w:rFonts w:hint="eastAsia" w:ascii="宋体" w:hAnsi="宋体" w:eastAsia="宋体" w:cs="宋体"/>
          <w:b/>
          <w:bCs w:val="0"/>
          <w:color w:val="auto"/>
          <w:sz w:val="24"/>
          <w:szCs w:val="24"/>
          <w:highlight w:val="none"/>
        </w:rPr>
        <w:t>报价函</w:t>
      </w:r>
    </w:p>
    <w:p w14:paraId="3919827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致 ：</w:t>
      </w:r>
      <w:r>
        <w:rPr>
          <w:rFonts w:hint="eastAsia" w:ascii="宋体" w:hAnsi="宋体" w:eastAsia="宋体" w:cs="宋体"/>
          <w:bCs/>
          <w:color w:val="auto"/>
          <w:sz w:val="24"/>
          <w:szCs w:val="24"/>
          <w:highlight w:val="none"/>
          <w:u w:val="single"/>
        </w:rPr>
        <w:t>( 采购人</w:t>
      </w:r>
      <w:r>
        <w:rPr>
          <w:rFonts w:hint="eastAsia" w:ascii="宋体" w:hAnsi="宋体" w:eastAsia="宋体" w:cs="宋体"/>
          <w:bCs/>
          <w:color w:val="auto"/>
          <w:sz w:val="24"/>
          <w:szCs w:val="24"/>
          <w:highlight w:val="none"/>
          <w:u w:val="single"/>
          <w:lang w:val="en-US" w:eastAsia="zh-CN"/>
        </w:rPr>
        <w:t>名称</w:t>
      </w:r>
      <w:r>
        <w:rPr>
          <w:rFonts w:hint="eastAsia" w:ascii="宋体" w:hAnsi="宋体" w:eastAsia="宋体" w:cs="宋体"/>
          <w:bCs/>
          <w:color w:val="auto"/>
          <w:sz w:val="24"/>
          <w:szCs w:val="24"/>
          <w:highlight w:val="none"/>
          <w:u w:val="single"/>
        </w:rPr>
        <w:t xml:space="preserve"> )</w:t>
      </w:r>
    </w:p>
    <w:p w14:paraId="46513D2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1、我方愿在前一轮</w:t>
      </w:r>
      <w:r>
        <w:rPr>
          <w:rFonts w:hint="eastAsia" w:ascii="宋体" w:hAnsi="宋体" w:cs="宋体"/>
          <w:bCs/>
          <w:color w:val="auto"/>
          <w:sz w:val="24"/>
          <w:szCs w:val="24"/>
          <w:highlight w:val="none"/>
          <w:lang w:val="en-US" w:eastAsia="zh-CN"/>
        </w:rPr>
        <w:t>响应</w:t>
      </w:r>
      <w:r>
        <w:rPr>
          <w:rFonts w:hint="eastAsia" w:ascii="宋体" w:hAnsi="宋体" w:eastAsia="宋体" w:cs="宋体"/>
          <w:bCs/>
          <w:color w:val="auto"/>
          <w:sz w:val="24"/>
          <w:szCs w:val="24"/>
          <w:highlight w:val="none"/>
        </w:rPr>
        <w:t>（响应文件）报价的基础上再次让利，让利后响应报价为人民币</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元。如果我方有幸成为成交单位，报价费用为所委托项目范围内全部工作，该费用不再调整。</w:t>
      </w:r>
    </w:p>
    <w:p w14:paraId="2D20E05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2、其他部分与响应性文件内容一致。</w:t>
      </w:r>
    </w:p>
    <w:p w14:paraId="4A442B21">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bCs/>
          <w:color w:val="auto"/>
          <w:sz w:val="24"/>
          <w:szCs w:val="24"/>
          <w:highlight w:val="none"/>
        </w:rPr>
      </w:pPr>
    </w:p>
    <w:p w14:paraId="195B10E9">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供应商：（盖</w:t>
      </w:r>
      <w:r>
        <w:rPr>
          <w:rFonts w:hint="eastAsia" w:ascii="宋体" w:hAnsi="宋体" w:eastAsia="宋体" w:cs="宋体"/>
          <w:bCs/>
          <w:color w:val="auto"/>
          <w:sz w:val="24"/>
          <w:szCs w:val="24"/>
          <w:highlight w:val="none"/>
          <w:lang w:val="en-US" w:eastAsia="zh-CN"/>
        </w:rPr>
        <w:t>公</w:t>
      </w:r>
      <w:r>
        <w:rPr>
          <w:rFonts w:hint="eastAsia" w:ascii="宋体" w:hAnsi="宋体" w:eastAsia="宋体" w:cs="宋体"/>
          <w:bCs/>
          <w:color w:val="auto"/>
          <w:sz w:val="24"/>
          <w:szCs w:val="24"/>
          <w:highlight w:val="none"/>
        </w:rPr>
        <w:t>章）</w:t>
      </w:r>
    </w:p>
    <w:p w14:paraId="1937A761">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法定代表人（或委托代理人）：（签字或盖章）       </w:t>
      </w:r>
    </w:p>
    <w:p w14:paraId="16DEF123">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日期： 年  月  日 </w:t>
      </w:r>
    </w:p>
    <w:p w14:paraId="5CED3D01">
      <w:pPr>
        <w:spacing w:line="360" w:lineRule="auto"/>
        <w:jc w:val="center"/>
        <w:rPr>
          <w:rFonts w:hint="eastAsia" w:ascii="宋体" w:hAnsi="宋体" w:eastAsia="宋体" w:cs="宋体"/>
          <w:bCs/>
          <w:color w:val="auto"/>
          <w:sz w:val="24"/>
          <w:szCs w:val="24"/>
          <w:highlight w:val="none"/>
        </w:rPr>
      </w:pPr>
    </w:p>
    <w:p w14:paraId="631F7E2B">
      <w:pPr>
        <w:spacing w:line="360" w:lineRule="auto"/>
        <w:jc w:val="center"/>
        <w:rPr>
          <w:rFonts w:hint="eastAsia" w:ascii="宋体" w:hAnsi="宋体" w:eastAsia="宋体" w:cs="宋体"/>
          <w:bCs/>
          <w:color w:val="auto"/>
          <w:sz w:val="24"/>
          <w:szCs w:val="24"/>
          <w:highlight w:val="none"/>
        </w:rPr>
      </w:pPr>
    </w:p>
    <w:p w14:paraId="18034301">
      <w:pPr>
        <w:spacing w:line="360" w:lineRule="auto"/>
        <w:jc w:val="both"/>
        <w:rPr>
          <w:rFonts w:hint="eastAsia" w:ascii="宋体" w:hAnsi="宋体" w:eastAsia="宋体" w:cs="宋体"/>
          <w:bCs/>
          <w:color w:val="auto"/>
          <w:sz w:val="24"/>
          <w:szCs w:val="24"/>
          <w:highlight w:val="none"/>
        </w:rPr>
      </w:pPr>
    </w:p>
    <w:p w14:paraId="3784302C">
      <w:pPr>
        <w:spacing w:line="360" w:lineRule="auto"/>
        <w:jc w:val="left"/>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注：</w:t>
      </w:r>
    </w:p>
    <w:p w14:paraId="6AB76A89">
      <w:pPr>
        <w:spacing w:line="360" w:lineRule="auto"/>
        <w:jc w:val="left"/>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1）</w:t>
      </w:r>
      <w:r>
        <w:rPr>
          <w:rFonts w:hint="eastAsia" w:ascii="宋体" w:hAnsi="宋体" w:eastAsia="宋体" w:cs="宋体"/>
          <w:b/>
          <w:bCs w:val="0"/>
          <w:color w:val="auto"/>
          <w:sz w:val="24"/>
          <w:szCs w:val="24"/>
          <w:highlight w:val="none"/>
        </w:rPr>
        <w:t>最终报价单位为元，最多保留两位小数。</w:t>
      </w:r>
    </w:p>
    <w:p w14:paraId="5D4EE873">
      <w:pPr>
        <w:spacing w:line="360" w:lineRule="auto"/>
        <w:jc w:val="left"/>
        <w:rPr>
          <w:rFonts w:hint="default"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w:t>
      </w:r>
      <w:r>
        <w:rPr>
          <w:rFonts w:hint="eastAsia" w:ascii="宋体" w:hAnsi="宋体" w:cs="宋体"/>
          <w:b/>
          <w:bCs w:val="0"/>
          <w:color w:val="auto"/>
          <w:sz w:val="24"/>
          <w:szCs w:val="24"/>
          <w:highlight w:val="none"/>
          <w:lang w:val="en-US" w:eastAsia="zh-CN"/>
        </w:rPr>
        <w:t>2</w:t>
      </w:r>
      <w:r>
        <w:rPr>
          <w:rFonts w:hint="eastAsia" w:ascii="宋体" w:hAnsi="宋体" w:eastAsia="宋体" w:cs="宋体"/>
          <w:b/>
          <w:bCs w:val="0"/>
          <w:color w:val="auto"/>
          <w:sz w:val="24"/>
          <w:szCs w:val="24"/>
          <w:highlight w:val="none"/>
          <w:lang w:val="en-US" w:eastAsia="zh-CN"/>
        </w:rPr>
        <w:t>）各供应商单独备足空白“报价函”并加盖单位公章及签字，用于</w:t>
      </w:r>
      <w:r>
        <w:rPr>
          <w:rFonts w:hint="eastAsia" w:ascii="宋体" w:hAnsi="宋体" w:cs="宋体"/>
          <w:b/>
          <w:bCs w:val="0"/>
          <w:color w:val="auto"/>
          <w:sz w:val="24"/>
          <w:szCs w:val="24"/>
          <w:highlight w:val="none"/>
          <w:lang w:val="en-US" w:eastAsia="zh-CN"/>
        </w:rPr>
        <w:t>多</w:t>
      </w:r>
      <w:r>
        <w:rPr>
          <w:rFonts w:hint="eastAsia" w:ascii="宋体" w:hAnsi="宋体" w:eastAsia="宋体" w:cs="宋体"/>
          <w:b/>
          <w:bCs w:val="0"/>
          <w:color w:val="auto"/>
          <w:sz w:val="24"/>
          <w:szCs w:val="24"/>
          <w:highlight w:val="none"/>
          <w:lang w:val="en-US" w:eastAsia="zh-CN"/>
        </w:rPr>
        <w:t>次报价时填写。</w:t>
      </w:r>
    </w:p>
    <w:p w14:paraId="0F0BB8B6">
      <w:pPr>
        <w:pStyle w:val="15"/>
        <w:rPr>
          <w:color w:val="auto"/>
          <w:highlight w:val="none"/>
        </w:rPr>
      </w:pPr>
    </w:p>
    <w:sectPr>
      <w:headerReference r:id="rId7" w:type="default"/>
      <w:footerReference r:id="rId8" w:type="default"/>
      <w:footerReference r:id="rId9" w:type="even"/>
      <w:pgSz w:w="11906" w:h="16838"/>
      <w:pgMar w:top="1440" w:right="1800" w:bottom="1440" w:left="1800" w:header="1134" w:footer="85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1B30895-9953-4049-809A-2E46FDA485A9}"/>
  </w:font>
  <w:font w:name="黑体">
    <w:panose1 w:val="02010609060101010101"/>
    <w:charset w:val="86"/>
    <w:family w:val="auto"/>
    <w:pitch w:val="default"/>
    <w:sig w:usb0="800002BF" w:usb1="38CF7CFA" w:usb2="00000016" w:usb3="00000000" w:csb0="00040001" w:csb1="00000000"/>
    <w:embedRegular r:id="rId2" w:fontKey="{A5996DC6-ECDA-43D1-AE25-E401CC2E559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D26933BD-16B3-4EAE-95ED-81621DF655E3}"/>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
    <w:altName w:val="宋体"/>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DengXian ( 正文 )">
    <w:altName w:val="Times New Roman"/>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embedRegular r:id="rId4" w:fontKey="{AABC45C3-4908-43F9-9B4F-E9BD66F009F6}"/>
  </w:font>
  <w:font w:name="仿宋">
    <w:panose1 w:val="02010609060101010101"/>
    <w:charset w:val="86"/>
    <w:family w:val="auto"/>
    <w:pitch w:val="default"/>
    <w:sig w:usb0="800002BF" w:usb1="38CF7CFA" w:usb2="00000016" w:usb3="00000000" w:csb0="00040001" w:csb1="00000000"/>
    <w:embedRegular r:id="rId5" w:fontKey="{D0F054B2-4C14-4551-A039-B1C81EE57E2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C54C6">
    <w:pPr>
      <w:pStyle w:val="8"/>
    </w:pPr>
  </w:p>
  <w:p w14:paraId="208197A1">
    <w:pPr>
      <w:spacing w:line="220" w:lineRule="auto"/>
      <w:ind w:left="3323"/>
      <w:rPr>
        <w:rFonts w:ascii="宋体" w:hAnsi="宋体" w:cs="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4FC19">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D79C98">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ED79C98">
                    <w:pPr>
                      <w:pStyle w:val="8"/>
                    </w:pPr>
                    <w:r>
                      <w:fldChar w:fldCharType="begin"/>
                    </w:r>
                    <w:r>
                      <w:instrText xml:space="preserve"> PAGE  \* MERGEFORMAT </w:instrText>
                    </w:r>
                    <w:r>
                      <w:fldChar w:fldCharType="separate"/>
                    </w:r>
                    <w:r>
                      <w:t>3</w:t>
                    </w:r>
                    <w:r>
                      <w:fldChar w:fldCharType="end"/>
                    </w:r>
                  </w:p>
                </w:txbxContent>
              </v:textbox>
            </v:shape>
          </w:pict>
        </mc:Fallback>
      </mc:AlternateContent>
    </w:r>
  </w:p>
  <w:p w14:paraId="54E65E8C">
    <w:pPr>
      <w:spacing w:line="220" w:lineRule="auto"/>
      <w:ind w:left="3323"/>
      <w:rPr>
        <w:rFonts w:ascii="宋体" w:hAnsi="宋体" w:cs="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5344A">
    <w:pPr>
      <w:pStyle w:val="5"/>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2845481">
                          <w:pPr>
                            <w:pStyle w:val="8"/>
                          </w:pPr>
                          <w:r>
                            <w:fldChar w:fldCharType="begin"/>
                          </w:r>
                          <w:r>
                            <w:instrText xml:space="preserve"> PAGE  \* MERGEFORMAT </w:instrText>
                          </w:r>
                          <w:r>
                            <w:fldChar w:fldCharType="separate"/>
                          </w:r>
                          <w:r>
                            <w:t>- 26 -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nvl6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9F0zhY6ff3w/&#10;//x9/vWN4A4CNdbPEfdgERnad6bF2Az3HpeRd1s6FX/BiMAPeU8XeUUbCI+PZtPZbAwXh284AD97&#10;em6dD++FUSQaOXXoX5KVHbc+dKFDSMymzaaWMvVQatLk9Prq7Tg9uHgALnWMFWkaephIqSs9WqHd&#10;tT3PnSlOoOlMNyne8k2NUrbMh3vmMBooH8sT7vAppUFK01uUVMZ9/dd9jEfH4KWkwajlVGOzKJEf&#10;NDoJwDAYbjB2g6EP6tZgdidYSsuTiQcuyMEsnVFfsFGrmAMupjky5TQM5m3oxh0bycVqlYIO1tX7&#10;qnuAObQsbPWD5TFNlMrb1SFA2qR4FKhTBZ2KB0xi6lm/NXHU/zynqKd/iu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Envl685AgAAcQQAAA4AAAAAAAAAAQAgAAAAHwEAAGRycy9lMm9Eb2Mu&#10;eG1sUEsFBgAAAAAGAAYAWQEAAMoFAAAAAA==&#10;">
              <v:fill on="f" focussize="0,0"/>
              <v:stroke on="f" weight="0.5pt"/>
              <v:imagedata o:title=""/>
              <o:lock v:ext="edit" aspectratio="f"/>
              <v:textbox inset="0mm,0mm,0mm,0mm" style="mso-fit-shape-to-text:t;">
                <w:txbxContent>
                  <w:p w14:paraId="02845481">
                    <w:pPr>
                      <w:pStyle w:val="8"/>
                    </w:pPr>
                    <w:r>
                      <w:fldChar w:fldCharType="begin"/>
                    </w:r>
                    <w:r>
                      <w:instrText xml:space="preserve"> PAGE  \* MERGEFORMAT </w:instrText>
                    </w:r>
                    <w:r>
                      <w:fldChar w:fldCharType="separate"/>
                    </w:r>
                    <w:r>
                      <w:t>- 26 -</w:t>
                    </w:r>
                    <w:r>
                      <w:fldChar w:fldCharType="end"/>
                    </w:r>
                  </w:p>
                </w:txbxContent>
              </v:textbox>
            </v:shape>
          </w:pict>
        </mc:Fallback>
      </mc:AlternateContent>
    </w:r>
  </w:p>
  <w:p w14:paraId="24320D69"/>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F7D4E">
    <w:pPr>
      <w:pStyle w:val="8"/>
      <w:pBdr>
        <w:top w:val="single" w:color="auto" w:sz="4" w:space="1"/>
      </w:pBdr>
      <w:ind w:right="360"/>
      <w:rPr>
        <w:sz w:val="24"/>
        <w:szCs w:val="24"/>
      </w:rPr>
    </w:pPr>
    <w:r>
      <w:rPr>
        <w:sz w:val="24"/>
        <w:lang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51BB3B4">
                          <w:pPr>
                            <w:pStyle w:val="8"/>
                            <w:rPr>
                              <w:rStyle w:val="20"/>
                              <w:i/>
                              <w:sz w:val="21"/>
                              <w:szCs w:val="21"/>
                            </w:rPr>
                          </w:pPr>
                          <w:r>
                            <w:rPr>
                              <w:rStyle w:val="20"/>
                              <w:rFonts w:hint="eastAsia"/>
                              <w:i/>
                              <w:sz w:val="21"/>
                              <w:szCs w:val="21"/>
                            </w:rPr>
                            <w:t>-</w:t>
                          </w:r>
                          <w:r>
                            <w:rPr>
                              <w:rFonts w:ascii="Arial" w:hAnsi="Arial" w:cs="Arial"/>
                              <w:i/>
                              <w:sz w:val="21"/>
                              <w:szCs w:val="21"/>
                            </w:rPr>
                            <w:fldChar w:fldCharType="begin"/>
                          </w:r>
                          <w:r>
                            <w:rPr>
                              <w:rStyle w:val="20"/>
                              <w:rFonts w:ascii="Arial" w:hAnsi="Arial" w:cs="Arial"/>
                              <w:i/>
                              <w:sz w:val="21"/>
                              <w:szCs w:val="21"/>
                            </w:rPr>
                            <w:instrText xml:space="preserve">PAGE  </w:instrText>
                          </w:r>
                          <w:r>
                            <w:rPr>
                              <w:rFonts w:ascii="Arial" w:hAnsi="Arial" w:cs="Arial"/>
                              <w:i/>
                              <w:sz w:val="21"/>
                              <w:szCs w:val="21"/>
                            </w:rPr>
                            <w:fldChar w:fldCharType="separate"/>
                          </w:r>
                          <w:r>
                            <w:rPr>
                              <w:rStyle w:val="20"/>
                              <w:rFonts w:ascii="Arial" w:hAnsi="Arial" w:cs="Arial"/>
                              <w:i/>
                              <w:sz w:val="21"/>
                              <w:szCs w:val="21"/>
                            </w:rPr>
                            <w:t>39</w:t>
                          </w:r>
                          <w:r>
                            <w:rPr>
                              <w:rFonts w:ascii="Arial" w:hAnsi="Arial" w:cs="Arial"/>
                              <w:i/>
                              <w:sz w:val="21"/>
                              <w:szCs w:val="21"/>
                            </w:rPr>
                            <w:fldChar w:fldCharType="end"/>
                          </w:r>
                          <w:r>
                            <w:rPr>
                              <w:rStyle w:val="20"/>
                              <w:rFonts w:hint="eastAsia"/>
                              <w:i/>
                              <w:sz w:val="21"/>
                              <w:szCs w:val="21"/>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351BB3B4">
                    <w:pPr>
                      <w:pStyle w:val="8"/>
                      <w:rPr>
                        <w:rStyle w:val="20"/>
                        <w:i/>
                        <w:sz w:val="21"/>
                        <w:szCs w:val="21"/>
                      </w:rPr>
                    </w:pPr>
                    <w:r>
                      <w:rPr>
                        <w:rStyle w:val="20"/>
                        <w:rFonts w:hint="eastAsia"/>
                        <w:i/>
                        <w:sz w:val="21"/>
                        <w:szCs w:val="21"/>
                      </w:rPr>
                      <w:t>-</w:t>
                    </w:r>
                    <w:r>
                      <w:rPr>
                        <w:rFonts w:ascii="Arial" w:hAnsi="Arial" w:cs="Arial"/>
                        <w:i/>
                        <w:sz w:val="21"/>
                        <w:szCs w:val="21"/>
                      </w:rPr>
                      <w:fldChar w:fldCharType="begin"/>
                    </w:r>
                    <w:r>
                      <w:rPr>
                        <w:rStyle w:val="20"/>
                        <w:rFonts w:ascii="Arial" w:hAnsi="Arial" w:cs="Arial"/>
                        <w:i/>
                        <w:sz w:val="21"/>
                        <w:szCs w:val="21"/>
                      </w:rPr>
                      <w:instrText xml:space="preserve">PAGE  </w:instrText>
                    </w:r>
                    <w:r>
                      <w:rPr>
                        <w:rFonts w:ascii="Arial" w:hAnsi="Arial" w:cs="Arial"/>
                        <w:i/>
                        <w:sz w:val="21"/>
                        <w:szCs w:val="21"/>
                      </w:rPr>
                      <w:fldChar w:fldCharType="separate"/>
                    </w:r>
                    <w:r>
                      <w:rPr>
                        <w:rStyle w:val="20"/>
                        <w:rFonts w:ascii="Arial" w:hAnsi="Arial" w:cs="Arial"/>
                        <w:i/>
                        <w:sz w:val="21"/>
                        <w:szCs w:val="21"/>
                      </w:rPr>
                      <w:t>39</w:t>
                    </w:r>
                    <w:r>
                      <w:rPr>
                        <w:rFonts w:ascii="Arial" w:hAnsi="Arial" w:cs="Arial"/>
                        <w:i/>
                        <w:sz w:val="21"/>
                        <w:szCs w:val="21"/>
                      </w:rPr>
                      <w:fldChar w:fldCharType="end"/>
                    </w:r>
                    <w:r>
                      <w:rPr>
                        <w:rStyle w:val="20"/>
                        <w:rFonts w:hint="eastAsia"/>
                        <w:i/>
                        <w:sz w:val="21"/>
                        <w:szCs w:val="21"/>
                      </w:rPr>
                      <w:t>-</w:t>
                    </w:r>
                  </w:p>
                </w:txbxContent>
              </v:textbox>
            </v:shape>
          </w:pict>
        </mc:Fallback>
      </mc:AlternateContent>
    </w:r>
  </w:p>
  <w:p w14:paraId="0C8DF097"/>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C626F">
    <w:pPr>
      <w:pStyle w:val="8"/>
      <w:framePr w:wrap="around" w:vAnchor="text" w:hAnchor="margin" w:xAlign="right" w:y="1"/>
      <w:rPr>
        <w:rStyle w:val="20"/>
      </w:rPr>
    </w:pPr>
    <w:r>
      <w:fldChar w:fldCharType="begin"/>
    </w:r>
    <w:r>
      <w:rPr>
        <w:rStyle w:val="20"/>
      </w:rPr>
      <w:instrText xml:space="preserve">PAGE  </w:instrText>
    </w:r>
    <w:r>
      <w:fldChar w:fldCharType="end"/>
    </w:r>
  </w:p>
  <w:p w14:paraId="765583CD">
    <w:pPr>
      <w:pStyle w:val="8"/>
      <w:ind w:right="360"/>
    </w:pPr>
  </w:p>
  <w:p w14:paraId="76381028"/>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42A1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45E0D">
    <w:pPr>
      <w:pStyle w:val="9"/>
      <w:pBdr>
        <w:bottom w:val="single" w:color="auto" w:sz="4"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B1AAF7"/>
    <w:multiLevelType w:val="singleLevel"/>
    <w:tmpl w:val="C5B1AAF7"/>
    <w:lvl w:ilvl="0" w:tentative="0">
      <w:start w:val="1"/>
      <w:numFmt w:val="decimal"/>
      <w:suff w:val="nothing"/>
      <w:lvlText w:val="%1、"/>
      <w:lvlJc w:val="left"/>
    </w:lvl>
  </w:abstractNum>
  <w:abstractNum w:abstractNumId="1">
    <w:nsid w:val="5187CC9C"/>
    <w:multiLevelType w:val="singleLevel"/>
    <w:tmpl w:val="5187CC9C"/>
    <w:lvl w:ilvl="0" w:tentative="0">
      <w:start w:val="1"/>
      <w:numFmt w:val="decimal"/>
      <w:suff w:val="nothing"/>
      <w:lvlText w:val="%1、"/>
      <w:lvlJc w:val="left"/>
    </w:lvl>
  </w:abstractNum>
  <w:abstractNum w:abstractNumId="2">
    <w:nsid w:val="57E98523"/>
    <w:multiLevelType w:val="singleLevel"/>
    <w:tmpl w:val="57E98523"/>
    <w:lvl w:ilvl="0" w:tentative="0">
      <w:start w:val="8"/>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hYjEzMzcxZDFhZGY0NmM5MDk4M2EzNzI4YTQwNjQifQ=="/>
  </w:docVars>
  <w:rsids>
    <w:rsidRoot w:val="6EC727D8"/>
    <w:rsid w:val="000008DC"/>
    <w:rsid w:val="00074755"/>
    <w:rsid w:val="000D5B86"/>
    <w:rsid w:val="000E1F6C"/>
    <w:rsid w:val="000F7491"/>
    <w:rsid w:val="00107F7A"/>
    <w:rsid w:val="001377B4"/>
    <w:rsid w:val="001531BC"/>
    <w:rsid w:val="001C7F21"/>
    <w:rsid w:val="001D0E19"/>
    <w:rsid w:val="00241BCE"/>
    <w:rsid w:val="002827D9"/>
    <w:rsid w:val="00310043"/>
    <w:rsid w:val="00325DD1"/>
    <w:rsid w:val="00330497"/>
    <w:rsid w:val="00337BD4"/>
    <w:rsid w:val="00360082"/>
    <w:rsid w:val="00370FA3"/>
    <w:rsid w:val="003D6EB2"/>
    <w:rsid w:val="003E7146"/>
    <w:rsid w:val="00441793"/>
    <w:rsid w:val="004C3D64"/>
    <w:rsid w:val="00502F86"/>
    <w:rsid w:val="00554AED"/>
    <w:rsid w:val="00573D8E"/>
    <w:rsid w:val="005B7F2A"/>
    <w:rsid w:val="005C36B3"/>
    <w:rsid w:val="005E629F"/>
    <w:rsid w:val="005F257E"/>
    <w:rsid w:val="005F31BF"/>
    <w:rsid w:val="0062612B"/>
    <w:rsid w:val="00643FFD"/>
    <w:rsid w:val="00664226"/>
    <w:rsid w:val="00664B49"/>
    <w:rsid w:val="006A1B74"/>
    <w:rsid w:val="00706B07"/>
    <w:rsid w:val="00737B01"/>
    <w:rsid w:val="00756192"/>
    <w:rsid w:val="007654C4"/>
    <w:rsid w:val="007679EB"/>
    <w:rsid w:val="00771506"/>
    <w:rsid w:val="007925A2"/>
    <w:rsid w:val="0079330D"/>
    <w:rsid w:val="007967C9"/>
    <w:rsid w:val="007B7190"/>
    <w:rsid w:val="007E4AEE"/>
    <w:rsid w:val="007F5FDC"/>
    <w:rsid w:val="008877ED"/>
    <w:rsid w:val="008B34A7"/>
    <w:rsid w:val="008E06AA"/>
    <w:rsid w:val="008E4B3E"/>
    <w:rsid w:val="008F5ACA"/>
    <w:rsid w:val="00910B63"/>
    <w:rsid w:val="00936ACC"/>
    <w:rsid w:val="0096212F"/>
    <w:rsid w:val="009C2971"/>
    <w:rsid w:val="009D484D"/>
    <w:rsid w:val="00A0731A"/>
    <w:rsid w:val="00A53F70"/>
    <w:rsid w:val="00A72BE0"/>
    <w:rsid w:val="00AB14BC"/>
    <w:rsid w:val="00AC096B"/>
    <w:rsid w:val="00AE137C"/>
    <w:rsid w:val="00AE30B0"/>
    <w:rsid w:val="00B0397C"/>
    <w:rsid w:val="00B11A1A"/>
    <w:rsid w:val="00B403CD"/>
    <w:rsid w:val="00B519D7"/>
    <w:rsid w:val="00B60525"/>
    <w:rsid w:val="00B75680"/>
    <w:rsid w:val="00B91F55"/>
    <w:rsid w:val="00B92E69"/>
    <w:rsid w:val="00B93C87"/>
    <w:rsid w:val="00BA0C8C"/>
    <w:rsid w:val="00BB413B"/>
    <w:rsid w:val="00BC12F0"/>
    <w:rsid w:val="00BC3B7F"/>
    <w:rsid w:val="00BD2778"/>
    <w:rsid w:val="00C73E3E"/>
    <w:rsid w:val="00C75E31"/>
    <w:rsid w:val="00C84172"/>
    <w:rsid w:val="00C905B8"/>
    <w:rsid w:val="00D009EA"/>
    <w:rsid w:val="00D40D69"/>
    <w:rsid w:val="00D45394"/>
    <w:rsid w:val="00D62FCB"/>
    <w:rsid w:val="00D64BD5"/>
    <w:rsid w:val="00D76247"/>
    <w:rsid w:val="00D90AFE"/>
    <w:rsid w:val="00D96E63"/>
    <w:rsid w:val="00DC661F"/>
    <w:rsid w:val="00DC6BD9"/>
    <w:rsid w:val="00DE4501"/>
    <w:rsid w:val="00E1437E"/>
    <w:rsid w:val="00E25D2A"/>
    <w:rsid w:val="00E37283"/>
    <w:rsid w:val="00E43CD1"/>
    <w:rsid w:val="00E6284A"/>
    <w:rsid w:val="00E815D1"/>
    <w:rsid w:val="00EC71D2"/>
    <w:rsid w:val="00ED4AA4"/>
    <w:rsid w:val="00EF7950"/>
    <w:rsid w:val="00F07E7E"/>
    <w:rsid w:val="00F24888"/>
    <w:rsid w:val="00F44726"/>
    <w:rsid w:val="00FA7A82"/>
    <w:rsid w:val="00FB3DFE"/>
    <w:rsid w:val="00FE651F"/>
    <w:rsid w:val="0119677B"/>
    <w:rsid w:val="01284C10"/>
    <w:rsid w:val="016C134C"/>
    <w:rsid w:val="016C71F3"/>
    <w:rsid w:val="019948FF"/>
    <w:rsid w:val="01A52705"/>
    <w:rsid w:val="01A73D87"/>
    <w:rsid w:val="01A7647D"/>
    <w:rsid w:val="01B110AA"/>
    <w:rsid w:val="01E62509"/>
    <w:rsid w:val="01F36FCC"/>
    <w:rsid w:val="022C6982"/>
    <w:rsid w:val="02313F99"/>
    <w:rsid w:val="02702D13"/>
    <w:rsid w:val="02785724"/>
    <w:rsid w:val="028265A2"/>
    <w:rsid w:val="0288500D"/>
    <w:rsid w:val="0297204E"/>
    <w:rsid w:val="029F74CA"/>
    <w:rsid w:val="02A23F5D"/>
    <w:rsid w:val="02AB3D4B"/>
    <w:rsid w:val="02B04EBD"/>
    <w:rsid w:val="02BA5D3C"/>
    <w:rsid w:val="02DF7AA4"/>
    <w:rsid w:val="02E86730"/>
    <w:rsid w:val="02E903CF"/>
    <w:rsid w:val="02F72AEC"/>
    <w:rsid w:val="031B2C7F"/>
    <w:rsid w:val="03440AAD"/>
    <w:rsid w:val="03451AAA"/>
    <w:rsid w:val="03522419"/>
    <w:rsid w:val="0365214C"/>
    <w:rsid w:val="036A1510"/>
    <w:rsid w:val="036F4D79"/>
    <w:rsid w:val="03AF33C7"/>
    <w:rsid w:val="03B14776"/>
    <w:rsid w:val="03B20153"/>
    <w:rsid w:val="03CF3A69"/>
    <w:rsid w:val="03E5328D"/>
    <w:rsid w:val="040A4AA1"/>
    <w:rsid w:val="040B2A74"/>
    <w:rsid w:val="043F474B"/>
    <w:rsid w:val="044955CA"/>
    <w:rsid w:val="045F6B9B"/>
    <w:rsid w:val="0461636B"/>
    <w:rsid w:val="04A4420B"/>
    <w:rsid w:val="04A96068"/>
    <w:rsid w:val="04FB16CE"/>
    <w:rsid w:val="0564343C"/>
    <w:rsid w:val="057E5747"/>
    <w:rsid w:val="0587339F"/>
    <w:rsid w:val="058D4B01"/>
    <w:rsid w:val="05CF2FDE"/>
    <w:rsid w:val="05E25CD6"/>
    <w:rsid w:val="05EA6938"/>
    <w:rsid w:val="05EF21A1"/>
    <w:rsid w:val="067D77AC"/>
    <w:rsid w:val="06B342AD"/>
    <w:rsid w:val="06D25D4A"/>
    <w:rsid w:val="06D51397"/>
    <w:rsid w:val="06E15F8D"/>
    <w:rsid w:val="07477E74"/>
    <w:rsid w:val="075954A1"/>
    <w:rsid w:val="07937C68"/>
    <w:rsid w:val="07944DAE"/>
    <w:rsid w:val="07A20778"/>
    <w:rsid w:val="07B733C4"/>
    <w:rsid w:val="07C338E5"/>
    <w:rsid w:val="07C5765D"/>
    <w:rsid w:val="07E06245"/>
    <w:rsid w:val="07ED349A"/>
    <w:rsid w:val="08055CAB"/>
    <w:rsid w:val="08092B10"/>
    <w:rsid w:val="080C528C"/>
    <w:rsid w:val="087E15BA"/>
    <w:rsid w:val="0888779C"/>
    <w:rsid w:val="088968DD"/>
    <w:rsid w:val="08A40A20"/>
    <w:rsid w:val="08A47272"/>
    <w:rsid w:val="08CE2E53"/>
    <w:rsid w:val="08D12A6B"/>
    <w:rsid w:val="08D538D0"/>
    <w:rsid w:val="08F024B8"/>
    <w:rsid w:val="08F655F4"/>
    <w:rsid w:val="09122521"/>
    <w:rsid w:val="091A3FB8"/>
    <w:rsid w:val="094822F4"/>
    <w:rsid w:val="09541963"/>
    <w:rsid w:val="095A6680"/>
    <w:rsid w:val="09732A37"/>
    <w:rsid w:val="097C116F"/>
    <w:rsid w:val="09971291"/>
    <w:rsid w:val="09A21F4E"/>
    <w:rsid w:val="09AC2C7C"/>
    <w:rsid w:val="09D15427"/>
    <w:rsid w:val="09DE67B4"/>
    <w:rsid w:val="0A075837"/>
    <w:rsid w:val="0A08006A"/>
    <w:rsid w:val="0A210AF1"/>
    <w:rsid w:val="0A280703"/>
    <w:rsid w:val="0A4834A5"/>
    <w:rsid w:val="0A495578"/>
    <w:rsid w:val="0A4C5E14"/>
    <w:rsid w:val="0A5C3C67"/>
    <w:rsid w:val="0A5D1DCF"/>
    <w:rsid w:val="0A726EFC"/>
    <w:rsid w:val="0A9607F5"/>
    <w:rsid w:val="0AAB0D8C"/>
    <w:rsid w:val="0AB1595C"/>
    <w:rsid w:val="0AD55E09"/>
    <w:rsid w:val="0AFA5870"/>
    <w:rsid w:val="0B0D1F83"/>
    <w:rsid w:val="0B1C059C"/>
    <w:rsid w:val="0B316DB7"/>
    <w:rsid w:val="0B344594"/>
    <w:rsid w:val="0B402762"/>
    <w:rsid w:val="0BA772D1"/>
    <w:rsid w:val="0BCF2F63"/>
    <w:rsid w:val="0BD32EFE"/>
    <w:rsid w:val="0BEA7692"/>
    <w:rsid w:val="0C3C77C2"/>
    <w:rsid w:val="0C43404D"/>
    <w:rsid w:val="0C450D6C"/>
    <w:rsid w:val="0C656D19"/>
    <w:rsid w:val="0C831895"/>
    <w:rsid w:val="0CA248BC"/>
    <w:rsid w:val="0CA75589"/>
    <w:rsid w:val="0CAF61E6"/>
    <w:rsid w:val="0CE75980"/>
    <w:rsid w:val="0CF92A3E"/>
    <w:rsid w:val="0D1843F4"/>
    <w:rsid w:val="0D3A01A5"/>
    <w:rsid w:val="0D417786"/>
    <w:rsid w:val="0D592054"/>
    <w:rsid w:val="0D614AED"/>
    <w:rsid w:val="0D851A87"/>
    <w:rsid w:val="0D896A37"/>
    <w:rsid w:val="0D925950"/>
    <w:rsid w:val="0D951880"/>
    <w:rsid w:val="0DB735A4"/>
    <w:rsid w:val="0DBA3094"/>
    <w:rsid w:val="0DC12675"/>
    <w:rsid w:val="0DCB52A1"/>
    <w:rsid w:val="0DD51251"/>
    <w:rsid w:val="0DED2C29"/>
    <w:rsid w:val="0DEE39B4"/>
    <w:rsid w:val="0E3833DA"/>
    <w:rsid w:val="0E4B725D"/>
    <w:rsid w:val="0E572FD9"/>
    <w:rsid w:val="0EB94E27"/>
    <w:rsid w:val="0EE91E83"/>
    <w:rsid w:val="0EEF6D6E"/>
    <w:rsid w:val="0F00663B"/>
    <w:rsid w:val="0F024CF3"/>
    <w:rsid w:val="0F0C791F"/>
    <w:rsid w:val="0F1A4EA2"/>
    <w:rsid w:val="0F323C80"/>
    <w:rsid w:val="0F386966"/>
    <w:rsid w:val="0F470958"/>
    <w:rsid w:val="0F515C7A"/>
    <w:rsid w:val="0F692FC4"/>
    <w:rsid w:val="0F707EAE"/>
    <w:rsid w:val="0F827BE2"/>
    <w:rsid w:val="0F957915"/>
    <w:rsid w:val="0FAC2EB1"/>
    <w:rsid w:val="0FAD1102"/>
    <w:rsid w:val="0FB3426A"/>
    <w:rsid w:val="10044A9B"/>
    <w:rsid w:val="1008681F"/>
    <w:rsid w:val="100F5919"/>
    <w:rsid w:val="10260EB5"/>
    <w:rsid w:val="106F280D"/>
    <w:rsid w:val="107E158A"/>
    <w:rsid w:val="10D161C4"/>
    <w:rsid w:val="10DB57FB"/>
    <w:rsid w:val="10F44B0F"/>
    <w:rsid w:val="11124F95"/>
    <w:rsid w:val="115C2EBC"/>
    <w:rsid w:val="116003F7"/>
    <w:rsid w:val="11665A0D"/>
    <w:rsid w:val="11A1491C"/>
    <w:rsid w:val="11B5111E"/>
    <w:rsid w:val="11C40985"/>
    <w:rsid w:val="11D02E86"/>
    <w:rsid w:val="11D566EF"/>
    <w:rsid w:val="11DF756D"/>
    <w:rsid w:val="11FA6155"/>
    <w:rsid w:val="12260CF8"/>
    <w:rsid w:val="12535865"/>
    <w:rsid w:val="125735A8"/>
    <w:rsid w:val="12647A72"/>
    <w:rsid w:val="12696E37"/>
    <w:rsid w:val="12751C80"/>
    <w:rsid w:val="128C7765"/>
    <w:rsid w:val="12A2123C"/>
    <w:rsid w:val="12B04A66"/>
    <w:rsid w:val="12CD5618"/>
    <w:rsid w:val="12DB2E87"/>
    <w:rsid w:val="13023513"/>
    <w:rsid w:val="131775E8"/>
    <w:rsid w:val="1334693B"/>
    <w:rsid w:val="134753CA"/>
    <w:rsid w:val="13541895"/>
    <w:rsid w:val="135B124E"/>
    <w:rsid w:val="13685340"/>
    <w:rsid w:val="137B5074"/>
    <w:rsid w:val="13936861"/>
    <w:rsid w:val="13E04764"/>
    <w:rsid w:val="14101C60"/>
    <w:rsid w:val="141D437D"/>
    <w:rsid w:val="141F1A80"/>
    <w:rsid w:val="142E6509"/>
    <w:rsid w:val="143811B7"/>
    <w:rsid w:val="14812B5E"/>
    <w:rsid w:val="148E0DD7"/>
    <w:rsid w:val="1497412F"/>
    <w:rsid w:val="14BB78A8"/>
    <w:rsid w:val="14D727D0"/>
    <w:rsid w:val="14D7452C"/>
    <w:rsid w:val="14E07884"/>
    <w:rsid w:val="150D1F93"/>
    <w:rsid w:val="15712BD2"/>
    <w:rsid w:val="1574621E"/>
    <w:rsid w:val="157B34A2"/>
    <w:rsid w:val="15C64088"/>
    <w:rsid w:val="15EE4223"/>
    <w:rsid w:val="161517B0"/>
    <w:rsid w:val="161A5018"/>
    <w:rsid w:val="161C0D90"/>
    <w:rsid w:val="161E0F3C"/>
    <w:rsid w:val="161E145D"/>
    <w:rsid w:val="163A2FC4"/>
    <w:rsid w:val="16436D08"/>
    <w:rsid w:val="16450281"/>
    <w:rsid w:val="164976AB"/>
    <w:rsid w:val="166D5BA5"/>
    <w:rsid w:val="167364D6"/>
    <w:rsid w:val="168626AD"/>
    <w:rsid w:val="16871B76"/>
    <w:rsid w:val="16923636"/>
    <w:rsid w:val="16BD4EA7"/>
    <w:rsid w:val="16BE59A3"/>
    <w:rsid w:val="16D01B7A"/>
    <w:rsid w:val="16E16F3A"/>
    <w:rsid w:val="16E41182"/>
    <w:rsid w:val="16F45869"/>
    <w:rsid w:val="170B670F"/>
    <w:rsid w:val="17377504"/>
    <w:rsid w:val="173C4B1A"/>
    <w:rsid w:val="175C51BC"/>
    <w:rsid w:val="175D340E"/>
    <w:rsid w:val="175E0F34"/>
    <w:rsid w:val="175E6B6A"/>
    <w:rsid w:val="1768590F"/>
    <w:rsid w:val="176A436F"/>
    <w:rsid w:val="178A3AD7"/>
    <w:rsid w:val="178A7F7B"/>
    <w:rsid w:val="17B07BF3"/>
    <w:rsid w:val="17C678CB"/>
    <w:rsid w:val="17D36241"/>
    <w:rsid w:val="17EC4792"/>
    <w:rsid w:val="181635BD"/>
    <w:rsid w:val="18291542"/>
    <w:rsid w:val="18365A0D"/>
    <w:rsid w:val="18381785"/>
    <w:rsid w:val="18702CCD"/>
    <w:rsid w:val="188B3FAB"/>
    <w:rsid w:val="18A40BC9"/>
    <w:rsid w:val="18BD045D"/>
    <w:rsid w:val="18DC0363"/>
    <w:rsid w:val="18FB6DC4"/>
    <w:rsid w:val="18FD1A72"/>
    <w:rsid w:val="18FF22A3"/>
    <w:rsid w:val="19137AFC"/>
    <w:rsid w:val="191C4C03"/>
    <w:rsid w:val="19B80DD0"/>
    <w:rsid w:val="19D379B8"/>
    <w:rsid w:val="19FD4A34"/>
    <w:rsid w:val="1A07140F"/>
    <w:rsid w:val="1A0C7826"/>
    <w:rsid w:val="1A1104E0"/>
    <w:rsid w:val="1A136006"/>
    <w:rsid w:val="1A2F1DF7"/>
    <w:rsid w:val="1A437ED6"/>
    <w:rsid w:val="1A69031C"/>
    <w:rsid w:val="1A815666"/>
    <w:rsid w:val="1AB01AA7"/>
    <w:rsid w:val="1ACB068F"/>
    <w:rsid w:val="1ADA4D76"/>
    <w:rsid w:val="1AF75EF5"/>
    <w:rsid w:val="1B0B5973"/>
    <w:rsid w:val="1B102545"/>
    <w:rsid w:val="1B133E17"/>
    <w:rsid w:val="1B177D78"/>
    <w:rsid w:val="1B3E5305"/>
    <w:rsid w:val="1B544B28"/>
    <w:rsid w:val="1B8371BB"/>
    <w:rsid w:val="1BA01BB2"/>
    <w:rsid w:val="1BB455C7"/>
    <w:rsid w:val="1BC577D4"/>
    <w:rsid w:val="1BD417C5"/>
    <w:rsid w:val="1BE0460E"/>
    <w:rsid w:val="1BF80FCF"/>
    <w:rsid w:val="1C1553FF"/>
    <w:rsid w:val="1C283304"/>
    <w:rsid w:val="1C3B7A96"/>
    <w:rsid w:val="1C534DE0"/>
    <w:rsid w:val="1C641230"/>
    <w:rsid w:val="1C9F0025"/>
    <w:rsid w:val="1CA27B15"/>
    <w:rsid w:val="1CAB5C51"/>
    <w:rsid w:val="1CAC2742"/>
    <w:rsid w:val="1CAC3B3D"/>
    <w:rsid w:val="1CB533A4"/>
    <w:rsid w:val="1CBA4E5F"/>
    <w:rsid w:val="1CC400CA"/>
    <w:rsid w:val="1CCC06EE"/>
    <w:rsid w:val="1CD2349E"/>
    <w:rsid w:val="1CED18DB"/>
    <w:rsid w:val="1CFE11EF"/>
    <w:rsid w:val="1D022362"/>
    <w:rsid w:val="1D0866CB"/>
    <w:rsid w:val="1D1E3640"/>
    <w:rsid w:val="1D3159D0"/>
    <w:rsid w:val="1D3D339A"/>
    <w:rsid w:val="1D3F7112"/>
    <w:rsid w:val="1D4209B0"/>
    <w:rsid w:val="1D530C7D"/>
    <w:rsid w:val="1D632B53"/>
    <w:rsid w:val="1D6B43AB"/>
    <w:rsid w:val="1D6D0123"/>
    <w:rsid w:val="1D7B2840"/>
    <w:rsid w:val="1D940DB0"/>
    <w:rsid w:val="1DA72630"/>
    <w:rsid w:val="1DC835AB"/>
    <w:rsid w:val="1DDC7057"/>
    <w:rsid w:val="1DE960B7"/>
    <w:rsid w:val="1DEF77E3"/>
    <w:rsid w:val="1DFB74DD"/>
    <w:rsid w:val="1E110AAE"/>
    <w:rsid w:val="1E220F0E"/>
    <w:rsid w:val="1E2527AC"/>
    <w:rsid w:val="1E3173A3"/>
    <w:rsid w:val="1E3D5D47"/>
    <w:rsid w:val="1E8821E9"/>
    <w:rsid w:val="1F095C2A"/>
    <w:rsid w:val="1F242A63"/>
    <w:rsid w:val="1F396124"/>
    <w:rsid w:val="1F3A5DE3"/>
    <w:rsid w:val="1F5A0233"/>
    <w:rsid w:val="1F5A6485"/>
    <w:rsid w:val="1F5F074C"/>
    <w:rsid w:val="1F647304"/>
    <w:rsid w:val="1F95570F"/>
    <w:rsid w:val="1FE521F3"/>
    <w:rsid w:val="1FEB532F"/>
    <w:rsid w:val="2001472C"/>
    <w:rsid w:val="20014B53"/>
    <w:rsid w:val="203B19C0"/>
    <w:rsid w:val="20803CC9"/>
    <w:rsid w:val="20A51982"/>
    <w:rsid w:val="20A73065"/>
    <w:rsid w:val="20A83220"/>
    <w:rsid w:val="20B16579"/>
    <w:rsid w:val="20C46ABB"/>
    <w:rsid w:val="20E06E5E"/>
    <w:rsid w:val="21052AC9"/>
    <w:rsid w:val="210669F5"/>
    <w:rsid w:val="21182CA5"/>
    <w:rsid w:val="21224918"/>
    <w:rsid w:val="2126612C"/>
    <w:rsid w:val="2130749E"/>
    <w:rsid w:val="2139763B"/>
    <w:rsid w:val="214B166A"/>
    <w:rsid w:val="2197751D"/>
    <w:rsid w:val="21983295"/>
    <w:rsid w:val="219C7306"/>
    <w:rsid w:val="219C7685"/>
    <w:rsid w:val="21A51C1A"/>
    <w:rsid w:val="21B6299C"/>
    <w:rsid w:val="21B87493"/>
    <w:rsid w:val="21C83B7A"/>
    <w:rsid w:val="21FC7CC7"/>
    <w:rsid w:val="221E7C3E"/>
    <w:rsid w:val="222F1E4B"/>
    <w:rsid w:val="223F5AB8"/>
    <w:rsid w:val="22791FE0"/>
    <w:rsid w:val="22A16179"/>
    <w:rsid w:val="22A30143"/>
    <w:rsid w:val="22B66D05"/>
    <w:rsid w:val="22BA5184"/>
    <w:rsid w:val="22F62969"/>
    <w:rsid w:val="22FD3CF7"/>
    <w:rsid w:val="23122DE5"/>
    <w:rsid w:val="231A178A"/>
    <w:rsid w:val="23393203"/>
    <w:rsid w:val="233D205C"/>
    <w:rsid w:val="234B73CC"/>
    <w:rsid w:val="23515DF1"/>
    <w:rsid w:val="2358717F"/>
    <w:rsid w:val="235F22BC"/>
    <w:rsid w:val="23812232"/>
    <w:rsid w:val="239312F5"/>
    <w:rsid w:val="23980A4F"/>
    <w:rsid w:val="23AD74CB"/>
    <w:rsid w:val="23AE4FF1"/>
    <w:rsid w:val="23C465C3"/>
    <w:rsid w:val="23C87E61"/>
    <w:rsid w:val="23CB5BA3"/>
    <w:rsid w:val="23DC1B5F"/>
    <w:rsid w:val="23FC5D5D"/>
    <w:rsid w:val="24044C11"/>
    <w:rsid w:val="24107A5A"/>
    <w:rsid w:val="24253506"/>
    <w:rsid w:val="24341EB9"/>
    <w:rsid w:val="2435126F"/>
    <w:rsid w:val="24373239"/>
    <w:rsid w:val="244D65B8"/>
    <w:rsid w:val="245416F5"/>
    <w:rsid w:val="245B0CD5"/>
    <w:rsid w:val="245B7E1B"/>
    <w:rsid w:val="24724271"/>
    <w:rsid w:val="247B3126"/>
    <w:rsid w:val="2480073C"/>
    <w:rsid w:val="24A32B10"/>
    <w:rsid w:val="24B808B0"/>
    <w:rsid w:val="24F609FE"/>
    <w:rsid w:val="250274DC"/>
    <w:rsid w:val="250749B9"/>
    <w:rsid w:val="251009E1"/>
    <w:rsid w:val="25237319"/>
    <w:rsid w:val="25461985"/>
    <w:rsid w:val="255319AC"/>
    <w:rsid w:val="255816B9"/>
    <w:rsid w:val="25665B84"/>
    <w:rsid w:val="25787665"/>
    <w:rsid w:val="25A246E2"/>
    <w:rsid w:val="25A428FF"/>
    <w:rsid w:val="25C26B32"/>
    <w:rsid w:val="25CB1E8B"/>
    <w:rsid w:val="25CD5AD7"/>
    <w:rsid w:val="25F50CB6"/>
    <w:rsid w:val="2604634A"/>
    <w:rsid w:val="26062EC3"/>
    <w:rsid w:val="260F621B"/>
    <w:rsid w:val="26211AAB"/>
    <w:rsid w:val="262670C1"/>
    <w:rsid w:val="2633160E"/>
    <w:rsid w:val="265C24B0"/>
    <w:rsid w:val="2696426F"/>
    <w:rsid w:val="2697245B"/>
    <w:rsid w:val="269A4809"/>
    <w:rsid w:val="26A024D9"/>
    <w:rsid w:val="26A338B2"/>
    <w:rsid w:val="26A821CC"/>
    <w:rsid w:val="26A84A0A"/>
    <w:rsid w:val="26A85D28"/>
    <w:rsid w:val="26B172D2"/>
    <w:rsid w:val="26B50445"/>
    <w:rsid w:val="26CD1546"/>
    <w:rsid w:val="26E641FB"/>
    <w:rsid w:val="26EC030B"/>
    <w:rsid w:val="26ED5E31"/>
    <w:rsid w:val="270C275B"/>
    <w:rsid w:val="274517C9"/>
    <w:rsid w:val="274A6DDF"/>
    <w:rsid w:val="275807AF"/>
    <w:rsid w:val="2768712B"/>
    <w:rsid w:val="277D71B5"/>
    <w:rsid w:val="27B90C4D"/>
    <w:rsid w:val="27CA2B44"/>
    <w:rsid w:val="28043B56"/>
    <w:rsid w:val="280B3CFB"/>
    <w:rsid w:val="280B656E"/>
    <w:rsid w:val="28734E32"/>
    <w:rsid w:val="288051AE"/>
    <w:rsid w:val="289C366A"/>
    <w:rsid w:val="28B72697"/>
    <w:rsid w:val="28BB09C3"/>
    <w:rsid w:val="28CB1816"/>
    <w:rsid w:val="29665200"/>
    <w:rsid w:val="296672B1"/>
    <w:rsid w:val="298365D8"/>
    <w:rsid w:val="29A273A6"/>
    <w:rsid w:val="29D357B2"/>
    <w:rsid w:val="29E67293"/>
    <w:rsid w:val="29FA0F90"/>
    <w:rsid w:val="2A046DA4"/>
    <w:rsid w:val="2A3E70CF"/>
    <w:rsid w:val="2A5A558B"/>
    <w:rsid w:val="2A5E66E7"/>
    <w:rsid w:val="2A6308E4"/>
    <w:rsid w:val="2A693A20"/>
    <w:rsid w:val="2A915A0E"/>
    <w:rsid w:val="2A9D3745"/>
    <w:rsid w:val="2AB2780B"/>
    <w:rsid w:val="2AB7478C"/>
    <w:rsid w:val="2ACD0453"/>
    <w:rsid w:val="2ACF41CB"/>
    <w:rsid w:val="2AEA0A59"/>
    <w:rsid w:val="2AF849C9"/>
    <w:rsid w:val="2B2A1401"/>
    <w:rsid w:val="2B724B56"/>
    <w:rsid w:val="2B7663F5"/>
    <w:rsid w:val="2BB1633C"/>
    <w:rsid w:val="2BB313F7"/>
    <w:rsid w:val="2BDD46C6"/>
    <w:rsid w:val="2BE5357A"/>
    <w:rsid w:val="2C1D0F66"/>
    <w:rsid w:val="2C210F6D"/>
    <w:rsid w:val="2C2B5431"/>
    <w:rsid w:val="2C4B5AD3"/>
    <w:rsid w:val="2C7A3CC3"/>
    <w:rsid w:val="2C7F39CF"/>
    <w:rsid w:val="2CA945A8"/>
    <w:rsid w:val="2CD71115"/>
    <w:rsid w:val="2CE82102"/>
    <w:rsid w:val="2CEA709A"/>
    <w:rsid w:val="2D0A14EA"/>
    <w:rsid w:val="2D1660E1"/>
    <w:rsid w:val="2D5D3C4E"/>
    <w:rsid w:val="2D8E201B"/>
    <w:rsid w:val="2DA30746"/>
    <w:rsid w:val="2DB94CBF"/>
    <w:rsid w:val="2DC86CB0"/>
    <w:rsid w:val="2DE63220"/>
    <w:rsid w:val="2DE9470A"/>
    <w:rsid w:val="2E035D14"/>
    <w:rsid w:val="2E0E6A8A"/>
    <w:rsid w:val="2E156399"/>
    <w:rsid w:val="2E1B7727"/>
    <w:rsid w:val="2E8A5B37"/>
    <w:rsid w:val="2E935510"/>
    <w:rsid w:val="2EC27BA3"/>
    <w:rsid w:val="2EE67D35"/>
    <w:rsid w:val="2EED4C20"/>
    <w:rsid w:val="2EFF2BA5"/>
    <w:rsid w:val="2F0506B8"/>
    <w:rsid w:val="2F063F34"/>
    <w:rsid w:val="2F536455"/>
    <w:rsid w:val="2F6A2714"/>
    <w:rsid w:val="2F7E7A94"/>
    <w:rsid w:val="2F927A56"/>
    <w:rsid w:val="2F930C2B"/>
    <w:rsid w:val="2FA07EE4"/>
    <w:rsid w:val="2FA63021"/>
    <w:rsid w:val="2FBC1EE1"/>
    <w:rsid w:val="2FD31515"/>
    <w:rsid w:val="2FEA2971"/>
    <w:rsid w:val="2FFA689C"/>
    <w:rsid w:val="300264A9"/>
    <w:rsid w:val="300F20AC"/>
    <w:rsid w:val="30403541"/>
    <w:rsid w:val="306233EC"/>
    <w:rsid w:val="30631D01"/>
    <w:rsid w:val="308360CB"/>
    <w:rsid w:val="30980BBB"/>
    <w:rsid w:val="30C52318"/>
    <w:rsid w:val="30CB7EF2"/>
    <w:rsid w:val="30CE542D"/>
    <w:rsid w:val="30EB518F"/>
    <w:rsid w:val="31175D92"/>
    <w:rsid w:val="311A0B44"/>
    <w:rsid w:val="312A17C7"/>
    <w:rsid w:val="312C15FD"/>
    <w:rsid w:val="31413001"/>
    <w:rsid w:val="3152520E"/>
    <w:rsid w:val="31540F86"/>
    <w:rsid w:val="31B82C24"/>
    <w:rsid w:val="31BB1005"/>
    <w:rsid w:val="31CA1248"/>
    <w:rsid w:val="31D67BED"/>
    <w:rsid w:val="31D75713"/>
    <w:rsid w:val="31F42769"/>
    <w:rsid w:val="32292413"/>
    <w:rsid w:val="323A4620"/>
    <w:rsid w:val="323F6B41"/>
    <w:rsid w:val="32546D64"/>
    <w:rsid w:val="325A081E"/>
    <w:rsid w:val="327A2C6E"/>
    <w:rsid w:val="32B1065A"/>
    <w:rsid w:val="333C43C8"/>
    <w:rsid w:val="333F5C66"/>
    <w:rsid w:val="334D7931"/>
    <w:rsid w:val="33615BDC"/>
    <w:rsid w:val="33760038"/>
    <w:rsid w:val="33833DA5"/>
    <w:rsid w:val="3390201E"/>
    <w:rsid w:val="33947D60"/>
    <w:rsid w:val="33A65CE5"/>
    <w:rsid w:val="33C61EE3"/>
    <w:rsid w:val="33CD760B"/>
    <w:rsid w:val="33DE547F"/>
    <w:rsid w:val="33F22CD8"/>
    <w:rsid w:val="33FE342B"/>
    <w:rsid w:val="340D2BF5"/>
    <w:rsid w:val="34164C19"/>
    <w:rsid w:val="342015F4"/>
    <w:rsid w:val="344A1462"/>
    <w:rsid w:val="345E3ECA"/>
    <w:rsid w:val="34676195"/>
    <w:rsid w:val="349B511E"/>
    <w:rsid w:val="34A042EE"/>
    <w:rsid w:val="35007112"/>
    <w:rsid w:val="351F5D4F"/>
    <w:rsid w:val="35305866"/>
    <w:rsid w:val="353C06AF"/>
    <w:rsid w:val="355D635D"/>
    <w:rsid w:val="355E22C9"/>
    <w:rsid w:val="35651D20"/>
    <w:rsid w:val="35702107"/>
    <w:rsid w:val="357B1FA8"/>
    <w:rsid w:val="35B446E9"/>
    <w:rsid w:val="35B50461"/>
    <w:rsid w:val="35DF103A"/>
    <w:rsid w:val="35E02753"/>
    <w:rsid w:val="35F66AB0"/>
    <w:rsid w:val="35FC7E3E"/>
    <w:rsid w:val="35FF348B"/>
    <w:rsid w:val="360F36CE"/>
    <w:rsid w:val="362178A5"/>
    <w:rsid w:val="3627310D"/>
    <w:rsid w:val="3636463B"/>
    <w:rsid w:val="364A6DFC"/>
    <w:rsid w:val="364C2B74"/>
    <w:rsid w:val="36592B9B"/>
    <w:rsid w:val="367B0D63"/>
    <w:rsid w:val="368D6CE8"/>
    <w:rsid w:val="36914A2B"/>
    <w:rsid w:val="36AA789A"/>
    <w:rsid w:val="36BD5820"/>
    <w:rsid w:val="36BD75CE"/>
    <w:rsid w:val="36DB5CA6"/>
    <w:rsid w:val="3701395E"/>
    <w:rsid w:val="371511B8"/>
    <w:rsid w:val="37294C63"/>
    <w:rsid w:val="373D24BC"/>
    <w:rsid w:val="37425D25"/>
    <w:rsid w:val="37461371"/>
    <w:rsid w:val="376302F8"/>
    <w:rsid w:val="376D2DA2"/>
    <w:rsid w:val="37754C22"/>
    <w:rsid w:val="378123A9"/>
    <w:rsid w:val="378679C0"/>
    <w:rsid w:val="37987968"/>
    <w:rsid w:val="37991DE9"/>
    <w:rsid w:val="37A2797E"/>
    <w:rsid w:val="37A46C12"/>
    <w:rsid w:val="37AE5168"/>
    <w:rsid w:val="37C52BDE"/>
    <w:rsid w:val="37E56DDC"/>
    <w:rsid w:val="3809239F"/>
    <w:rsid w:val="380D00E1"/>
    <w:rsid w:val="381274A5"/>
    <w:rsid w:val="382507E6"/>
    <w:rsid w:val="38303DCF"/>
    <w:rsid w:val="38393E83"/>
    <w:rsid w:val="3845787B"/>
    <w:rsid w:val="38AD71CE"/>
    <w:rsid w:val="38C06F01"/>
    <w:rsid w:val="38C67BD5"/>
    <w:rsid w:val="38D46734"/>
    <w:rsid w:val="39126EC4"/>
    <w:rsid w:val="39241B86"/>
    <w:rsid w:val="393731E6"/>
    <w:rsid w:val="39382F3B"/>
    <w:rsid w:val="393D2C48"/>
    <w:rsid w:val="393F076E"/>
    <w:rsid w:val="3949339B"/>
    <w:rsid w:val="3958538C"/>
    <w:rsid w:val="39616936"/>
    <w:rsid w:val="39763A64"/>
    <w:rsid w:val="39C40C73"/>
    <w:rsid w:val="39CE641A"/>
    <w:rsid w:val="39D210D0"/>
    <w:rsid w:val="39D72754"/>
    <w:rsid w:val="39EA2D8B"/>
    <w:rsid w:val="39EC3D26"/>
    <w:rsid w:val="3A064DE8"/>
    <w:rsid w:val="3A305520"/>
    <w:rsid w:val="3A6A35C8"/>
    <w:rsid w:val="3A6D130B"/>
    <w:rsid w:val="3A7E7074"/>
    <w:rsid w:val="3A8328DC"/>
    <w:rsid w:val="3A96552E"/>
    <w:rsid w:val="3AAF722D"/>
    <w:rsid w:val="3AC802EF"/>
    <w:rsid w:val="3AE3337B"/>
    <w:rsid w:val="3AEF1D0C"/>
    <w:rsid w:val="3B0F5F1E"/>
    <w:rsid w:val="3B133C60"/>
    <w:rsid w:val="3B1479D8"/>
    <w:rsid w:val="3B42010B"/>
    <w:rsid w:val="3B567FF1"/>
    <w:rsid w:val="3B637E13"/>
    <w:rsid w:val="3B7D37CF"/>
    <w:rsid w:val="3B844B5E"/>
    <w:rsid w:val="3B936BDE"/>
    <w:rsid w:val="3BAB20EB"/>
    <w:rsid w:val="3BC96A15"/>
    <w:rsid w:val="3C616C4D"/>
    <w:rsid w:val="3C921909"/>
    <w:rsid w:val="3C990195"/>
    <w:rsid w:val="3CA52FDE"/>
    <w:rsid w:val="3CAF1767"/>
    <w:rsid w:val="3CB7686D"/>
    <w:rsid w:val="3CED6733"/>
    <w:rsid w:val="3CFB2BFE"/>
    <w:rsid w:val="3D09356D"/>
    <w:rsid w:val="3D0E080C"/>
    <w:rsid w:val="3D197528"/>
    <w:rsid w:val="3D2D6B2F"/>
    <w:rsid w:val="3D9F17DB"/>
    <w:rsid w:val="3DA96E02"/>
    <w:rsid w:val="3DBFFBF0"/>
    <w:rsid w:val="3DC454EF"/>
    <w:rsid w:val="3DCE3E6E"/>
    <w:rsid w:val="3DE511B8"/>
    <w:rsid w:val="3DF2454E"/>
    <w:rsid w:val="3E0F771B"/>
    <w:rsid w:val="3E140565"/>
    <w:rsid w:val="3E1B5535"/>
    <w:rsid w:val="3E203BE4"/>
    <w:rsid w:val="3E3F4D6C"/>
    <w:rsid w:val="3ED05677"/>
    <w:rsid w:val="3EF63F99"/>
    <w:rsid w:val="3F0C10F2"/>
    <w:rsid w:val="3F375A43"/>
    <w:rsid w:val="3F491BC0"/>
    <w:rsid w:val="3F634A8A"/>
    <w:rsid w:val="3F6727CC"/>
    <w:rsid w:val="3F7B211F"/>
    <w:rsid w:val="3F827606"/>
    <w:rsid w:val="3F917849"/>
    <w:rsid w:val="3FA05CDE"/>
    <w:rsid w:val="3FA23805"/>
    <w:rsid w:val="3FAE03FB"/>
    <w:rsid w:val="402E5885"/>
    <w:rsid w:val="40381A73"/>
    <w:rsid w:val="403F2E01"/>
    <w:rsid w:val="405A40DF"/>
    <w:rsid w:val="40AD06B3"/>
    <w:rsid w:val="40CD2B03"/>
    <w:rsid w:val="40E36EF3"/>
    <w:rsid w:val="40E901A0"/>
    <w:rsid w:val="40F167F2"/>
    <w:rsid w:val="410022C0"/>
    <w:rsid w:val="411C75E7"/>
    <w:rsid w:val="41494DE3"/>
    <w:rsid w:val="414A76CF"/>
    <w:rsid w:val="414C66FF"/>
    <w:rsid w:val="41685B7A"/>
    <w:rsid w:val="416D1BF0"/>
    <w:rsid w:val="41792343"/>
    <w:rsid w:val="418036D2"/>
    <w:rsid w:val="41EC6FB9"/>
    <w:rsid w:val="420E40CE"/>
    <w:rsid w:val="42106E96"/>
    <w:rsid w:val="423D7815"/>
    <w:rsid w:val="42562684"/>
    <w:rsid w:val="42703746"/>
    <w:rsid w:val="42AF11ED"/>
    <w:rsid w:val="42B25F39"/>
    <w:rsid w:val="42BC2E2F"/>
    <w:rsid w:val="42BF46CD"/>
    <w:rsid w:val="42E859D2"/>
    <w:rsid w:val="42FE0D52"/>
    <w:rsid w:val="43201866"/>
    <w:rsid w:val="43212C92"/>
    <w:rsid w:val="4328518F"/>
    <w:rsid w:val="4334739A"/>
    <w:rsid w:val="433504EC"/>
    <w:rsid w:val="4340600B"/>
    <w:rsid w:val="4355293C"/>
    <w:rsid w:val="4356724C"/>
    <w:rsid w:val="435B2648"/>
    <w:rsid w:val="436D5ED7"/>
    <w:rsid w:val="43707776"/>
    <w:rsid w:val="43720088"/>
    <w:rsid w:val="43743CE6"/>
    <w:rsid w:val="439671DC"/>
    <w:rsid w:val="43A044FF"/>
    <w:rsid w:val="43F108B7"/>
    <w:rsid w:val="44056110"/>
    <w:rsid w:val="441D78FE"/>
    <w:rsid w:val="444200F5"/>
    <w:rsid w:val="445A46AE"/>
    <w:rsid w:val="4466124E"/>
    <w:rsid w:val="4475773A"/>
    <w:rsid w:val="44B10046"/>
    <w:rsid w:val="44C77869"/>
    <w:rsid w:val="44D73F50"/>
    <w:rsid w:val="44EF6789"/>
    <w:rsid w:val="45054FDF"/>
    <w:rsid w:val="45156827"/>
    <w:rsid w:val="451C7BB5"/>
    <w:rsid w:val="453E7B2C"/>
    <w:rsid w:val="45444586"/>
    <w:rsid w:val="45576E3F"/>
    <w:rsid w:val="45614516"/>
    <w:rsid w:val="456A6B72"/>
    <w:rsid w:val="457C5F26"/>
    <w:rsid w:val="45800144"/>
    <w:rsid w:val="458C3E37"/>
    <w:rsid w:val="45A7777B"/>
    <w:rsid w:val="45B33B9B"/>
    <w:rsid w:val="45C02C36"/>
    <w:rsid w:val="45C6267D"/>
    <w:rsid w:val="45ED3300"/>
    <w:rsid w:val="45ED50AE"/>
    <w:rsid w:val="45F40516"/>
    <w:rsid w:val="460102A4"/>
    <w:rsid w:val="461C6EB7"/>
    <w:rsid w:val="464216D6"/>
    <w:rsid w:val="46504C6F"/>
    <w:rsid w:val="4651388E"/>
    <w:rsid w:val="465D0485"/>
    <w:rsid w:val="46A95479"/>
    <w:rsid w:val="46AC4F69"/>
    <w:rsid w:val="46C73B51"/>
    <w:rsid w:val="46C92DA7"/>
    <w:rsid w:val="46D958AA"/>
    <w:rsid w:val="46DC75FC"/>
    <w:rsid w:val="46EB5A91"/>
    <w:rsid w:val="470E352E"/>
    <w:rsid w:val="470E79D1"/>
    <w:rsid w:val="471E7C15"/>
    <w:rsid w:val="472471F5"/>
    <w:rsid w:val="472D42FC"/>
    <w:rsid w:val="472E597E"/>
    <w:rsid w:val="47372465"/>
    <w:rsid w:val="47DB78B4"/>
    <w:rsid w:val="47FD3CCE"/>
    <w:rsid w:val="47FE7A46"/>
    <w:rsid w:val="480F3A01"/>
    <w:rsid w:val="481E3AAF"/>
    <w:rsid w:val="48207910"/>
    <w:rsid w:val="48253225"/>
    <w:rsid w:val="483B08B4"/>
    <w:rsid w:val="484C255F"/>
    <w:rsid w:val="48724537"/>
    <w:rsid w:val="48895562"/>
    <w:rsid w:val="488B69F8"/>
    <w:rsid w:val="48965ED0"/>
    <w:rsid w:val="48C90054"/>
    <w:rsid w:val="48D84455"/>
    <w:rsid w:val="48FA296C"/>
    <w:rsid w:val="49027548"/>
    <w:rsid w:val="49115557"/>
    <w:rsid w:val="49211C3E"/>
    <w:rsid w:val="49421DD0"/>
    <w:rsid w:val="4950590D"/>
    <w:rsid w:val="495105E0"/>
    <w:rsid w:val="495C67D2"/>
    <w:rsid w:val="49634005"/>
    <w:rsid w:val="496833C9"/>
    <w:rsid w:val="49886DB4"/>
    <w:rsid w:val="49970D05"/>
    <w:rsid w:val="49A91C65"/>
    <w:rsid w:val="49AD34D2"/>
    <w:rsid w:val="49E36EF3"/>
    <w:rsid w:val="49FE1F7F"/>
    <w:rsid w:val="4A2F038B"/>
    <w:rsid w:val="4A431F7F"/>
    <w:rsid w:val="4A5E47CC"/>
    <w:rsid w:val="4A6F4C2B"/>
    <w:rsid w:val="4A791606"/>
    <w:rsid w:val="4A9C0758"/>
    <w:rsid w:val="4AA34422"/>
    <w:rsid w:val="4AAA7A11"/>
    <w:rsid w:val="4AB26488"/>
    <w:rsid w:val="4ABF170F"/>
    <w:rsid w:val="4ACC7988"/>
    <w:rsid w:val="4AD30D16"/>
    <w:rsid w:val="4AEA53B9"/>
    <w:rsid w:val="4AF15640"/>
    <w:rsid w:val="4B094738"/>
    <w:rsid w:val="4B1C7C90"/>
    <w:rsid w:val="4B2E6D15"/>
    <w:rsid w:val="4B50680B"/>
    <w:rsid w:val="4B6D78CD"/>
    <w:rsid w:val="4B884025"/>
    <w:rsid w:val="4B9106E2"/>
    <w:rsid w:val="4BD05255"/>
    <w:rsid w:val="4BE60F1D"/>
    <w:rsid w:val="4BF8453E"/>
    <w:rsid w:val="4C231829"/>
    <w:rsid w:val="4C2630C7"/>
    <w:rsid w:val="4C4579F1"/>
    <w:rsid w:val="4C6E62A3"/>
    <w:rsid w:val="4CA23096"/>
    <w:rsid w:val="4CB608EF"/>
    <w:rsid w:val="4CB84667"/>
    <w:rsid w:val="4CC56D84"/>
    <w:rsid w:val="4CE27936"/>
    <w:rsid w:val="4CEC4311"/>
    <w:rsid w:val="4D04165B"/>
    <w:rsid w:val="4D0C6BFE"/>
    <w:rsid w:val="4D0E4287"/>
    <w:rsid w:val="4D5A127B"/>
    <w:rsid w:val="4D77007F"/>
    <w:rsid w:val="4D8207D1"/>
    <w:rsid w:val="4DA30E74"/>
    <w:rsid w:val="4DB27309"/>
    <w:rsid w:val="4DB52955"/>
    <w:rsid w:val="4DBA61BD"/>
    <w:rsid w:val="4DBB3CB6"/>
    <w:rsid w:val="4DCB2178"/>
    <w:rsid w:val="4DEC481B"/>
    <w:rsid w:val="4E165AE9"/>
    <w:rsid w:val="4E7E368F"/>
    <w:rsid w:val="4E8862BB"/>
    <w:rsid w:val="4E9702AC"/>
    <w:rsid w:val="4EC30EDE"/>
    <w:rsid w:val="4ECC264C"/>
    <w:rsid w:val="4ECE0172"/>
    <w:rsid w:val="4EF92D15"/>
    <w:rsid w:val="4EFF4E69"/>
    <w:rsid w:val="4F1B2C8C"/>
    <w:rsid w:val="4F4C6AE6"/>
    <w:rsid w:val="4F544CA2"/>
    <w:rsid w:val="4F5A5BD2"/>
    <w:rsid w:val="4F5A7C58"/>
    <w:rsid w:val="4F624D5E"/>
    <w:rsid w:val="4F9B0FCB"/>
    <w:rsid w:val="4F9D18F3"/>
    <w:rsid w:val="4FD07F1A"/>
    <w:rsid w:val="4FD73056"/>
    <w:rsid w:val="4FF5172F"/>
    <w:rsid w:val="4FFA4F97"/>
    <w:rsid w:val="500C2E3A"/>
    <w:rsid w:val="502C7E07"/>
    <w:rsid w:val="5032028D"/>
    <w:rsid w:val="50586F25"/>
    <w:rsid w:val="50593A6B"/>
    <w:rsid w:val="506A1275"/>
    <w:rsid w:val="50B27620"/>
    <w:rsid w:val="50BB64D4"/>
    <w:rsid w:val="50BD1F39"/>
    <w:rsid w:val="50D43A3A"/>
    <w:rsid w:val="50D50081"/>
    <w:rsid w:val="50F10148"/>
    <w:rsid w:val="50FC1EF9"/>
    <w:rsid w:val="51051E45"/>
    <w:rsid w:val="510D1493"/>
    <w:rsid w:val="510F6820"/>
    <w:rsid w:val="511F2F07"/>
    <w:rsid w:val="513B13C3"/>
    <w:rsid w:val="5167040A"/>
    <w:rsid w:val="516C3C72"/>
    <w:rsid w:val="516D233C"/>
    <w:rsid w:val="518965D2"/>
    <w:rsid w:val="51C63383"/>
    <w:rsid w:val="51C92E73"/>
    <w:rsid w:val="51E30784"/>
    <w:rsid w:val="51EF7C55"/>
    <w:rsid w:val="51FD0C55"/>
    <w:rsid w:val="525B1B56"/>
    <w:rsid w:val="526B3F2A"/>
    <w:rsid w:val="52843CD5"/>
    <w:rsid w:val="52854FEC"/>
    <w:rsid w:val="528D20F2"/>
    <w:rsid w:val="52A01E26"/>
    <w:rsid w:val="52A86F2C"/>
    <w:rsid w:val="52AF3C79"/>
    <w:rsid w:val="52B256B5"/>
    <w:rsid w:val="52CA50F4"/>
    <w:rsid w:val="52D852D5"/>
    <w:rsid w:val="52DE46FC"/>
    <w:rsid w:val="52F97788"/>
    <w:rsid w:val="530F0D59"/>
    <w:rsid w:val="532076DA"/>
    <w:rsid w:val="536E13A9"/>
    <w:rsid w:val="537E1A3B"/>
    <w:rsid w:val="537F5EDF"/>
    <w:rsid w:val="53966D85"/>
    <w:rsid w:val="53987EBC"/>
    <w:rsid w:val="53A40EB9"/>
    <w:rsid w:val="53C63C53"/>
    <w:rsid w:val="53F561A1"/>
    <w:rsid w:val="53F66196"/>
    <w:rsid w:val="53F71F19"/>
    <w:rsid w:val="53FC471D"/>
    <w:rsid w:val="549E0B9F"/>
    <w:rsid w:val="54A6749B"/>
    <w:rsid w:val="54A86D6F"/>
    <w:rsid w:val="54B020C8"/>
    <w:rsid w:val="54B03E76"/>
    <w:rsid w:val="54DD5EE3"/>
    <w:rsid w:val="54EA7388"/>
    <w:rsid w:val="55052414"/>
    <w:rsid w:val="55256612"/>
    <w:rsid w:val="55393E6B"/>
    <w:rsid w:val="553C395C"/>
    <w:rsid w:val="55456CB4"/>
    <w:rsid w:val="55524F2D"/>
    <w:rsid w:val="5579695E"/>
    <w:rsid w:val="557B0928"/>
    <w:rsid w:val="55A82D9F"/>
    <w:rsid w:val="55D7082B"/>
    <w:rsid w:val="55F81F79"/>
    <w:rsid w:val="56075D18"/>
    <w:rsid w:val="560A5808"/>
    <w:rsid w:val="56141C33"/>
    <w:rsid w:val="562E7748"/>
    <w:rsid w:val="56336B0D"/>
    <w:rsid w:val="563C1E65"/>
    <w:rsid w:val="567A0BDF"/>
    <w:rsid w:val="56955A19"/>
    <w:rsid w:val="56B310C2"/>
    <w:rsid w:val="56B45E9F"/>
    <w:rsid w:val="56B62522"/>
    <w:rsid w:val="56DB78D0"/>
    <w:rsid w:val="56F02C50"/>
    <w:rsid w:val="570B5583"/>
    <w:rsid w:val="571E77BD"/>
    <w:rsid w:val="57286DB3"/>
    <w:rsid w:val="574865E8"/>
    <w:rsid w:val="577B4C0F"/>
    <w:rsid w:val="577E025B"/>
    <w:rsid w:val="57A37CC2"/>
    <w:rsid w:val="57B1418D"/>
    <w:rsid w:val="57C53579"/>
    <w:rsid w:val="580B1D35"/>
    <w:rsid w:val="58150BC0"/>
    <w:rsid w:val="58220F38"/>
    <w:rsid w:val="58237473"/>
    <w:rsid w:val="5829466B"/>
    <w:rsid w:val="582D2ECA"/>
    <w:rsid w:val="58675193"/>
    <w:rsid w:val="588B0E82"/>
    <w:rsid w:val="588E44CE"/>
    <w:rsid w:val="589E62EB"/>
    <w:rsid w:val="58B5571B"/>
    <w:rsid w:val="58C148A4"/>
    <w:rsid w:val="58D06FBA"/>
    <w:rsid w:val="58DD0763"/>
    <w:rsid w:val="590A0F1B"/>
    <w:rsid w:val="5936284C"/>
    <w:rsid w:val="593A4CA4"/>
    <w:rsid w:val="593E5EF4"/>
    <w:rsid w:val="597436C4"/>
    <w:rsid w:val="59747B68"/>
    <w:rsid w:val="59875AED"/>
    <w:rsid w:val="598D4786"/>
    <w:rsid w:val="59AD6BD6"/>
    <w:rsid w:val="59D620C4"/>
    <w:rsid w:val="59EF3692"/>
    <w:rsid w:val="5A1D0200"/>
    <w:rsid w:val="5A5359CF"/>
    <w:rsid w:val="5A76346C"/>
    <w:rsid w:val="5A7C139D"/>
    <w:rsid w:val="5A7C4F26"/>
    <w:rsid w:val="5AB3021C"/>
    <w:rsid w:val="5ABA5A4E"/>
    <w:rsid w:val="5AD05272"/>
    <w:rsid w:val="5AE623A0"/>
    <w:rsid w:val="5AE72A9B"/>
    <w:rsid w:val="5AF80C77"/>
    <w:rsid w:val="5AFD593B"/>
    <w:rsid w:val="5B0A0784"/>
    <w:rsid w:val="5B0D5B7E"/>
    <w:rsid w:val="5B0F5D9A"/>
    <w:rsid w:val="5B2D7FCE"/>
    <w:rsid w:val="5B3651C4"/>
    <w:rsid w:val="5B6773DD"/>
    <w:rsid w:val="5B871DD5"/>
    <w:rsid w:val="5B90055D"/>
    <w:rsid w:val="5B94004E"/>
    <w:rsid w:val="5BC12002"/>
    <w:rsid w:val="5BD963A8"/>
    <w:rsid w:val="5BEF1728"/>
    <w:rsid w:val="5C0C4088"/>
    <w:rsid w:val="5C164F06"/>
    <w:rsid w:val="5C1D5CD1"/>
    <w:rsid w:val="5C1E636D"/>
    <w:rsid w:val="5C427AAA"/>
    <w:rsid w:val="5C49779D"/>
    <w:rsid w:val="5C4A2E02"/>
    <w:rsid w:val="5C4C26D6"/>
    <w:rsid w:val="5C533A65"/>
    <w:rsid w:val="5C6A0DAE"/>
    <w:rsid w:val="5C797243"/>
    <w:rsid w:val="5C950521"/>
    <w:rsid w:val="5CA61CC5"/>
    <w:rsid w:val="5CAD62E8"/>
    <w:rsid w:val="5CCB1749"/>
    <w:rsid w:val="5CD47089"/>
    <w:rsid w:val="5CEE60FC"/>
    <w:rsid w:val="5D1319DA"/>
    <w:rsid w:val="5D752101"/>
    <w:rsid w:val="5D9E3405"/>
    <w:rsid w:val="5DAF5613"/>
    <w:rsid w:val="5DCA7D57"/>
    <w:rsid w:val="5DDD2180"/>
    <w:rsid w:val="5DDE7CA6"/>
    <w:rsid w:val="5E070FAB"/>
    <w:rsid w:val="5E14191A"/>
    <w:rsid w:val="5E2C5A66"/>
    <w:rsid w:val="5E3972E5"/>
    <w:rsid w:val="5E3F6694"/>
    <w:rsid w:val="5E5341F0"/>
    <w:rsid w:val="5E5D0BCB"/>
    <w:rsid w:val="5E774777"/>
    <w:rsid w:val="5E7A79CF"/>
    <w:rsid w:val="5E875C48"/>
    <w:rsid w:val="5EA20CD3"/>
    <w:rsid w:val="5F142678"/>
    <w:rsid w:val="5F20356F"/>
    <w:rsid w:val="5F2711D9"/>
    <w:rsid w:val="5F342CE9"/>
    <w:rsid w:val="5F487ACD"/>
    <w:rsid w:val="5F492843"/>
    <w:rsid w:val="5F610B8F"/>
    <w:rsid w:val="5F6661A5"/>
    <w:rsid w:val="5F6662FF"/>
    <w:rsid w:val="5F87745E"/>
    <w:rsid w:val="5FA35296"/>
    <w:rsid w:val="5FCF78A6"/>
    <w:rsid w:val="605D1356"/>
    <w:rsid w:val="60602BF4"/>
    <w:rsid w:val="60634492"/>
    <w:rsid w:val="60714E01"/>
    <w:rsid w:val="608D150F"/>
    <w:rsid w:val="608E59B3"/>
    <w:rsid w:val="6098413C"/>
    <w:rsid w:val="60B42F40"/>
    <w:rsid w:val="60E16DC7"/>
    <w:rsid w:val="60F875EA"/>
    <w:rsid w:val="6120452A"/>
    <w:rsid w:val="612B4FB0"/>
    <w:rsid w:val="61557096"/>
    <w:rsid w:val="617F354E"/>
    <w:rsid w:val="6185437C"/>
    <w:rsid w:val="619A1751"/>
    <w:rsid w:val="619F720E"/>
    <w:rsid w:val="61B52ACC"/>
    <w:rsid w:val="61D45A07"/>
    <w:rsid w:val="61E729D2"/>
    <w:rsid w:val="61FD726F"/>
    <w:rsid w:val="622171F9"/>
    <w:rsid w:val="62317338"/>
    <w:rsid w:val="62353C0D"/>
    <w:rsid w:val="62407B32"/>
    <w:rsid w:val="626764BC"/>
    <w:rsid w:val="627209BD"/>
    <w:rsid w:val="627925D2"/>
    <w:rsid w:val="628A3F58"/>
    <w:rsid w:val="62C46226"/>
    <w:rsid w:val="62C523FB"/>
    <w:rsid w:val="62F13FD7"/>
    <w:rsid w:val="6300421A"/>
    <w:rsid w:val="63103592"/>
    <w:rsid w:val="63155F18"/>
    <w:rsid w:val="63350368"/>
    <w:rsid w:val="63610329"/>
    <w:rsid w:val="6381535B"/>
    <w:rsid w:val="63846BFA"/>
    <w:rsid w:val="638E7A78"/>
    <w:rsid w:val="639860B9"/>
    <w:rsid w:val="63BF40D6"/>
    <w:rsid w:val="63C8712F"/>
    <w:rsid w:val="63C9253A"/>
    <w:rsid w:val="63C94F54"/>
    <w:rsid w:val="63D00091"/>
    <w:rsid w:val="63D95197"/>
    <w:rsid w:val="63F41FD1"/>
    <w:rsid w:val="641E3E83"/>
    <w:rsid w:val="64552344"/>
    <w:rsid w:val="648F14D8"/>
    <w:rsid w:val="64A241DD"/>
    <w:rsid w:val="64BF74AD"/>
    <w:rsid w:val="64DC4BF4"/>
    <w:rsid w:val="64EC4A56"/>
    <w:rsid w:val="64F41B5D"/>
    <w:rsid w:val="65053D6A"/>
    <w:rsid w:val="653E3F84"/>
    <w:rsid w:val="655D3BA6"/>
    <w:rsid w:val="655F347A"/>
    <w:rsid w:val="658E1FB1"/>
    <w:rsid w:val="65A6554D"/>
    <w:rsid w:val="65AB796D"/>
    <w:rsid w:val="65C42D57"/>
    <w:rsid w:val="660404C6"/>
    <w:rsid w:val="660F30F2"/>
    <w:rsid w:val="66206A18"/>
    <w:rsid w:val="662E7EAC"/>
    <w:rsid w:val="66354F05"/>
    <w:rsid w:val="66501015"/>
    <w:rsid w:val="666845B1"/>
    <w:rsid w:val="667C005C"/>
    <w:rsid w:val="66983372"/>
    <w:rsid w:val="66A7157D"/>
    <w:rsid w:val="66AF2C9C"/>
    <w:rsid w:val="66D06D96"/>
    <w:rsid w:val="66D122FD"/>
    <w:rsid w:val="66E75E1D"/>
    <w:rsid w:val="66FC791B"/>
    <w:rsid w:val="670A1B0C"/>
    <w:rsid w:val="672C3830"/>
    <w:rsid w:val="672E75A8"/>
    <w:rsid w:val="6746681E"/>
    <w:rsid w:val="676E5BF7"/>
    <w:rsid w:val="67874F0A"/>
    <w:rsid w:val="67AB6E4B"/>
    <w:rsid w:val="67B215EE"/>
    <w:rsid w:val="67CA4DF7"/>
    <w:rsid w:val="67CB102B"/>
    <w:rsid w:val="67F34959"/>
    <w:rsid w:val="67F87BB6"/>
    <w:rsid w:val="681A18DB"/>
    <w:rsid w:val="682965BB"/>
    <w:rsid w:val="68297D70"/>
    <w:rsid w:val="683A4A13"/>
    <w:rsid w:val="684352D5"/>
    <w:rsid w:val="685F7C35"/>
    <w:rsid w:val="688F22C8"/>
    <w:rsid w:val="689E3B8A"/>
    <w:rsid w:val="689E42BA"/>
    <w:rsid w:val="68B7537B"/>
    <w:rsid w:val="68DC4DE2"/>
    <w:rsid w:val="68F44821"/>
    <w:rsid w:val="68F6059A"/>
    <w:rsid w:val="69132EFA"/>
    <w:rsid w:val="691C78D4"/>
    <w:rsid w:val="692E40F3"/>
    <w:rsid w:val="69362744"/>
    <w:rsid w:val="69561038"/>
    <w:rsid w:val="69623EDE"/>
    <w:rsid w:val="699B4C9D"/>
    <w:rsid w:val="69B61AD7"/>
    <w:rsid w:val="69F262CB"/>
    <w:rsid w:val="69F85C4B"/>
    <w:rsid w:val="6A334ED5"/>
    <w:rsid w:val="6A4964A7"/>
    <w:rsid w:val="6A5C61DA"/>
    <w:rsid w:val="6A7D3FB6"/>
    <w:rsid w:val="6AB778B5"/>
    <w:rsid w:val="6AC16985"/>
    <w:rsid w:val="6B064398"/>
    <w:rsid w:val="6B133AE7"/>
    <w:rsid w:val="6B170353"/>
    <w:rsid w:val="6B1D5E72"/>
    <w:rsid w:val="6B3453A9"/>
    <w:rsid w:val="6B3E28C1"/>
    <w:rsid w:val="6B476E8A"/>
    <w:rsid w:val="6B4B046E"/>
    <w:rsid w:val="6B5259F4"/>
    <w:rsid w:val="6B7316A4"/>
    <w:rsid w:val="6B7B2FD8"/>
    <w:rsid w:val="6B7E4C5D"/>
    <w:rsid w:val="6BBB1626"/>
    <w:rsid w:val="6BCFCE22"/>
    <w:rsid w:val="6C283F43"/>
    <w:rsid w:val="6C335661"/>
    <w:rsid w:val="6C4433CA"/>
    <w:rsid w:val="6C586513"/>
    <w:rsid w:val="6C7B05E2"/>
    <w:rsid w:val="6C830396"/>
    <w:rsid w:val="6C8359F4"/>
    <w:rsid w:val="6CCE0EE6"/>
    <w:rsid w:val="6CE150BD"/>
    <w:rsid w:val="6CF941B4"/>
    <w:rsid w:val="6D0B14CF"/>
    <w:rsid w:val="6D2531FB"/>
    <w:rsid w:val="6D4318D3"/>
    <w:rsid w:val="6D434595"/>
    <w:rsid w:val="6D7970A3"/>
    <w:rsid w:val="6D8C327A"/>
    <w:rsid w:val="6D946ECB"/>
    <w:rsid w:val="6D9F3FE9"/>
    <w:rsid w:val="6DB4076A"/>
    <w:rsid w:val="6DB77BCC"/>
    <w:rsid w:val="6DC9057F"/>
    <w:rsid w:val="6DC95F17"/>
    <w:rsid w:val="6E190503"/>
    <w:rsid w:val="6E261E32"/>
    <w:rsid w:val="6E4B4EE4"/>
    <w:rsid w:val="6E6848B4"/>
    <w:rsid w:val="6E6935BC"/>
    <w:rsid w:val="6E731D44"/>
    <w:rsid w:val="6E8B4A99"/>
    <w:rsid w:val="6EAE0FCF"/>
    <w:rsid w:val="6EC727D8"/>
    <w:rsid w:val="6EE804F1"/>
    <w:rsid w:val="6EE80984"/>
    <w:rsid w:val="6F0D3F47"/>
    <w:rsid w:val="6F6A75EB"/>
    <w:rsid w:val="6F854280"/>
    <w:rsid w:val="6F865AA7"/>
    <w:rsid w:val="6FB6638D"/>
    <w:rsid w:val="6FB865A9"/>
    <w:rsid w:val="6FC51CA8"/>
    <w:rsid w:val="6FE4739E"/>
    <w:rsid w:val="6FFA819D"/>
    <w:rsid w:val="70634617"/>
    <w:rsid w:val="70636969"/>
    <w:rsid w:val="709119F6"/>
    <w:rsid w:val="70A408DB"/>
    <w:rsid w:val="70A97C9F"/>
    <w:rsid w:val="70AC5B69"/>
    <w:rsid w:val="70C366B0"/>
    <w:rsid w:val="70D80585"/>
    <w:rsid w:val="70E5442F"/>
    <w:rsid w:val="70F058CE"/>
    <w:rsid w:val="70F213F3"/>
    <w:rsid w:val="711D674E"/>
    <w:rsid w:val="712026E3"/>
    <w:rsid w:val="7128150C"/>
    <w:rsid w:val="71397275"/>
    <w:rsid w:val="714F4CEB"/>
    <w:rsid w:val="716122BB"/>
    <w:rsid w:val="716B31A7"/>
    <w:rsid w:val="71B24055"/>
    <w:rsid w:val="71BF66FE"/>
    <w:rsid w:val="72071122"/>
    <w:rsid w:val="720A29C0"/>
    <w:rsid w:val="720B63C0"/>
    <w:rsid w:val="721B2E1F"/>
    <w:rsid w:val="72213E66"/>
    <w:rsid w:val="724F65E2"/>
    <w:rsid w:val="7275647C"/>
    <w:rsid w:val="728C1B45"/>
    <w:rsid w:val="72BD3ED6"/>
    <w:rsid w:val="72BF0364"/>
    <w:rsid w:val="72F86CBC"/>
    <w:rsid w:val="72FB055A"/>
    <w:rsid w:val="73263829"/>
    <w:rsid w:val="73337CF4"/>
    <w:rsid w:val="7346211D"/>
    <w:rsid w:val="73465C7A"/>
    <w:rsid w:val="73934B26"/>
    <w:rsid w:val="73C3376E"/>
    <w:rsid w:val="73E02686"/>
    <w:rsid w:val="74117B3F"/>
    <w:rsid w:val="74152E80"/>
    <w:rsid w:val="741915E0"/>
    <w:rsid w:val="7423420D"/>
    <w:rsid w:val="74273CFD"/>
    <w:rsid w:val="742862C6"/>
    <w:rsid w:val="742C4E6F"/>
    <w:rsid w:val="7443040B"/>
    <w:rsid w:val="744F272C"/>
    <w:rsid w:val="74552A6A"/>
    <w:rsid w:val="746B1DAF"/>
    <w:rsid w:val="746E1B45"/>
    <w:rsid w:val="74736F42"/>
    <w:rsid w:val="748702F8"/>
    <w:rsid w:val="748A428C"/>
    <w:rsid w:val="748F1AFC"/>
    <w:rsid w:val="749D7B1B"/>
    <w:rsid w:val="74AE7F7A"/>
    <w:rsid w:val="74B15375"/>
    <w:rsid w:val="74C4779E"/>
    <w:rsid w:val="74E15338"/>
    <w:rsid w:val="74F6547D"/>
    <w:rsid w:val="750924D8"/>
    <w:rsid w:val="751A116C"/>
    <w:rsid w:val="751D6EAE"/>
    <w:rsid w:val="753164B5"/>
    <w:rsid w:val="753A7A60"/>
    <w:rsid w:val="75660855"/>
    <w:rsid w:val="75B72E5F"/>
    <w:rsid w:val="75D82CCE"/>
    <w:rsid w:val="75E225A7"/>
    <w:rsid w:val="75FF0362"/>
    <w:rsid w:val="761756AB"/>
    <w:rsid w:val="7629262A"/>
    <w:rsid w:val="764C6175"/>
    <w:rsid w:val="765E32DA"/>
    <w:rsid w:val="767945B8"/>
    <w:rsid w:val="76830F93"/>
    <w:rsid w:val="76BC122C"/>
    <w:rsid w:val="76C415FC"/>
    <w:rsid w:val="76F61765"/>
    <w:rsid w:val="77012625"/>
    <w:rsid w:val="7704694D"/>
    <w:rsid w:val="771542E1"/>
    <w:rsid w:val="77183DD1"/>
    <w:rsid w:val="77194CE2"/>
    <w:rsid w:val="771A5453"/>
    <w:rsid w:val="771B741D"/>
    <w:rsid w:val="772462D2"/>
    <w:rsid w:val="774E15A1"/>
    <w:rsid w:val="775C3661"/>
    <w:rsid w:val="77871237"/>
    <w:rsid w:val="77911727"/>
    <w:rsid w:val="77EA18BC"/>
    <w:rsid w:val="780D4FB8"/>
    <w:rsid w:val="78104AA8"/>
    <w:rsid w:val="782D565A"/>
    <w:rsid w:val="783469E8"/>
    <w:rsid w:val="783A53EF"/>
    <w:rsid w:val="7840713B"/>
    <w:rsid w:val="786A065C"/>
    <w:rsid w:val="78704DF0"/>
    <w:rsid w:val="788F3C1F"/>
    <w:rsid w:val="78B35B5F"/>
    <w:rsid w:val="78B90C9C"/>
    <w:rsid w:val="78C15F64"/>
    <w:rsid w:val="78D322D8"/>
    <w:rsid w:val="78EC0CB4"/>
    <w:rsid w:val="79294073"/>
    <w:rsid w:val="792C3F7A"/>
    <w:rsid w:val="795C2A94"/>
    <w:rsid w:val="797C4DD7"/>
    <w:rsid w:val="799D05BD"/>
    <w:rsid w:val="79C3347E"/>
    <w:rsid w:val="79CD2C51"/>
    <w:rsid w:val="79F931E1"/>
    <w:rsid w:val="79FC1788"/>
    <w:rsid w:val="7A027492"/>
    <w:rsid w:val="7A0348C4"/>
    <w:rsid w:val="7A1220CC"/>
    <w:rsid w:val="7A2F56B9"/>
    <w:rsid w:val="7A3C3932"/>
    <w:rsid w:val="7A575F57"/>
    <w:rsid w:val="7A5E5F9F"/>
    <w:rsid w:val="7A8772A3"/>
    <w:rsid w:val="7AA15E8B"/>
    <w:rsid w:val="7AAD65DE"/>
    <w:rsid w:val="7AB11687"/>
    <w:rsid w:val="7AB931D5"/>
    <w:rsid w:val="7ACF6635"/>
    <w:rsid w:val="7B1EE665"/>
    <w:rsid w:val="7B2F54B5"/>
    <w:rsid w:val="7B3D7962"/>
    <w:rsid w:val="7B5B24DE"/>
    <w:rsid w:val="7B66335D"/>
    <w:rsid w:val="7B694BFB"/>
    <w:rsid w:val="7B7315D6"/>
    <w:rsid w:val="7BA47323"/>
    <w:rsid w:val="7BAB5214"/>
    <w:rsid w:val="7BAF03F7"/>
    <w:rsid w:val="7BBA0FB3"/>
    <w:rsid w:val="7BCB31C0"/>
    <w:rsid w:val="7BD858DD"/>
    <w:rsid w:val="7BDA3403"/>
    <w:rsid w:val="7BDD38DF"/>
    <w:rsid w:val="7BEE5100"/>
    <w:rsid w:val="7BF904A3"/>
    <w:rsid w:val="7C180B2E"/>
    <w:rsid w:val="7C26131F"/>
    <w:rsid w:val="7C2720F2"/>
    <w:rsid w:val="7C35247C"/>
    <w:rsid w:val="7C43714C"/>
    <w:rsid w:val="7C5238E1"/>
    <w:rsid w:val="7C5A4544"/>
    <w:rsid w:val="7C63789C"/>
    <w:rsid w:val="7C9E08D4"/>
    <w:rsid w:val="7CB9570E"/>
    <w:rsid w:val="7CCD1A56"/>
    <w:rsid w:val="7CD267D0"/>
    <w:rsid w:val="7CDC31AB"/>
    <w:rsid w:val="7CED7166"/>
    <w:rsid w:val="7D0C3A90"/>
    <w:rsid w:val="7D1D3EEF"/>
    <w:rsid w:val="7D3702E5"/>
    <w:rsid w:val="7D63567A"/>
    <w:rsid w:val="7D755AD9"/>
    <w:rsid w:val="7D8B70AB"/>
    <w:rsid w:val="7DA22646"/>
    <w:rsid w:val="7DAE4B47"/>
    <w:rsid w:val="7DAE6C72"/>
    <w:rsid w:val="7DB61C4E"/>
    <w:rsid w:val="7DCE51E9"/>
    <w:rsid w:val="7DD81917"/>
    <w:rsid w:val="7DD86068"/>
    <w:rsid w:val="7DDC1500"/>
    <w:rsid w:val="7DDE4768"/>
    <w:rsid w:val="7DF54524"/>
    <w:rsid w:val="7DFF35F5"/>
    <w:rsid w:val="7E0F7ABB"/>
    <w:rsid w:val="7E3712E7"/>
    <w:rsid w:val="7E505BFE"/>
    <w:rsid w:val="7E53749D"/>
    <w:rsid w:val="7E696CC0"/>
    <w:rsid w:val="7E6B31AE"/>
    <w:rsid w:val="7E6E42D6"/>
    <w:rsid w:val="7EA146AC"/>
    <w:rsid w:val="7EB60008"/>
    <w:rsid w:val="7EC42148"/>
    <w:rsid w:val="7EDC30EB"/>
    <w:rsid w:val="7EEF2C4C"/>
    <w:rsid w:val="7EF8136D"/>
    <w:rsid w:val="7F0B6E76"/>
    <w:rsid w:val="7F141322"/>
    <w:rsid w:val="7F267F08"/>
    <w:rsid w:val="7F3FD8F5"/>
    <w:rsid w:val="7F4FF76D"/>
    <w:rsid w:val="7F565B5F"/>
    <w:rsid w:val="7F577294"/>
    <w:rsid w:val="7F7F4E8D"/>
    <w:rsid w:val="7F870019"/>
    <w:rsid w:val="7F89761A"/>
    <w:rsid w:val="7F961D37"/>
    <w:rsid w:val="7FBB6308"/>
    <w:rsid w:val="7FC3027E"/>
    <w:rsid w:val="7FC44AF6"/>
    <w:rsid w:val="7FDD1714"/>
    <w:rsid w:val="7FDF723A"/>
    <w:rsid w:val="B6DFD99A"/>
    <w:rsid w:val="BF47EA16"/>
    <w:rsid w:val="CFEF73C2"/>
    <w:rsid w:val="E74DD106"/>
    <w:rsid w:val="EAF9AAD5"/>
    <w:rsid w:val="EBFDE926"/>
    <w:rsid w:val="ECDCB5FD"/>
    <w:rsid w:val="EEF79D81"/>
    <w:rsid w:val="FBF59284"/>
    <w:rsid w:val="FD77ADB3"/>
    <w:rsid w:val="FEFDF03F"/>
    <w:rsid w:val="FEFF59ED"/>
    <w:rsid w:val="FF8F13CE"/>
    <w:rsid w:val="FFDADA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tabs>
        <w:tab w:val="left" w:pos="1830"/>
      </w:tabs>
      <w:ind w:left="1830" w:hanging="360"/>
      <w:outlineLvl w:val="0"/>
    </w:pPr>
    <w:rPr>
      <w:rFonts w:ascii="Arial" w:hAnsi="Arial" w:eastAsia="仿宋_GB2312"/>
      <w:sz w:val="28"/>
      <w:szCs w:val="20"/>
      <w:lang w:bidi="he-IL"/>
    </w:rPr>
  </w:style>
  <w:style w:type="paragraph" w:styleId="3">
    <w:name w:val="heading 2"/>
    <w:basedOn w:val="1"/>
    <w:next w:val="1"/>
    <w:link w:val="56"/>
    <w:qFormat/>
    <w:uiPriority w:val="0"/>
    <w:pPr>
      <w:keepNext/>
      <w:keepLines/>
      <w:spacing w:before="260" w:after="260" w:line="416" w:lineRule="auto"/>
      <w:outlineLvl w:val="1"/>
    </w:pPr>
    <w:rPr>
      <w:rFonts w:ascii="Arial" w:hAnsi="Arial" w:eastAsia="黑体"/>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1"/>
    <w:link w:val="41"/>
    <w:qFormat/>
    <w:uiPriority w:val="0"/>
    <w:pPr>
      <w:spacing w:after="120"/>
    </w:pPr>
  </w:style>
  <w:style w:type="paragraph" w:styleId="6">
    <w:name w:val="Plain Text"/>
    <w:basedOn w:val="1"/>
    <w:qFormat/>
    <w:uiPriority w:val="0"/>
    <w:rPr>
      <w:rFonts w:ascii="宋体" w:hAnsi="Courier New"/>
    </w:rPr>
  </w:style>
  <w:style w:type="paragraph" w:styleId="7">
    <w:name w:val="Balloon Text"/>
    <w:basedOn w:val="1"/>
    <w:link w:val="40"/>
    <w:qFormat/>
    <w:uiPriority w:val="0"/>
    <w:rPr>
      <w:sz w:val="18"/>
      <w:szCs w:val="18"/>
    </w:rPr>
  </w:style>
  <w:style w:type="paragraph" w:styleId="8">
    <w:name w:val="footer"/>
    <w:basedOn w:val="1"/>
    <w:link w:val="53"/>
    <w:qFormat/>
    <w:uiPriority w:val="99"/>
    <w:pPr>
      <w:tabs>
        <w:tab w:val="center" w:pos="4153"/>
        <w:tab w:val="right" w:pos="8306"/>
      </w:tabs>
      <w:snapToGrid w:val="0"/>
      <w:jc w:val="left"/>
    </w:pPr>
    <w:rPr>
      <w:sz w:val="18"/>
      <w:szCs w:val="20"/>
      <w:lang w:bidi="he-IL"/>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1"/>
    <w:next w:val="1"/>
    <w:qFormat/>
    <w:uiPriority w:val="39"/>
    <w:rPr>
      <w:rFonts w:eastAsia="黑体"/>
      <w:sz w:val="28"/>
    </w:rPr>
  </w:style>
  <w:style w:type="paragraph" w:styleId="11">
    <w:name w:val="index 1"/>
    <w:basedOn w:val="1"/>
    <w:next w:val="1"/>
    <w:semiHidden/>
    <w:qFormat/>
    <w:uiPriority w:val="0"/>
    <w:rPr>
      <w:rFonts w:eastAsia="仿宋_GB2312"/>
      <w:b/>
      <w:sz w:val="24"/>
      <w:szCs w:val="20"/>
    </w:rPr>
  </w:style>
  <w:style w:type="paragraph" w:styleId="12">
    <w:name w:val="toc 2"/>
    <w:basedOn w:val="13"/>
    <w:next w:val="13"/>
    <w:qFormat/>
    <w:uiPriority w:val="39"/>
    <w:pPr>
      <w:ind w:left="420"/>
    </w:pPr>
    <w:rPr>
      <w:rFonts w:eastAsia="仿宋_GB2312"/>
      <w:b/>
      <w:sz w:val="24"/>
    </w:rPr>
  </w:style>
  <w:style w:type="paragraph" w:styleId="13">
    <w:name w:val="index 2"/>
    <w:basedOn w:val="1"/>
    <w:next w:val="1"/>
    <w:qFormat/>
    <w:uiPriority w:val="0"/>
    <w:pPr>
      <w:ind w:left="200" w:leftChars="200"/>
    </w:pPr>
    <w:rPr>
      <w:szCs w:val="20"/>
    </w:rPr>
  </w:style>
  <w:style w:type="paragraph" w:styleId="14">
    <w:name w:val="Normal (Web)"/>
    <w:basedOn w:val="1"/>
    <w:qFormat/>
    <w:uiPriority w:val="0"/>
    <w:pPr>
      <w:spacing w:beforeAutospacing="1" w:afterAutospacing="1"/>
      <w:jc w:val="left"/>
    </w:pPr>
    <w:rPr>
      <w:kern w:val="0"/>
      <w:sz w:val="24"/>
    </w:rPr>
  </w:style>
  <w:style w:type="paragraph" w:styleId="15">
    <w:name w:val="Body Text First Indent"/>
    <w:basedOn w:val="5"/>
    <w:link w:val="42"/>
    <w:unhideWhenUsed/>
    <w:qFormat/>
    <w:uiPriority w:val="99"/>
    <w:pPr>
      <w:spacing w:line="400" w:lineRule="atLeast"/>
      <w:ind w:firstLine="426"/>
    </w:pPr>
    <w:rPr>
      <w:sz w:val="24"/>
      <w:szCs w:val="20"/>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page number"/>
    <w:basedOn w:val="18"/>
    <w:qFormat/>
    <w:uiPriority w:val="0"/>
  </w:style>
  <w:style w:type="character" w:styleId="21">
    <w:name w:val="FollowedHyperlink"/>
    <w:basedOn w:val="18"/>
    <w:qFormat/>
    <w:uiPriority w:val="0"/>
    <w:rPr>
      <w:color w:val="800080"/>
      <w:u w:val="none"/>
    </w:rPr>
  </w:style>
  <w:style w:type="character" w:styleId="22">
    <w:name w:val="Emphasis"/>
    <w:basedOn w:val="18"/>
    <w:qFormat/>
    <w:uiPriority w:val="0"/>
    <w:rPr>
      <w:color w:val="CC0000"/>
    </w:rPr>
  </w:style>
  <w:style w:type="character" w:styleId="23">
    <w:name w:val="HTML Definition"/>
    <w:basedOn w:val="18"/>
    <w:qFormat/>
    <w:uiPriority w:val="0"/>
  </w:style>
  <w:style w:type="character" w:styleId="24">
    <w:name w:val="HTML Typewriter"/>
    <w:basedOn w:val="18"/>
    <w:qFormat/>
    <w:uiPriority w:val="0"/>
    <w:rPr>
      <w:rFonts w:hint="default" w:ascii="monospace" w:hAnsi="monospace" w:eastAsia="monospace" w:cs="monospace"/>
      <w:sz w:val="20"/>
    </w:rPr>
  </w:style>
  <w:style w:type="character" w:styleId="25">
    <w:name w:val="HTML Acronym"/>
    <w:basedOn w:val="18"/>
    <w:qFormat/>
    <w:uiPriority w:val="0"/>
  </w:style>
  <w:style w:type="character" w:styleId="26">
    <w:name w:val="HTML Variable"/>
    <w:basedOn w:val="18"/>
    <w:qFormat/>
    <w:uiPriority w:val="0"/>
  </w:style>
  <w:style w:type="character" w:styleId="27">
    <w:name w:val="Hyperlink"/>
    <w:qFormat/>
    <w:uiPriority w:val="99"/>
    <w:rPr>
      <w:color w:val="0000FF"/>
      <w:u w:val="single"/>
    </w:rPr>
  </w:style>
  <w:style w:type="character" w:styleId="28">
    <w:name w:val="HTML Code"/>
    <w:basedOn w:val="18"/>
    <w:qFormat/>
    <w:uiPriority w:val="0"/>
    <w:rPr>
      <w:rFonts w:hint="default" w:ascii="monospace" w:hAnsi="monospace" w:eastAsia="monospace" w:cs="monospace"/>
      <w:sz w:val="20"/>
    </w:rPr>
  </w:style>
  <w:style w:type="character" w:styleId="29">
    <w:name w:val="HTML Cite"/>
    <w:basedOn w:val="18"/>
    <w:qFormat/>
    <w:uiPriority w:val="0"/>
    <w:rPr>
      <w:color w:val="008000"/>
    </w:rPr>
  </w:style>
  <w:style w:type="character" w:styleId="30">
    <w:name w:val="HTML Keyboard"/>
    <w:basedOn w:val="18"/>
    <w:qFormat/>
    <w:uiPriority w:val="0"/>
    <w:rPr>
      <w:rFonts w:hint="default" w:ascii="monospace" w:hAnsi="monospace" w:eastAsia="monospace" w:cs="monospace"/>
      <w:sz w:val="20"/>
    </w:rPr>
  </w:style>
  <w:style w:type="character" w:styleId="31">
    <w:name w:val="HTML Sample"/>
    <w:basedOn w:val="18"/>
    <w:qFormat/>
    <w:uiPriority w:val="0"/>
    <w:rPr>
      <w:rFonts w:ascii="monospace" w:hAnsi="monospace" w:eastAsia="monospace" w:cs="monospace"/>
    </w:rPr>
  </w:style>
  <w:style w:type="paragraph" w:customStyle="1" w:styleId="32">
    <w:name w:val="Default"/>
    <w:qFormat/>
    <w:uiPriority w:val="0"/>
    <w:pPr>
      <w:widowControl w:val="0"/>
      <w:autoSpaceDE w:val="0"/>
      <w:autoSpaceDN w:val="0"/>
      <w:adjustRightInd w:val="0"/>
    </w:pPr>
    <w:rPr>
      <w:rFonts w:ascii=".." w:hAnsi="Times New Roman" w:eastAsia=".." w:cs=".."/>
      <w:color w:val="000000"/>
      <w:sz w:val="24"/>
      <w:szCs w:val="24"/>
      <w:lang w:val="en-US" w:eastAsia="zh-CN" w:bidi="ar-SA"/>
    </w:rPr>
  </w:style>
  <w:style w:type="paragraph" w:customStyle="1" w:styleId="33">
    <w:name w:val="章标题"/>
    <w:basedOn w:val="1"/>
    <w:qFormat/>
    <w:uiPriority w:val="0"/>
    <w:pPr>
      <w:jc w:val="center"/>
    </w:pPr>
    <w:rPr>
      <w:rFonts w:ascii="宋体" w:hAnsi="宋体" w:eastAsia="黑体"/>
      <w:b/>
      <w:sz w:val="28"/>
      <w:szCs w:val="30"/>
    </w:rPr>
  </w:style>
  <w:style w:type="paragraph" w:customStyle="1" w:styleId="34">
    <w:name w:val="GW-正文"/>
    <w:basedOn w:val="1"/>
    <w:qFormat/>
    <w:uiPriority w:val="0"/>
    <w:pPr>
      <w:spacing w:line="360" w:lineRule="auto"/>
      <w:ind w:firstLine="200" w:firstLineChars="200"/>
      <w:contextualSpacing/>
    </w:pPr>
  </w:style>
  <w:style w:type="paragraph" w:customStyle="1" w:styleId="35">
    <w:name w:val="p0"/>
    <w:basedOn w:val="1"/>
    <w:qFormat/>
    <w:uiPriority w:val="0"/>
    <w:pPr>
      <w:widowControl/>
    </w:pPr>
    <w:rPr>
      <w:kern w:val="0"/>
      <w:szCs w:val="21"/>
    </w:rPr>
  </w:style>
  <w:style w:type="paragraph" w:customStyle="1" w:styleId="36">
    <w:name w:val="节标题"/>
    <w:basedOn w:val="1"/>
    <w:qFormat/>
    <w:uiPriority w:val="0"/>
    <w:pPr>
      <w:ind w:firstLine="1928" w:firstLineChars="800"/>
    </w:pPr>
    <w:rPr>
      <w:rFonts w:ascii="宋体" w:hAnsi="宋体" w:cs="Arial"/>
      <w:b/>
    </w:rPr>
  </w:style>
  <w:style w:type="paragraph" w:customStyle="1" w:styleId="37">
    <w:name w:val="D&amp;L"/>
    <w:basedOn w:val="9"/>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8">
    <w:name w:val="fontstyle01"/>
    <w:qFormat/>
    <w:uiPriority w:val="0"/>
    <w:rPr>
      <w:rFonts w:hint="eastAsia" w:ascii="宋体" w:hAnsi="宋体" w:eastAsia="宋体"/>
      <w:color w:val="000000"/>
      <w:sz w:val="24"/>
      <w:szCs w:val="24"/>
    </w:rPr>
  </w:style>
  <w:style w:type="character" w:customStyle="1" w:styleId="39">
    <w:name w:val="标题 2 Char"/>
    <w:link w:val="3"/>
    <w:qFormat/>
    <w:uiPriority w:val="0"/>
    <w:rPr>
      <w:rFonts w:ascii="Arial" w:hAnsi="Arial" w:eastAsia="黑体"/>
      <w:b/>
      <w:bCs/>
      <w:sz w:val="32"/>
      <w:szCs w:val="32"/>
    </w:rPr>
  </w:style>
  <w:style w:type="character" w:customStyle="1" w:styleId="40">
    <w:name w:val="批注框文本 Char"/>
    <w:basedOn w:val="18"/>
    <w:link w:val="7"/>
    <w:qFormat/>
    <w:uiPriority w:val="0"/>
    <w:rPr>
      <w:kern w:val="2"/>
      <w:sz w:val="18"/>
      <w:szCs w:val="18"/>
    </w:rPr>
  </w:style>
  <w:style w:type="character" w:customStyle="1" w:styleId="41">
    <w:name w:val="正文文本 Char"/>
    <w:basedOn w:val="18"/>
    <w:link w:val="5"/>
    <w:qFormat/>
    <w:uiPriority w:val="0"/>
    <w:rPr>
      <w:kern w:val="2"/>
      <w:sz w:val="21"/>
      <w:szCs w:val="24"/>
    </w:rPr>
  </w:style>
  <w:style w:type="character" w:customStyle="1" w:styleId="42">
    <w:name w:val="正文首行缩进 Char"/>
    <w:basedOn w:val="41"/>
    <w:link w:val="15"/>
    <w:qFormat/>
    <w:uiPriority w:val="99"/>
    <w:rPr>
      <w:kern w:val="2"/>
      <w:sz w:val="24"/>
      <w:szCs w:val="24"/>
    </w:rPr>
  </w:style>
  <w:style w:type="paragraph" w:customStyle="1" w:styleId="43">
    <w:name w:val="列出段落1"/>
    <w:basedOn w:val="1"/>
    <w:qFormat/>
    <w:uiPriority w:val="34"/>
    <w:pPr>
      <w:ind w:firstLine="420" w:firstLineChars="200"/>
    </w:pPr>
    <w:rPr>
      <w:rFonts w:ascii="Calibri" w:hAnsi="Calibri"/>
      <w:szCs w:val="22"/>
    </w:rPr>
  </w:style>
  <w:style w:type="character" w:customStyle="1" w:styleId="44">
    <w:name w:val="c-icon13"/>
    <w:basedOn w:val="18"/>
    <w:qFormat/>
    <w:uiPriority w:val="0"/>
  </w:style>
  <w:style w:type="character" w:customStyle="1" w:styleId="45">
    <w:name w:val="c-icon14"/>
    <w:basedOn w:val="18"/>
    <w:qFormat/>
    <w:uiPriority w:val="0"/>
  </w:style>
  <w:style w:type="character" w:customStyle="1" w:styleId="46">
    <w:name w:val="hover18"/>
    <w:basedOn w:val="18"/>
    <w:qFormat/>
    <w:uiPriority w:val="0"/>
  </w:style>
  <w:style w:type="character" w:customStyle="1" w:styleId="47">
    <w:name w:val="hover19"/>
    <w:basedOn w:val="18"/>
    <w:qFormat/>
    <w:uiPriority w:val="0"/>
    <w:rPr>
      <w:color w:val="315EFB"/>
    </w:rPr>
  </w:style>
  <w:style w:type="character" w:customStyle="1" w:styleId="48">
    <w:name w:val="c-icon28"/>
    <w:basedOn w:val="18"/>
    <w:qFormat/>
    <w:uiPriority w:val="0"/>
  </w:style>
  <w:style w:type="character" w:customStyle="1" w:styleId="49">
    <w:name w:val="c-icon26"/>
    <w:basedOn w:val="18"/>
    <w:qFormat/>
    <w:uiPriority w:val="0"/>
  </w:style>
  <w:style w:type="paragraph" w:customStyle="1" w:styleId="50">
    <w:name w:val="列出段落2"/>
    <w:basedOn w:val="1"/>
    <w:qFormat/>
    <w:uiPriority w:val="34"/>
    <w:pPr>
      <w:ind w:firstLine="420" w:firstLineChars="200"/>
    </w:pPr>
    <w:rPr>
      <w:kern w:val="0"/>
      <w:sz w:val="20"/>
      <w:szCs w:val="20"/>
    </w:rPr>
  </w:style>
  <w:style w:type="character" w:customStyle="1" w:styleId="51">
    <w:name w:val="font41"/>
    <w:basedOn w:val="18"/>
    <w:qFormat/>
    <w:uiPriority w:val="0"/>
    <w:rPr>
      <w:rFonts w:hint="default" w:ascii="等线" w:hAnsi="等线" w:eastAsia="等线" w:cs="等线"/>
      <w:color w:val="000000"/>
      <w:sz w:val="22"/>
      <w:szCs w:val="22"/>
      <w:u w:val="none"/>
    </w:rPr>
  </w:style>
  <w:style w:type="character" w:customStyle="1" w:styleId="52">
    <w:name w:val="font01"/>
    <w:basedOn w:val="18"/>
    <w:qFormat/>
    <w:uiPriority w:val="0"/>
    <w:rPr>
      <w:rFonts w:ascii="DengXian ( 正文 )" w:hAnsi="DengXian ( 正文 )" w:eastAsia="DengXian ( 正文 )" w:cs="DengXian ( 正文 )"/>
      <w:color w:val="000000"/>
      <w:sz w:val="22"/>
      <w:szCs w:val="22"/>
      <w:u w:val="none"/>
    </w:rPr>
  </w:style>
  <w:style w:type="character" w:customStyle="1" w:styleId="53">
    <w:name w:val="页脚 Char"/>
    <w:link w:val="8"/>
    <w:qFormat/>
    <w:uiPriority w:val="99"/>
    <w:rPr>
      <w:rFonts w:ascii="Times New Roman" w:hAnsi="Times New Roman"/>
      <w:kern w:val="2"/>
      <w:sz w:val="18"/>
      <w:lang w:bidi="he-IL"/>
    </w:rPr>
  </w:style>
  <w:style w:type="paragraph" w:customStyle="1" w:styleId="54">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55">
    <w:name w:val="样式 标题 2 + 宋体 五号 行距: 单倍行距"/>
    <w:basedOn w:val="3"/>
    <w:qFormat/>
    <w:uiPriority w:val="0"/>
    <w:pPr>
      <w:spacing w:line="240" w:lineRule="auto"/>
    </w:pPr>
    <w:rPr>
      <w:rFonts w:ascii="宋体" w:hAnsi="宋体" w:eastAsia="宋体"/>
      <w:sz w:val="21"/>
    </w:rPr>
  </w:style>
  <w:style w:type="character" w:customStyle="1" w:styleId="56">
    <w:name w:val="标题 2 Char1"/>
    <w:link w:val="3"/>
    <w:qFormat/>
    <w:uiPriority w:val="0"/>
    <w:rPr>
      <w:rFonts w:ascii="Arial" w:hAnsi="Arial" w:eastAsia="黑体"/>
      <w:b/>
      <w:bCs/>
      <w:sz w:val="32"/>
      <w:szCs w:val="32"/>
    </w:rPr>
  </w:style>
  <w:style w:type="character" w:customStyle="1" w:styleId="57">
    <w:name w:val="hover5"/>
    <w:basedOn w:val="18"/>
    <w:qFormat/>
    <w:uiPriority w:val="0"/>
    <w:rPr>
      <w:u w:val="single"/>
    </w:rPr>
  </w:style>
  <w:style w:type="character" w:customStyle="1" w:styleId="58">
    <w:name w:val="first-child"/>
    <w:basedOn w:val="18"/>
    <w:qFormat/>
    <w:uiPriority w:val="0"/>
  </w:style>
  <w:style w:type="character" w:customStyle="1" w:styleId="59">
    <w:name w:val="layui-this"/>
    <w:basedOn w:val="18"/>
    <w:qFormat/>
    <w:uiPriority w:val="0"/>
    <w:rPr>
      <w:bdr w:val="single" w:color="EEEEEE" w:sz="6"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8338</Words>
  <Characters>8757</Characters>
  <Lines>130</Lines>
  <Paragraphs>36</Paragraphs>
  <TotalTime>3</TotalTime>
  <ScaleCrop>false</ScaleCrop>
  <LinksUpToDate>false</LinksUpToDate>
  <CharactersWithSpaces>9131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2020-02-04T00:14:00Z</dcterms:created>
  <dc:creator>Vincent</dc:creator>
  <cp:lastModifiedBy>Star</cp:lastModifiedBy>
  <cp:lastPrinted>2025-12-02T06:34:00Z</cp:lastPrinted>
  <dcterms:modified xsi:type="dcterms:W3CDTF">2026-01-19T07:03:54Z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0F511E2BDBC34DCE9E81EBDA769FEE87_13</vt:lpwstr>
  </property>
  <property fmtid="{D5CDD505-2E9C-101B-9397-08002B2CF9AE}" pid="4" name="KSOTemplateDocerSaveRecord">
    <vt:lpwstr>eyJoZGlkIjoiYTJhYjRhNDQ0YmE0YmY2YjRlNWVlMjA5MGM1MDg3YjMiLCJ1c2VySWQiOiI0NzE1ODkwMDUifQ==</vt:lpwstr>
  </property>
</Properties>
</file>