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7A18F">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lang w:eastAsia="zh-CN"/>
        </w:rPr>
        <w:t>竞争性磋商</w:t>
      </w:r>
      <w:r>
        <w:rPr>
          <w:rFonts w:hint="eastAsia" w:ascii="宋体" w:hAnsi="宋体"/>
          <w:b/>
          <w:bCs/>
          <w:sz w:val="52"/>
          <w:szCs w:val="52"/>
        </w:rPr>
        <w:t>文件</w:t>
      </w:r>
    </w:p>
    <w:p w14:paraId="4BCFF0E5">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5F67AA0F">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cs="宋体"/>
          <w:b/>
          <w:bCs/>
          <w:sz w:val="28"/>
          <w:szCs w:val="28"/>
          <w:lang w:val="en-US" w:eastAsia="zh-CN"/>
        </w:rPr>
        <w:t>服务</w:t>
      </w:r>
      <w:r>
        <w:rPr>
          <w:rFonts w:hint="eastAsia" w:ascii="宋体" w:hAnsi="宋体" w:eastAsia="宋体" w:cs="宋体"/>
          <w:b/>
          <w:bCs/>
          <w:sz w:val="28"/>
          <w:szCs w:val="28"/>
        </w:rPr>
        <w:t>类）</w:t>
      </w:r>
    </w:p>
    <w:p w14:paraId="6E4D09B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1B0FCED2">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3B69066E">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0BCBBDB5">
      <w:pPr>
        <w:pStyle w:val="33"/>
      </w:pPr>
    </w:p>
    <w:p w14:paraId="7402F031">
      <w:pPr>
        <w:pStyle w:val="33"/>
      </w:pPr>
    </w:p>
    <w:p w14:paraId="5B07E60E">
      <w:pPr>
        <w:pStyle w:val="33"/>
      </w:pPr>
    </w:p>
    <w:p w14:paraId="675C485C">
      <w:pPr>
        <w:pStyle w:val="33"/>
      </w:pPr>
    </w:p>
    <w:p w14:paraId="085EA3CC">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项目名称：六安市叶集区医共体中心药房追溯码信息系统项目</w:t>
      </w:r>
    </w:p>
    <w:p w14:paraId="6FD0B99B">
      <w:pPr>
        <w:tabs>
          <w:tab w:val="left" w:pos="2410"/>
        </w:tabs>
        <w:autoSpaceDE w:val="0"/>
        <w:autoSpaceDN w:val="0"/>
        <w:adjustRightInd w:val="0"/>
        <w:snapToGrid w:val="0"/>
        <w:spacing w:line="600" w:lineRule="exact"/>
        <w:ind w:left="1050" w:leftChars="500"/>
        <w:jc w:val="left"/>
        <w:rPr>
          <w:rFonts w:hint="eastAsia"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项目编号：LASYJQRMYY-XXK2025-1</w:t>
      </w:r>
      <w:r>
        <w:rPr>
          <w:rFonts w:hint="eastAsia" w:ascii="宋体" w:hAnsi="DotumChe" w:cs="宋体"/>
          <w:b/>
          <w:spacing w:val="11"/>
          <w:kern w:val="0"/>
          <w:sz w:val="28"/>
          <w:szCs w:val="28"/>
          <w:lang w:val="en-US" w:eastAsia="zh-CN"/>
        </w:rPr>
        <w:t>5</w:t>
      </w:r>
    </w:p>
    <w:p w14:paraId="2E92CFD1">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w:t>
      </w:r>
      <w:bookmarkStart w:id="0" w:name="OLE_LINK1"/>
      <w:r>
        <w:rPr>
          <w:rFonts w:hint="eastAsia" w:ascii="宋体" w:hAnsi="DotumChe" w:cs="宋体"/>
          <w:b/>
          <w:spacing w:val="11"/>
          <w:kern w:val="0"/>
          <w:sz w:val="28"/>
          <w:szCs w:val="28"/>
        </w:rPr>
        <w:t>六安市叶集区人民医院</w:t>
      </w:r>
      <w:bookmarkEnd w:id="0"/>
      <w:r>
        <w:rPr>
          <w:rFonts w:hint="eastAsia" w:ascii="宋体" w:hAnsi="DotumChe" w:cs="宋体"/>
          <w:b/>
          <w:spacing w:val="11"/>
          <w:kern w:val="0"/>
          <w:sz w:val="28"/>
          <w:szCs w:val="28"/>
          <w:lang w:eastAsia="zh-CN"/>
        </w:rPr>
        <w:t>（市六院）</w:t>
      </w:r>
      <w:bookmarkStart w:id="147" w:name="_GoBack"/>
      <w:bookmarkEnd w:id="147"/>
    </w:p>
    <w:p w14:paraId="7843DC1C">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50A877A3">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2026年1月</w:t>
      </w:r>
      <w:r>
        <w:rPr>
          <w:rFonts w:hint="eastAsia" w:ascii="宋体" w:hAnsi="DotumChe" w:cs="宋体"/>
          <w:b/>
          <w:spacing w:val="11"/>
          <w:kern w:val="0"/>
          <w:sz w:val="28"/>
          <w:szCs w:val="28"/>
        </w:rPr>
        <w:t xml:space="preserve">   </w:t>
      </w:r>
    </w:p>
    <w:p w14:paraId="26E0871D">
      <w:pPr>
        <w:rPr>
          <w:rFonts w:ascii="宋体" w:hAnsi="宋体" w:cs="宋体"/>
          <w:b/>
          <w:sz w:val="36"/>
          <w:szCs w:val="36"/>
        </w:rPr>
      </w:pPr>
      <w:r>
        <w:rPr>
          <w:rFonts w:hint="eastAsia" w:ascii="宋体" w:hAnsi="宋体" w:cs="宋体"/>
          <w:b/>
          <w:sz w:val="36"/>
          <w:szCs w:val="36"/>
        </w:rPr>
        <w:br w:type="page"/>
      </w:r>
    </w:p>
    <w:p w14:paraId="048B9DE4">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7B8E6941">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1DAB74A3">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7CC748A">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404C70B0">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3A0699B1">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53967719">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3459B3F2">
      <w:pPr>
        <w:pStyle w:val="27"/>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61445E67">
      <w:pPr>
        <w:pStyle w:val="27"/>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1" w:name="_Toc363199264"/>
      <w:bookmarkStart w:id="2" w:name="_Toc216158623"/>
      <w:r>
        <w:rPr>
          <w:rFonts w:hint="eastAsia"/>
          <w:sz w:val="28"/>
          <w:szCs w:val="28"/>
        </w:rPr>
        <w:br w:type="page"/>
      </w:r>
    </w:p>
    <w:p w14:paraId="7379F7E1">
      <w:pPr>
        <w:pStyle w:val="4"/>
        <w:pageBreakBefore w:val="0"/>
        <w:kinsoku/>
        <w:wordWrap/>
        <w:overflowPunct/>
        <w:topLinePunct w:val="0"/>
        <w:autoSpaceDE/>
        <w:autoSpaceDN/>
        <w:bidi w:val="0"/>
        <w:adjustRightInd/>
        <w:snapToGrid/>
        <w:spacing w:before="0" w:after="0" w:line="560" w:lineRule="exact"/>
        <w:jc w:val="center"/>
        <w:textAlignment w:val="auto"/>
        <w:rPr>
          <w:rFonts w:hint="eastAsia" w:ascii="黑体" w:hAnsi="黑体" w:cs="黑体"/>
          <w:b w:val="0"/>
          <w:bCs/>
          <w:sz w:val="44"/>
          <w:szCs w:val="44"/>
        </w:rPr>
      </w:pPr>
      <w:bookmarkStart w:id="3" w:name="_Toc26749"/>
      <w:bookmarkStart w:id="4" w:name="_Toc30186"/>
      <w:r>
        <w:rPr>
          <w:rFonts w:hint="eastAsia" w:ascii="黑体" w:hAnsi="黑体" w:cs="黑体"/>
          <w:b w:val="0"/>
          <w:bCs/>
          <w:sz w:val="44"/>
          <w:szCs w:val="44"/>
        </w:rPr>
        <w:t>六安市叶集区医共体中心药房追溯码信息系统项目竞争性</w:t>
      </w:r>
      <w:r>
        <w:rPr>
          <w:rFonts w:hint="eastAsia" w:ascii="黑体" w:hAnsi="黑体" w:cs="黑体"/>
          <w:b w:val="0"/>
          <w:bCs/>
          <w:sz w:val="44"/>
          <w:szCs w:val="44"/>
          <w:lang w:val="en-US" w:eastAsia="zh-CN"/>
        </w:rPr>
        <w:t>磋商</w:t>
      </w:r>
      <w:r>
        <w:rPr>
          <w:rFonts w:hint="eastAsia" w:ascii="黑体" w:hAnsi="黑体" w:cs="黑体"/>
          <w:b w:val="0"/>
          <w:bCs/>
          <w:sz w:val="44"/>
          <w:szCs w:val="44"/>
        </w:rPr>
        <w:t>公告</w:t>
      </w:r>
      <w:bookmarkEnd w:id="3"/>
      <w:bookmarkEnd w:id="4"/>
    </w:p>
    <w:p w14:paraId="5F175264">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lang w:eastAsia="zh-CN"/>
        </w:rPr>
        <w:t>六安市叶集区医共体中心药房追溯码信息系统项目</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w:t>
      </w:r>
      <w:r>
        <w:rPr>
          <w:rFonts w:hint="eastAsia" w:ascii="仿宋" w:hAnsi="仿宋" w:eastAsia="仿宋" w:cs="仿宋"/>
          <w:sz w:val="28"/>
          <w:szCs w:val="28"/>
        </w:rPr>
        <w:t>LASYJQRMYY-XXK2025-1</w:t>
      </w:r>
      <w:r>
        <w:rPr>
          <w:rFonts w:hint="eastAsia" w:ascii="仿宋" w:hAnsi="仿宋" w:eastAsia="仿宋" w:cs="仿宋"/>
          <w:sz w:val="28"/>
          <w:szCs w:val="28"/>
          <w:lang w:val="en-US" w:eastAsia="zh-CN"/>
        </w:rPr>
        <w:t>5</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w:t>
      </w:r>
      <w:r>
        <w:rPr>
          <w:rFonts w:hint="eastAsia" w:ascii="仿宋" w:hAnsi="仿宋" w:eastAsia="仿宋" w:cs="仿宋"/>
          <w:sz w:val="28"/>
          <w:szCs w:val="28"/>
          <w:lang w:eastAsia="zh-CN"/>
        </w:rPr>
        <w:t>市六院</w:t>
      </w:r>
      <w:r>
        <w:rPr>
          <w:rFonts w:hint="eastAsia" w:ascii="仿宋" w:hAnsi="仿宋" w:eastAsia="仿宋" w:cs="仿宋"/>
          <w:sz w:val="28"/>
          <w:szCs w:val="28"/>
        </w:rPr>
        <w:t>）官网（http://www.lasdlrmyy.cn/）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2026</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月</w:t>
      </w:r>
      <w:r>
        <w:rPr>
          <w:rFonts w:hint="eastAsia" w:ascii="仿宋" w:hAnsi="仿宋" w:eastAsia="仿宋" w:cs="仿宋"/>
          <w:sz w:val="28"/>
          <w:szCs w:val="28"/>
          <w:highlight w:val="none"/>
          <w:u w:val="none"/>
          <w:lang w:val="en-US" w:eastAsia="zh-CN"/>
        </w:rPr>
        <w:t>12</w:t>
      </w:r>
      <w:r>
        <w:rPr>
          <w:rFonts w:hint="eastAsia" w:ascii="仿宋" w:hAnsi="仿宋" w:eastAsia="仿宋" w:cs="仿宋"/>
          <w:sz w:val="28"/>
          <w:szCs w:val="28"/>
          <w:u w:val="none"/>
        </w:rPr>
        <w:t xml:space="preserve">日 </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48CC0770">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5" w:name="_Toc28359012"/>
      <w:bookmarkStart w:id="6" w:name="_Toc7777"/>
      <w:bookmarkStart w:id="7" w:name="_Toc14319"/>
      <w:bookmarkStart w:id="8" w:name="_Toc35393798"/>
      <w:bookmarkStart w:id="9" w:name="_Toc35393629"/>
      <w:bookmarkStart w:id="10" w:name="_Toc28359089"/>
      <w:r>
        <w:rPr>
          <w:rFonts w:hint="eastAsia" w:ascii="黑体" w:hAnsi="黑体" w:cs="黑体"/>
          <w:b w:val="0"/>
          <w:bCs/>
          <w:sz w:val="28"/>
          <w:szCs w:val="28"/>
        </w:rPr>
        <w:t>一、项目基本情况</w:t>
      </w:r>
      <w:bookmarkEnd w:id="5"/>
      <w:bookmarkEnd w:id="6"/>
      <w:bookmarkEnd w:id="7"/>
      <w:bookmarkEnd w:id="8"/>
      <w:bookmarkEnd w:id="9"/>
      <w:bookmarkEnd w:id="10"/>
    </w:p>
    <w:p w14:paraId="04F2BDB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LASYJQRMYY-XXK2025-15</w:t>
      </w:r>
    </w:p>
    <w:p w14:paraId="53E1EE8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highlight w:val="none"/>
          <w:lang w:eastAsia="zh-CN"/>
        </w:rPr>
        <w:t>六安市叶集区医共体中心药房追溯码信息系统</w:t>
      </w:r>
      <w:r>
        <w:rPr>
          <w:rFonts w:hint="eastAsia" w:ascii="仿宋" w:hAnsi="仿宋" w:eastAsia="仿宋" w:cs="仿宋"/>
          <w:sz w:val="28"/>
          <w:szCs w:val="28"/>
          <w:highlight w:val="none"/>
        </w:rPr>
        <w:t>项目</w:t>
      </w:r>
    </w:p>
    <w:p w14:paraId="6484BDF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w:t>
      </w:r>
      <w:r>
        <w:rPr>
          <w:rFonts w:hint="eastAsia" w:ascii="仿宋" w:hAnsi="仿宋" w:eastAsia="仿宋" w:cs="仿宋"/>
          <w:sz w:val="28"/>
          <w:szCs w:val="28"/>
          <w:lang w:val="en-US" w:eastAsia="zh-CN"/>
        </w:rPr>
        <w:t>服务</w:t>
      </w:r>
      <w:r>
        <w:rPr>
          <w:rFonts w:hint="eastAsia" w:ascii="仿宋" w:hAnsi="仿宋" w:eastAsia="仿宋" w:cs="仿宋"/>
          <w:sz w:val="28"/>
          <w:szCs w:val="28"/>
        </w:rPr>
        <w:t>类</w:t>
      </w:r>
    </w:p>
    <w:p w14:paraId="6D5EC09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4、采购方式：</w:t>
      </w:r>
      <w:r>
        <w:rPr>
          <w:rFonts w:hint="eastAsia" w:ascii="仿宋" w:hAnsi="仿宋" w:eastAsia="仿宋" w:cs="仿宋"/>
          <w:sz w:val="28"/>
          <w:szCs w:val="28"/>
          <w:lang w:eastAsia="zh-CN"/>
        </w:rPr>
        <w:t>竞争性磋商</w:t>
      </w:r>
      <w:r>
        <w:rPr>
          <w:rFonts w:hint="eastAsia" w:ascii="仿宋" w:hAnsi="仿宋" w:eastAsia="仿宋" w:cs="仿宋"/>
          <w:sz w:val="28"/>
          <w:szCs w:val="28"/>
        </w:rPr>
        <w:t xml:space="preserve"> </w:t>
      </w:r>
    </w:p>
    <w:p w14:paraId="645687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不包含配套硬件）</w:t>
      </w:r>
    </w:p>
    <w:p w14:paraId="5E66826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不包含配套硬件）</w:t>
      </w:r>
    </w:p>
    <w:p w14:paraId="31CA37E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w:t>
      </w:r>
      <w:r>
        <w:rPr>
          <w:rFonts w:hint="eastAsia" w:ascii="仿宋" w:hAnsi="仿宋" w:eastAsia="仿宋" w:cs="仿宋"/>
          <w:color w:val="auto"/>
          <w:sz w:val="28"/>
          <w:szCs w:val="28"/>
          <w:lang w:eastAsia="zh-CN"/>
        </w:rPr>
        <w:t>六安市叶集区医共体中心药房追溯码信息系统</w:t>
      </w:r>
      <w:r>
        <w:rPr>
          <w:rFonts w:hint="eastAsia" w:ascii="仿宋" w:hAnsi="仿宋" w:eastAsia="仿宋" w:cs="仿宋"/>
          <w:color w:val="auto"/>
          <w:sz w:val="28"/>
          <w:szCs w:val="28"/>
        </w:rPr>
        <w:t>项目</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具体详见采购需求。</w:t>
      </w:r>
    </w:p>
    <w:p w14:paraId="3DCDE10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u w:val="single"/>
        </w:rPr>
      </w:pPr>
      <w:r>
        <w:rPr>
          <w:rFonts w:hint="eastAsia" w:ascii="仿宋" w:hAnsi="仿宋" w:eastAsia="仿宋" w:cs="仿宋"/>
          <w:color w:val="auto"/>
          <w:sz w:val="28"/>
          <w:szCs w:val="28"/>
        </w:rPr>
        <w:t>8、合同履行期限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shd w:val="clear" w:color="auto" w:fill="FFFFFF"/>
          <w:lang w:bidi="ar"/>
        </w:rPr>
        <w:t>合同签订之日起</w:t>
      </w:r>
      <w:r>
        <w:rPr>
          <w:rFonts w:hint="eastAsia" w:ascii="仿宋" w:hAnsi="仿宋" w:eastAsia="仿宋" w:cs="仿宋"/>
          <w:color w:val="auto"/>
          <w:sz w:val="28"/>
          <w:szCs w:val="28"/>
          <w:highlight w:val="none"/>
          <w:shd w:val="clear" w:color="auto" w:fill="FFFFFF"/>
          <w:lang w:val="en-US" w:eastAsia="zh-CN" w:bidi="ar"/>
        </w:rPr>
        <w:t>30</w:t>
      </w:r>
      <w:r>
        <w:rPr>
          <w:rFonts w:hint="eastAsia" w:ascii="仿宋" w:hAnsi="仿宋" w:eastAsia="仿宋" w:cs="仿宋"/>
          <w:color w:val="auto"/>
          <w:sz w:val="28"/>
          <w:szCs w:val="28"/>
          <w:highlight w:val="none"/>
          <w:shd w:val="clear" w:color="auto" w:fill="FFFFFF"/>
          <w:lang w:bidi="ar"/>
        </w:rPr>
        <w:t>个日历天完成供货安装及调试。</w:t>
      </w:r>
    </w:p>
    <w:p w14:paraId="4F4D8E0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9、是否接受联合体：本项目不接受联合体</w:t>
      </w:r>
      <w:r>
        <w:rPr>
          <w:rFonts w:hint="eastAsia" w:ascii="仿宋" w:hAnsi="仿宋" w:eastAsia="仿宋" w:cs="仿宋"/>
          <w:sz w:val="28"/>
          <w:szCs w:val="28"/>
          <w:lang w:eastAsia="zh-CN"/>
        </w:rPr>
        <w:t>。</w:t>
      </w:r>
    </w:p>
    <w:p w14:paraId="0C424971">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11" w:name="_Toc35393799"/>
      <w:bookmarkStart w:id="12" w:name="_Toc28359090"/>
      <w:bookmarkStart w:id="13" w:name="_Toc28359013"/>
      <w:bookmarkStart w:id="14" w:name="_Toc11070"/>
      <w:bookmarkStart w:id="15" w:name="_Toc27063"/>
      <w:bookmarkStart w:id="16" w:name="_Toc35393630"/>
      <w:r>
        <w:rPr>
          <w:rFonts w:hint="eastAsia" w:ascii="黑体" w:hAnsi="黑体" w:cs="黑体"/>
          <w:b w:val="0"/>
          <w:bCs/>
          <w:sz w:val="28"/>
          <w:szCs w:val="28"/>
        </w:rPr>
        <w:t>二、申请人的资格要求</w:t>
      </w:r>
      <w:bookmarkEnd w:id="11"/>
      <w:bookmarkEnd w:id="12"/>
      <w:bookmarkEnd w:id="13"/>
      <w:bookmarkEnd w:id="14"/>
      <w:bookmarkEnd w:id="15"/>
      <w:bookmarkEnd w:id="16"/>
    </w:p>
    <w:p w14:paraId="4E886D7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1、满足《中华人民共和国政府采购法》第二十二条规定</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若供应商为石油石化、电力、电信等特殊行业的分支机构参加本项目投标的需提供上级法人单位出具的授权证明；</w:t>
      </w:r>
    </w:p>
    <w:p w14:paraId="68F82DB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bookmarkStart w:id="17" w:name="_Toc28359091"/>
      <w:bookmarkStart w:id="18" w:name="_Toc28359014"/>
      <w:r>
        <w:rPr>
          <w:rFonts w:hint="eastAsia" w:ascii="仿宋" w:hAnsi="仿宋" w:eastAsia="仿宋" w:cs="仿宋"/>
          <w:sz w:val="28"/>
          <w:szCs w:val="28"/>
        </w:rPr>
        <w:t>2、落实政府采购政策需满足的资格要求：</w:t>
      </w:r>
      <w:r>
        <w:rPr>
          <w:rFonts w:hint="eastAsia" w:ascii="仿宋" w:hAnsi="仿宋" w:eastAsia="仿宋" w:cs="仿宋"/>
          <w:sz w:val="28"/>
          <w:szCs w:val="28"/>
          <w:lang w:val="en-US" w:eastAsia="zh-CN"/>
        </w:rPr>
        <w:t>无。</w:t>
      </w:r>
    </w:p>
    <w:p w14:paraId="30CCB28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3、本项目的特定资格要求：</w:t>
      </w:r>
      <w:r>
        <w:rPr>
          <w:rFonts w:hint="eastAsia" w:ascii="仿宋" w:hAnsi="仿宋" w:eastAsia="仿宋" w:cs="仿宋"/>
          <w:sz w:val="28"/>
          <w:szCs w:val="28"/>
          <w:lang w:val="en-US" w:eastAsia="zh-CN"/>
        </w:rPr>
        <w:t>无。</w:t>
      </w:r>
    </w:p>
    <w:p w14:paraId="362C8DFB">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19" w:name="_Toc35393800"/>
      <w:bookmarkStart w:id="20" w:name="_Toc888"/>
      <w:bookmarkStart w:id="21" w:name="_Toc15899"/>
      <w:bookmarkStart w:id="22" w:name="_Toc35393631"/>
      <w:r>
        <w:rPr>
          <w:rFonts w:hint="eastAsia" w:ascii="黑体" w:hAnsi="黑体" w:cs="黑体"/>
          <w:b w:val="0"/>
          <w:bCs/>
          <w:sz w:val="28"/>
          <w:szCs w:val="28"/>
        </w:rPr>
        <w:t>三、获取采购文件</w:t>
      </w:r>
      <w:bookmarkEnd w:id="17"/>
      <w:bookmarkEnd w:id="18"/>
      <w:bookmarkEnd w:id="19"/>
      <w:bookmarkEnd w:id="20"/>
      <w:bookmarkEnd w:id="21"/>
      <w:bookmarkEnd w:id="22"/>
    </w:p>
    <w:p w14:paraId="0E57CE3E">
      <w:pPr>
        <w:spacing w:line="360" w:lineRule="auto"/>
        <w:ind w:firstLine="560" w:firstLineChars="200"/>
        <w:rPr>
          <w:rFonts w:ascii="仿宋" w:hAnsi="仿宋" w:eastAsia="仿宋" w:cs="仿宋"/>
          <w:sz w:val="28"/>
          <w:szCs w:val="28"/>
        </w:rPr>
      </w:pPr>
      <w:bookmarkStart w:id="23" w:name="_Toc35393632"/>
      <w:bookmarkStart w:id="24" w:name="_Toc28359015"/>
      <w:bookmarkStart w:id="25" w:name="_Toc15002"/>
      <w:bookmarkStart w:id="26" w:name="_Toc13207"/>
      <w:bookmarkStart w:id="27" w:name="_Toc28359092"/>
      <w:bookmarkStart w:id="28" w:name="_Toc35393801"/>
      <w:r>
        <w:rPr>
          <w:rFonts w:hint="eastAsia" w:ascii="仿宋" w:hAnsi="仿宋" w:eastAsia="仿宋" w:cs="仿宋"/>
          <w:sz w:val="28"/>
          <w:szCs w:val="28"/>
        </w:rPr>
        <w:t>1、时间：自公告发布之日起至响应文件递交及开启时间前。</w:t>
      </w:r>
    </w:p>
    <w:p w14:paraId="20DC40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获取方式</w:t>
      </w:r>
      <w:r>
        <w:rPr>
          <w:rFonts w:hint="eastAsia" w:ascii="仿宋" w:hAnsi="仿宋" w:eastAsia="仿宋" w:cs="仿宋"/>
          <w:sz w:val="28"/>
          <w:szCs w:val="28"/>
        </w:rPr>
        <w:t>：潜在供应商</w:t>
      </w:r>
      <w:r>
        <w:rPr>
          <w:rFonts w:hint="eastAsia" w:ascii="仿宋" w:hAnsi="仿宋" w:eastAsia="仿宋" w:cs="仿宋"/>
          <w:sz w:val="28"/>
          <w:szCs w:val="28"/>
          <w:lang w:val="en-US" w:eastAsia="zh-CN"/>
        </w:rPr>
        <w:t>自行</w:t>
      </w:r>
      <w:r>
        <w:rPr>
          <w:rFonts w:hint="eastAsia" w:ascii="仿宋" w:hAnsi="仿宋" w:eastAsia="仿宋" w:cs="仿宋"/>
          <w:sz w:val="28"/>
          <w:szCs w:val="28"/>
        </w:rPr>
        <w:t>在六安市叶集区人民医院（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）官网（http://www.lasdlrmyy.cn/）获取</w:t>
      </w:r>
      <w:r>
        <w:rPr>
          <w:rFonts w:hint="eastAsia" w:ascii="仿宋" w:hAnsi="仿宋" w:eastAsia="仿宋" w:cs="仿宋"/>
          <w:sz w:val="28"/>
          <w:szCs w:val="28"/>
          <w:lang w:val="en-US" w:eastAsia="zh-CN"/>
        </w:rPr>
        <w:t>并下载采购</w:t>
      </w:r>
      <w:r>
        <w:rPr>
          <w:rFonts w:hint="eastAsia" w:ascii="仿宋" w:hAnsi="仿宋" w:eastAsia="仿宋" w:cs="仿宋"/>
          <w:sz w:val="28"/>
          <w:szCs w:val="28"/>
        </w:rPr>
        <w:t>文件。</w:t>
      </w:r>
    </w:p>
    <w:p w14:paraId="5070BE11">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r>
        <w:rPr>
          <w:rFonts w:hint="eastAsia" w:ascii="黑体" w:hAnsi="黑体" w:cs="黑体"/>
          <w:b w:val="0"/>
          <w:bCs/>
          <w:sz w:val="28"/>
          <w:szCs w:val="28"/>
        </w:rPr>
        <w:t>四、</w:t>
      </w:r>
      <w:bookmarkEnd w:id="23"/>
      <w:bookmarkEnd w:id="24"/>
      <w:bookmarkEnd w:id="25"/>
      <w:bookmarkEnd w:id="26"/>
      <w:bookmarkEnd w:id="27"/>
      <w:bookmarkEnd w:id="28"/>
      <w:r>
        <w:rPr>
          <w:rFonts w:hint="eastAsia" w:ascii="黑体" w:hAnsi="黑体" w:cs="黑体"/>
          <w:b w:val="0"/>
          <w:bCs/>
          <w:sz w:val="28"/>
          <w:szCs w:val="28"/>
        </w:rPr>
        <w:t>响应文件递交及开启时间</w:t>
      </w:r>
    </w:p>
    <w:p w14:paraId="72C5E3E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lang w:val="en-US" w:eastAsia="zh-CN"/>
        </w:rPr>
        <w:t>2026</w:t>
      </w:r>
      <w:r>
        <w:rPr>
          <w:rFonts w:hint="eastAsia" w:ascii="仿宋" w:hAnsi="仿宋" w:eastAsia="仿宋" w:cs="仿宋"/>
          <w:bCs/>
          <w:sz w:val="28"/>
          <w:szCs w:val="28"/>
          <w:u w:val="none"/>
        </w:rPr>
        <w:t>年</w:t>
      </w:r>
      <w:r>
        <w:rPr>
          <w:rFonts w:hint="eastAsia" w:ascii="仿宋" w:hAnsi="仿宋" w:eastAsia="仿宋" w:cs="仿宋"/>
          <w:bCs/>
          <w:sz w:val="28"/>
          <w:szCs w:val="28"/>
          <w:u w:val="none"/>
          <w:lang w:val="en-US" w:eastAsia="zh-CN"/>
        </w:rPr>
        <w:t>1</w:t>
      </w:r>
      <w:r>
        <w:rPr>
          <w:rFonts w:hint="eastAsia" w:ascii="仿宋" w:hAnsi="仿宋" w:eastAsia="仿宋" w:cs="仿宋"/>
          <w:bCs/>
          <w:sz w:val="28"/>
          <w:szCs w:val="28"/>
          <w:u w:val="none"/>
        </w:rPr>
        <w:t>月</w:t>
      </w:r>
      <w:r>
        <w:rPr>
          <w:rFonts w:hint="eastAsia" w:ascii="仿宋" w:hAnsi="仿宋" w:eastAsia="仿宋" w:cs="仿宋"/>
          <w:bCs/>
          <w:sz w:val="28"/>
          <w:szCs w:val="28"/>
          <w:highlight w:val="none"/>
          <w:u w:val="none"/>
          <w:lang w:val="en-US" w:eastAsia="zh-CN"/>
        </w:rPr>
        <w:t>12</w:t>
      </w:r>
      <w:r>
        <w:rPr>
          <w:rFonts w:hint="eastAsia" w:ascii="仿宋" w:hAnsi="仿宋" w:eastAsia="仿宋" w:cs="仿宋"/>
          <w:bCs/>
          <w:sz w:val="28"/>
          <w:szCs w:val="28"/>
          <w:u w:val="none"/>
        </w:rPr>
        <w:t xml:space="preserve">日 </w:t>
      </w:r>
      <w:r>
        <w:rPr>
          <w:rFonts w:hint="eastAsia" w:ascii="仿宋" w:hAnsi="仿宋" w:eastAsia="仿宋" w:cs="仿宋"/>
          <w:bCs/>
          <w:sz w:val="28"/>
          <w:szCs w:val="28"/>
          <w:u w:val="none"/>
          <w:lang w:val="en-US" w:eastAsia="zh-CN"/>
        </w:rPr>
        <w:t>15</w:t>
      </w:r>
      <w:r>
        <w:rPr>
          <w:rFonts w:hint="eastAsia" w:ascii="仿宋" w:hAnsi="仿宋" w:eastAsia="仿宋" w:cs="仿宋"/>
          <w:bCs/>
          <w:sz w:val="28"/>
          <w:szCs w:val="28"/>
          <w:u w:val="none"/>
        </w:rPr>
        <w:t xml:space="preserve"> 点 </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00E3FB80">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1EE54CD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w:t>
      </w:r>
      <w:r>
        <w:rPr>
          <w:rFonts w:hint="eastAsia" w:ascii="仿宋" w:hAnsi="仿宋" w:eastAsia="仿宋" w:cs="仿宋"/>
          <w:sz w:val="28"/>
          <w:szCs w:val="28"/>
          <w:lang w:eastAsia="zh-CN"/>
        </w:rPr>
        <w:t>六安市叶集区人民医院（市六院）</w:t>
      </w:r>
      <w:r>
        <w:rPr>
          <w:rFonts w:hint="eastAsia" w:ascii="仿宋" w:hAnsi="仿宋" w:eastAsia="仿宋" w:cs="仿宋"/>
          <w:sz w:val="28"/>
          <w:szCs w:val="28"/>
        </w:rPr>
        <w:t>）10楼会议室</w:t>
      </w:r>
      <w:r>
        <w:rPr>
          <w:rFonts w:hint="eastAsia" w:ascii="仿宋" w:hAnsi="仿宋" w:eastAsia="仿宋" w:cs="仿宋"/>
          <w:bCs/>
          <w:color w:val="333333"/>
          <w:kern w:val="0"/>
          <w:sz w:val="28"/>
          <w:szCs w:val="28"/>
          <w:shd w:val="clear" w:color="auto" w:fill="FFFFFF"/>
          <w:lang w:bidi="ar"/>
        </w:rPr>
        <w:t>。</w:t>
      </w:r>
    </w:p>
    <w:p w14:paraId="57BA8CC3">
      <w:pPr>
        <w:pStyle w:val="4"/>
        <w:pageBreakBefore w:val="0"/>
        <w:kinsoku/>
        <w:wordWrap/>
        <w:overflowPunct/>
        <w:topLinePunct w:val="0"/>
        <w:autoSpaceDE/>
        <w:autoSpaceDN/>
        <w:bidi w:val="0"/>
        <w:adjustRightInd/>
        <w:snapToGrid/>
        <w:spacing w:before="0" w:after="0" w:line="560" w:lineRule="exact"/>
        <w:jc w:val="both"/>
        <w:textAlignment w:val="auto"/>
        <w:rPr>
          <w:rFonts w:ascii="黑体" w:hAnsi="黑体" w:cs="黑体"/>
          <w:b w:val="0"/>
          <w:bCs/>
          <w:sz w:val="28"/>
          <w:szCs w:val="28"/>
        </w:rPr>
      </w:pPr>
      <w:bookmarkStart w:id="29" w:name="_Toc25132"/>
      <w:bookmarkStart w:id="30" w:name="_Toc12252"/>
      <w:bookmarkStart w:id="31" w:name="_Toc28359017"/>
      <w:bookmarkStart w:id="32" w:name="_Toc35393803"/>
      <w:bookmarkStart w:id="33" w:name="_Toc35393634"/>
      <w:bookmarkStart w:id="34" w:name="_Toc28359094"/>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9"/>
      <w:bookmarkEnd w:id="30"/>
      <w:bookmarkEnd w:id="31"/>
      <w:bookmarkEnd w:id="32"/>
      <w:bookmarkEnd w:id="33"/>
      <w:bookmarkEnd w:id="34"/>
    </w:p>
    <w:p w14:paraId="20EDC832">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14638EE6">
      <w:pPr>
        <w:pageBreakBefore w:val="0"/>
        <w:kinsoku/>
        <w:wordWrap/>
        <w:overflowPunct/>
        <w:topLinePunct w:val="0"/>
        <w:autoSpaceDE/>
        <w:autoSpaceDN/>
        <w:bidi w:val="0"/>
        <w:adjustRightInd/>
        <w:snapToGrid/>
        <w:spacing w:line="560" w:lineRule="exact"/>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5" w:name="_Toc35393804"/>
      <w:bookmarkStart w:id="36" w:name="_Toc35393635"/>
      <w:r>
        <w:rPr>
          <w:rFonts w:hint="eastAsia" w:ascii="黑体" w:hAnsi="黑体" w:eastAsia="黑体" w:cs="黑体"/>
          <w:sz w:val="28"/>
          <w:szCs w:val="28"/>
        </w:rPr>
        <w:t>其他事宜</w:t>
      </w:r>
      <w:bookmarkEnd w:id="35"/>
      <w:bookmarkEnd w:id="36"/>
      <w:bookmarkStart w:id="37" w:name="_Toc35393636"/>
      <w:bookmarkStart w:id="38" w:name="_Toc28359095"/>
      <w:bookmarkStart w:id="39" w:name="_Toc28359018"/>
      <w:bookmarkStart w:id="40" w:name="_Toc35393805"/>
    </w:p>
    <w:p w14:paraId="56248AB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7"/>
    <w:bookmarkEnd w:id="38"/>
    <w:bookmarkEnd w:id="39"/>
    <w:bookmarkEnd w:id="40"/>
    <w:p w14:paraId="26131287">
      <w:pPr>
        <w:pStyle w:val="4"/>
        <w:adjustRightInd/>
        <w:spacing w:before="0" w:after="0" w:line="360" w:lineRule="auto"/>
        <w:jc w:val="both"/>
        <w:textAlignment w:val="auto"/>
        <w:rPr>
          <w:rFonts w:ascii="黑体" w:hAnsi="黑体" w:cs="黑体"/>
          <w:b w:val="0"/>
          <w:bCs/>
          <w:sz w:val="28"/>
          <w:szCs w:val="28"/>
        </w:rPr>
      </w:pPr>
      <w:bookmarkStart w:id="41" w:name="_Toc7807"/>
      <w:bookmarkStart w:id="42" w:name="_Toc12148"/>
      <w:bookmarkStart w:id="43" w:name="_Toc21256"/>
      <w:bookmarkStart w:id="44" w:name="_Toc6517"/>
      <w:r>
        <w:rPr>
          <w:rFonts w:hint="eastAsia" w:ascii="黑体" w:hAnsi="黑体" w:cs="黑体"/>
          <w:b w:val="0"/>
          <w:bCs/>
          <w:sz w:val="28"/>
          <w:szCs w:val="28"/>
        </w:rPr>
        <w:t>七、凡对本次采购提出询问，请按以下方式联系。</w:t>
      </w:r>
      <w:bookmarkEnd w:id="41"/>
      <w:bookmarkEnd w:id="42"/>
      <w:bookmarkEnd w:id="43"/>
      <w:bookmarkEnd w:id="44"/>
    </w:p>
    <w:p w14:paraId="1C371CD2">
      <w:pPr>
        <w:pStyle w:val="4"/>
        <w:adjustRightInd/>
        <w:spacing w:before="0" w:after="0" w:line="360" w:lineRule="auto"/>
        <w:ind w:firstLine="560" w:firstLineChars="200"/>
        <w:jc w:val="both"/>
        <w:textAlignment w:val="auto"/>
        <w:rPr>
          <w:rFonts w:ascii="仿宋" w:hAnsi="仿宋" w:eastAsia="仿宋" w:cs="仿宋"/>
          <w:b w:val="0"/>
          <w:bCs/>
          <w:sz w:val="28"/>
          <w:szCs w:val="28"/>
        </w:rPr>
      </w:pPr>
      <w:bookmarkStart w:id="45" w:name="_Toc28359019"/>
      <w:bookmarkStart w:id="46" w:name="_Toc17822"/>
      <w:bookmarkStart w:id="47" w:name="_Toc32104"/>
      <w:bookmarkStart w:id="48" w:name="_Toc35393637"/>
      <w:bookmarkStart w:id="49" w:name="_Toc35393806"/>
      <w:bookmarkStart w:id="50" w:name="_Toc12167"/>
      <w:bookmarkStart w:id="51" w:name="_Toc28359096"/>
      <w:bookmarkStart w:id="52" w:name="_Toc30756"/>
      <w:r>
        <w:rPr>
          <w:rFonts w:hint="eastAsia" w:ascii="仿宋" w:hAnsi="仿宋" w:eastAsia="仿宋" w:cs="仿宋"/>
          <w:b w:val="0"/>
          <w:bCs/>
          <w:sz w:val="28"/>
          <w:szCs w:val="28"/>
        </w:rPr>
        <w:t>1、采购人信息</w:t>
      </w:r>
      <w:bookmarkEnd w:id="45"/>
      <w:bookmarkEnd w:id="46"/>
      <w:bookmarkEnd w:id="47"/>
      <w:bookmarkEnd w:id="48"/>
      <w:bookmarkEnd w:id="49"/>
      <w:bookmarkEnd w:id="50"/>
      <w:bookmarkEnd w:id="51"/>
      <w:bookmarkEnd w:id="52"/>
    </w:p>
    <w:p w14:paraId="18095B6A">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w:t>
      </w:r>
      <w:r>
        <w:rPr>
          <w:rFonts w:hint="eastAsia" w:ascii="仿宋" w:hAnsi="仿宋" w:eastAsia="仿宋" w:cs="仿宋"/>
          <w:kern w:val="0"/>
          <w:sz w:val="28"/>
          <w:szCs w:val="28"/>
          <w:lang w:eastAsia="zh-CN"/>
        </w:rPr>
        <w:t>六安市叶集区人民医院（市六院）</w:t>
      </w:r>
      <w:r>
        <w:rPr>
          <w:rFonts w:hint="eastAsia" w:ascii="仿宋" w:hAnsi="仿宋" w:eastAsia="仿宋" w:cs="仿宋"/>
          <w:kern w:val="0"/>
          <w:sz w:val="28"/>
          <w:szCs w:val="28"/>
        </w:rPr>
        <w:t>）</w:t>
      </w:r>
    </w:p>
    <w:p w14:paraId="6ABB0ABD">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0403BD0A">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联系方式：</w:t>
      </w:r>
      <w:bookmarkStart w:id="53" w:name="_Toc28359097"/>
      <w:bookmarkStart w:id="54" w:name="_Toc28359020"/>
      <w:bookmarkStart w:id="55" w:name="_Toc35393807"/>
      <w:bookmarkStart w:id="56" w:name="_Toc35393638"/>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5</w:t>
      </w:r>
      <w:r>
        <w:rPr>
          <w:rFonts w:hint="eastAsia" w:ascii="仿宋" w:hAnsi="仿宋" w:eastAsia="仿宋" w:cs="仿宋"/>
          <w:bCs/>
          <w:sz w:val="28"/>
          <w:szCs w:val="28"/>
        </w:rPr>
        <w:t>99</w:t>
      </w:r>
    </w:p>
    <w:p w14:paraId="51D29C8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3"/>
      <w:bookmarkEnd w:id="54"/>
      <w:bookmarkEnd w:id="55"/>
      <w:bookmarkEnd w:id="56"/>
      <w:bookmarkStart w:id="57" w:name="_Toc28359021"/>
      <w:bookmarkStart w:id="58" w:name="_Toc35393808"/>
      <w:bookmarkStart w:id="59" w:name="_Toc35393639"/>
      <w:bookmarkStart w:id="60" w:name="_Toc28359098"/>
    </w:p>
    <w:p w14:paraId="71E09558">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3EE213B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FF2B5F1">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3947DEEA">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7"/>
      <w:bookmarkEnd w:id="58"/>
      <w:bookmarkEnd w:id="59"/>
      <w:bookmarkEnd w:id="60"/>
    </w:p>
    <w:p w14:paraId="7D1C46F4">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项目联系人：</w:t>
      </w:r>
      <w:r>
        <w:rPr>
          <w:rFonts w:hint="eastAsia" w:ascii="仿宋" w:hAnsi="仿宋" w:eastAsia="仿宋" w:cs="仿宋"/>
          <w:bCs/>
          <w:sz w:val="28"/>
          <w:szCs w:val="28"/>
          <w:lang w:val="en-US" w:eastAsia="zh-CN"/>
        </w:rPr>
        <w:t>胡</w:t>
      </w:r>
      <w:r>
        <w:rPr>
          <w:rFonts w:hint="eastAsia" w:ascii="仿宋" w:hAnsi="仿宋" w:eastAsia="仿宋" w:cs="仿宋"/>
          <w:bCs/>
          <w:sz w:val="28"/>
          <w:szCs w:val="28"/>
        </w:rPr>
        <w:t>工</w:t>
      </w:r>
    </w:p>
    <w:p w14:paraId="332025F4">
      <w:pPr>
        <w:pStyle w:val="33"/>
        <w:pageBreakBefore w:val="0"/>
        <w:kinsoku/>
        <w:wordWrap/>
        <w:overflowPunct/>
        <w:topLinePunct w:val="0"/>
        <w:autoSpaceDE/>
        <w:autoSpaceDN/>
        <w:bidi w:val="0"/>
        <w:snapToGrid/>
        <w:spacing w:after="0" w:line="560" w:lineRule="exact"/>
        <w:ind w:left="0" w:leftChars="0" w:firstLine="560" w:firstLineChars="200"/>
        <w:rPr>
          <w:rFonts w:ascii="仿宋" w:hAnsi="仿宋" w:eastAsia="仿宋" w:cs="仿宋"/>
          <w:bCs/>
          <w:sz w:val="28"/>
          <w:szCs w:val="28"/>
        </w:rPr>
      </w:pPr>
      <w:r>
        <w:rPr>
          <w:rFonts w:hint="eastAsia" w:ascii="仿宋" w:hAnsi="仿宋" w:eastAsia="仿宋" w:cs="仿宋"/>
          <w:bCs/>
          <w:sz w:val="28"/>
          <w:szCs w:val="28"/>
        </w:rPr>
        <w:t>电　  话：0564-3284233</w:t>
      </w:r>
    </w:p>
    <w:p w14:paraId="6AE2E12D">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sz w:val="28"/>
          <w:szCs w:val="28"/>
          <w:highlight w:val="yellow"/>
        </w:rPr>
      </w:pPr>
      <w:r>
        <w:rPr>
          <w:rFonts w:hint="eastAsia" w:ascii="仿宋" w:hAnsi="仿宋" w:eastAsia="仿宋" w:cs="仿宋"/>
          <w:bCs/>
          <w:sz w:val="28"/>
          <w:szCs w:val="28"/>
          <w:highlight w:val="none"/>
          <w:lang w:val="en-US" w:eastAsia="zh-CN"/>
        </w:rPr>
        <w:t>2025</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31</w:t>
      </w:r>
      <w:r>
        <w:rPr>
          <w:rFonts w:hint="eastAsia" w:ascii="仿宋" w:hAnsi="仿宋" w:eastAsia="仿宋" w:cs="仿宋"/>
          <w:bCs/>
          <w:sz w:val="28"/>
          <w:szCs w:val="28"/>
          <w:highlight w:val="none"/>
        </w:rPr>
        <w:t>日</w:t>
      </w:r>
    </w:p>
    <w:p w14:paraId="0FE4148B">
      <w:pPr>
        <w:rPr>
          <w:rFonts w:ascii="宋体" w:hAnsi="宋体" w:cs="宋体"/>
          <w:sz w:val="28"/>
          <w:szCs w:val="28"/>
        </w:rPr>
      </w:pPr>
      <w:r>
        <w:rPr>
          <w:rFonts w:hint="eastAsia" w:ascii="宋体" w:hAnsi="宋体" w:cs="宋体"/>
          <w:sz w:val="28"/>
          <w:szCs w:val="28"/>
        </w:rPr>
        <w:br w:type="page"/>
      </w:r>
    </w:p>
    <w:p w14:paraId="0EA923DD">
      <w:pPr>
        <w:pStyle w:val="4"/>
        <w:spacing w:before="120" w:beforeLines="50" w:after="120" w:afterLines="50" w:line="560" w:lineRule="exact"/>
        <w:jc w:val="center"/>
        <w:rPr>
          <w:rFonts w:ascii="宋体" w:hAnsi="宋体" w:eastAsia="宋体" w:cs="宋体"/>
          <w:sz w:val="28"/>
          <w:szCs w:val="28"/>
        </w:rPr>
      </w:pPr>
      <w:bookmarkStart w:id="61" w:name="_Toc30607"/>
      <w:r>
        <w:rPr>
          <w:rFonts w:hint="eastAsia" w:ascii="宋体" w:hAnsi="宋体" w:eastAsia="宋体" w:cs="宋体"/>
          <w:sz w:val="28"/>
          <w:szCs w:val="28"/>
        </w:rPr>
        <w:t>一、供应商须知</w:t>
      </w:r>
      <w:bookmarkEnd w:id="1"/>
      <w:bookmarkEnd w:id="2"/>
      <w:bookmarkEnd w:id="61"/>
    </w:p>
    <w:p w14:paraId="723C72E2">
      <w:pPr>
        <w:pStyle w:val="4"/>
        <w:spacing w:before="0" w:after="0" w:line="560" w:lineRule="exact"/>
        <w:jc w:val="center"/>
        <w:rPr>
          <w:rFonts w:ascii="宋体" w:hAnsi="宋体" w:eastAsia="宋体" w:cs="宋体"/>
          <w:sz w:val="24"/>
          <w:szCs w:val="24"/>
        </w:rPr>
      </w:pPr>
      <w:bookmarkStart w:id="62" w:name="_Toc22025"/>
      <w:r>
        <w:rPr>
          <w:rFonts w:hint="eastAsia" w:ascii="宋体" w:hAnsi="宋体" w:eastAsia="宋体" w:cs="宋体"/>
          <w:sz w:val="24"/>
          <w:szCs w:val="24"/>
        </w:rPr>
        <w:t>（一）须知前附表</w:t>
      </w:r>
      <w:bookmarkEnd w:id="62"/>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5888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4280C0">
            <w:pPr>
              <w:spacing w:line="440" w:lineRule="exact"/>
              <w:jc w:val="center"/>
              <w:rPr>
                <w:rFonts w:ascii="宋体" w:hAnsi="宋体"/>
                <w:b/>
                <w:sz w:val="24"/>
                <w:szCs w:val="24"/>
              </w:rPr>
            </w:pPr>
            <w:bookmarkStart w:id="63" w:name="_Toc438107743"/>
            <w:bookmarkStart w:id="64" w:name="_Toc216158627"/>
            <w:bookmarkStart w:id="65" w:name="_Toc363199267"/>
            <w:r>
              <w:rPr>
                <w:rFonts w:hint="eastAsia" w:ascii="宋体" w:hAnsi="宋体"/>
                <w:b/>
                <w:sz w:val="24"/>
                <w:szCs w:val="24"/>
              </w:rPr>
              <w:t>序号</w:t>
            </w:r>
          </w:p>
        </w:tc>
        <w:tc>
          <w:tcPr>
            <w:tcW w:w="1502" w:type="dxa"/>
            <w:vAlign w:val="center"/>
          </w:tcPr>
          <w:p w14:paraId="463A97CF">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6F539F3A">
            <w:pPr>
              <w:pStyle w:val="92"/>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BE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064C243A">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0DACCF1">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3A79550F">
            <w:pPr>
              <w:spacing w:line="440" w:lineRule="exact"/>
              <w:rPr>
                <w:sz w:val="24"/>
                <w:szCs w:val="24"/>
              </w:rPr>
            </w:pPr>
            <w:r>
              <w:rPr>
                <w:rFonts w:hint="eastAsia"/>
                <w:sz w:val="24"/>
                <w:szCs w:val="24"/>
              </w:rPr>
              <w:t>六安市叶集区人民医院（六安市叶集区人民医院（市六院））</w:t>
            </w:r>
          </w:p>
        </w:tc>
      </w:tr>
      <w:tr w14:paraId="3B10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7D1125F0">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52D3272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01EEA2CA">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5982D6C0">
            <w:pPr>
              <w:spacing w:line="440" w:lineRule="exact"/>
              <w:jc w:val="left"/>
              <w:rPr>
                <w:b/>
                <w:bCs/>
                <w:sz w:val="24"/>
                <w:szCs w:val="24"/>
              </w:rPr>
            </w:pPr>
            <w:r>
              <w:rPr>
                <w:rFonts w:hint="eastAsia"/>
                <w:sz w:val="24"/>
                <w:szCs w:val="24"/>
              </w:rPr>
              <w:t>地址：六安市东城路上东阳光城6号楼5楼</w:t>
            </w:r>
            <w:r>
              <w:rPr>
                <w:b/>
                <w:bCs/>
                <w:sz w:val="24"/>
                <w:szCs w:val="24"/>
              </w:rPr>
              <w:t xml:space="preserve"> </w:t>
            </w:r>
          </w:p>
        </w:tc>
      </w:tr>
      <w:tr w14:paraId="27FC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643EEB3">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5C74F478">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AB204EC">
            <w:pPr>
              <w:pStyle w:val="92"/>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18A8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D0F66ED">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7340DFB6">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66D1F364">
            <w:pPr>
              <w:pStyle w:val="92"/>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405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26D674F">
            <w:pPr>
              <w:pStyle w:val="90"/>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9394D5E">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D7F4E77">
            <w:pPr>
              <w:pStyle w:val="92"/>
              <w:widowControl w:val="0"/>
              <w:spacing w:before="0" w:beforeAutospacing="0" w:after="0" w:afterAutospacing="0" w:line="440" w:lineRule="exact"/>
              <w:jc w:val="both"/>
              <w:rPr>
                <w:sz w:val="24"/>
                <w:szCs w:val="24"/>
              </w:rPr>
            </w:pPr>
            <w:r>
              <w:rPr>
                <w:rFonts w:hint="eastAsia"/>
                <w:b w:val="0"/>
                <w:bCs w:val="0"/>
                <w:sz w:val="24"/>
                <w:szCs w:val="24"/>
                <w:lang w:eastAsia="zh-CN"/>
              </w:rPr>
              <w:t>六安市叶集区医共体中心药房追溯码信息系统</w:t>
            </w:r>
            <w:r>
              <w:rPr>
                <w:rFonts w:hint="eastAsia"/>
                <w:b w:val="0"/>
                <w:bCs w:val="0"/>
                <w:sz w:val="24"/>
                <w:szCs w:val="24"/>
              </w:rPr>
              <w:t>项目</w:t>
            </w:r>
          </w:p>
        </w:tc>
      </w:tr>
      <w:tr w14:paraId="0406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ABBC4CC">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D31D0EC">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5AC8103A">
            <w:pPr>
              <w:pStyle w:val="92"/>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lang w:val="en-US" w:eastAsia="zh-CN"/>
              </w:rPr>
              <w:t>LASYJQRMYY-XXK2025-15</w:t>
            </w:r>
          </w:p>
        </w:tc>
      </w:tr>
      <w:tr w14:paraId="5FCC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09" w:hRule="atLeast"/>
          <w:jc w:val="center"/>
        </w:trPr>
        <w:tc>
          <w:tcPr>
            <w:tcW w:w="804" w:type="dxa"/>
            <w:vAlign w:val="center"/>
          </w:tcPr>
          <w:p w14:paraId="58347DDE">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407782FC">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1E119002">
            <w:pPr>
              <w:spacing w:line="440" w:lineRule="exact"/>
              <w:jc w:val="both"/>
              <w:rPr>
                <w:rFonts w:ascii="宋体" w:cs="宋体"/>
                <w:bCs/>
                <w:color w:val="000000" w:themeColor="text1"/>
                <w:sz w:val="24"/>
                <w:szCs w:val="24"/>
                <w:highlight w:val="yellow"/>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供货安装及调试验收合格后付至合同总价的100%。</w:t>
            </w:r>
          </w:p>
          <w:p w14:paraId="7C332EC5">
            <w:pPr>
              <w:pStyle w:val="92"/>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3F9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3E7D4C7">
            <w:pPr>
              <w:pStyle w:val="90"/>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6344435">
            <w:pPr>
              <w:spacing w:line="440" w:lineRule="exact"/>
              <w:jc w:val="center"/>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期限</w:t>
            </w:r>
          </w:p>
        </w:tc>
        <w:tc>
          <w:tcPr>
            <w:tcW w:w="7308" w:type="dxa"/>
            <w:vAlign w:val="center"/>
          </w:tcPr>
          <w:p w14:paraId="592EAC22">
            <w:pPr>
              <w:pStyle w:val="92"/>
              <w:widowControl w:val="0"/>
              <w:spacing w:before="0" w:beforeAutospacing="0" w:after="0" w:afterAutospacing="0" w:line="440" w:lineRule="exact"/>
              <w:jc w:val="both"/>
              <w:rPr>
                <w:b w:val="0"/>
                <w:bCs w:val="0"/>
                <w:color w:val="auto"/>
                <w:sz w:val="24"/>
                <w:szCs w:val="24"/>
              </w:rPr>
            </w:pPr>
            <w:r>
              <w:rPr>
                <w:rFonts w:hint="eastAsia"/>
                <w:b w:val="0"/>
                <w:bCs w:val="0"/>
                <w:color w:val="000000" w:themeColor="text1"/>
                <w:sz w:val="24"/>
                <w:szCs w:val="24"/>
                <w:highlight w:val="none"/>
                <w14:textFill>
                  <w14:solidFill>
                    <w14:schemeClr w14:val="tx1"/>
                  </w14:solidFill>
                </w14:textFill>
              </w:rPr>
              <w:t>合同签订之日起</w:t>
            </w:r>
            <w:r>
              <w:rPr>
                <w:rFonts w:hint="eastAsia"/>
                <w:b w:val="0"/>
                <w:bCs w:val="0"/>
                <w:color w:val="000000" w:themeColor="text1"/>
                <w:sz w:val="24"/>
                <w:szCs w:val="24"/>
                <w:highlight w:val="none"/>
                <w:lang w:val="en-US" w:eastAsia="zh-CN"/>
                <w14:textFill>
                  <w14:solidFill>
                    <w14:schemeClr w14:val="tx1"/>
                  </w14:solidFill>
                </w14:textFill>
              </w:rPr>
              <w:t>30</w:t>
            </w:r>
            <w:r>
              <w:rPr>
                <w:rFonts w:hint="eastAsia"/>
                <w:b w:val="0"/>
                <w:bCs w:val="0"/>
                <w:color w:val="000000" w:themeColor="text1"/>
                <w:sz w:val="24"/>
                <w:szCs w:val="24"/>
                <w:highlight w:val="none"/>
                <w14:textFill>
                  <w14:solidFill>
                    <w14:schemeClr w14:val="tx1"/>
                  </w14:solidFill>
                </w14:textFill>
              </w:rPr>
              <w:t>个日历天完成供货安装及调试。</w:t>
            </w:r>
          </w:p>
        </w:tc>
      </w:tr>
      <w:tr w14:paraId="7168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6AECC4C">
            <w:pPr>
              <w:pStyle w:val="90"/>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lang w:eastAsia="zh-CN"/>
              </w:rPr>
            </w:pPr>
            <w:r>
              <w:rPr>
                <w:rFonts w:hint="eastAsia" w:ascii="宋体" w:hAnsi="宋体"/>
                <w:b/>
                <w:kern w:val="2"/>
                <w:szCs w:val="24"/>
                <w:lang w:val="en-US" w:eastAsia="zh-CN"/>
              </w:rPr>
              <w:t>9</w:t>
            </w:r>
          </w:p>
        </w:tc>
        <w:tc>
          <w:tcPr>
            <w:tcW w:w="1502" w:type="dxa"/>
            <w:vAlign w:val="center"/>
          </w:tcPr>
          <w:p w14:paraId="6D8F3F89">
            <w:pPr>
              <w:pStyle w:val="90"/>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4F420427">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1496259D">
            <w:pPr>
              <w:spacing w:line="500" w:lineRule="exact"/>
              <w:jc w:val="left"/>
            </w:pPr>
            <w:r>
              <w:rPr>
                <w:rFonts w:hint="eastAsia" w:ascii="宋体" w:hAnsi="宋体" w:cs="宋体"/>
                <w:b/>
                <w:bCs/>
                <w:sz w:val="24"/>
              </w:rPr>
              <w:t>2、收费标准：代理服务费固定2000元整，专家评审费据实收取。</w:t>
            </w:r>
          </w:p>
          <w:p w14:paraId="2D5532DD">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2B4AB807">
            <w:pPr>
              <w:spacing w:line="500" w:lineRule="exact"/>
              <w:jc w:val="left"/>
              <w:rPr>
                <w:rFonts w:ascii="宋体" w:hAnsi="宋体" w:cs="宋体"/>
                <w:b/>
                <w:bCs/>
                <w:sz w:val="24"/>
              </w:rPr>
            </w:pPr>
            <w:r>
              <w:rPr>
                <w:rFonts w:hint="eastAsia" w:ascii="宋体" w:hAnsi="宋体" w:cs="宋体"/>
                <w:b/>
                <w:bCs/>
                <w:sz w:val="24"/>
              </w:rPr>
              <w:t>4、代理服务费缴纳账户：</w:t>
            </w:r>
          </w:p>
          <w:p w14:paraId="100AA548">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ADF8069">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5C40E940">
            <w:pPr>
              <w:spacing w:line="500" w:lineRule="exact"/>
              <w:jc w:val="left"/>
              <w:rPr>
                <w:rFonts w:ascii="宋体" w:hAnsi="宋体" w:cs="宋体"/>
                <w:sz w:val="24"/>
              </w:rPr>
            </w:pPr>
            <w:r>
              <w:rPr>
                <w:rFonts w:hint="eastAsia" w:ascii="宋体" w:hAnsi="宋体" w:cs="宋体"/>
                <w:sz w:val="24"/>
              </w:rPr>
              <w:t xml:space="preserve">账号：000000602003900000243 </w:t>
            </w:r>
          </w:p>
          <w:p w14:paraId="5AC9E948">
            <w:pPr>
              <w:pStyle w:val="90"/>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w:t>
            </w:r>
            <w:r>
              <w:rPr>
                <w:rFonts w:hint="eastAsia" w:ascii="宋体" w:hAnsi="宋体" w:cs="宋体"/>
                <w:b/>
                <w:bCs/>
                <w:lang w:val="en-US" w:eastAsia="zh-CN"/>
              </w:rPr>
              <w:t>在成交供应商领取成交通知书时</w:t>
            </w:r>
            <w:r>
              <w:rPr>
                <w:rFonts w:hint="eastAsia" w:ascii="宋体" w:hAnsi="宋体" w:cs="宋体"/>
                <w:b/>
                <w:bCs/>
                <w:lang w:val="en-US"/>
              </w:rPr>
              <w:t>须从成交供应商账户转出，并备注项目名称。</w:t>
            </w:r>
          </w:p>
        </w:tc>
      </w:tr>
      <w:tr w14:paraId="1A73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416AE2E7">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502" w:type="dxa"/>
            <w:vAlign w:val="center"/>
          </w:tcPr>
          <w:p w14:paraId="250FD821">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534A2CBF">
            <w:pPr>
              <w:pStyle w:val="33"/>
              <w:ind w:firstLine="0"/>
              <w:rPr>
                <w:rFonts w:hint="default" w:eastAsia="宋体"/>
                <w:lang w:val="en-US" w:eastAsia="zh-CN"/>
              </w:rPr>
            </w:pPr>
            <w:r>
              <w:rPr>
                <w:rFonts w:hint="eastAsia"/>
                <w:highlight w:val="none"/>
                <w:lang w:val="en-US" w:eastAsia="zh-CN"/>
              </w:rPr>
              <w:t>本项目无需提供。</w:t>
            </w:r>
          </w:p>
        </w:tc>
      </w:tr>
      <w:tr w14:paraId="0320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208A7E">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11</w:t>
            </w:r>
          </w:p>
        </w:tc>
        <w:tc>
          <w:tcPr>
            <w:tcW w:w="1502" w:type="dxa"/>
            <w:vAlign w:val="center"/>
          </w:tcPr>
          <w:p w14:paraId="04FFF5F4">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536085FE">
            <w:pPr>
              <w:pStyle w:val="90"/>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104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9E89ED">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12</w:t>
            </w:r>
          </w:p>
        </w:tc>
        <w:tc>
          <w:tcPr>
            <w:tcW w:w="1502" w:type="dxa"/>
            <w:vAlign w:val="center"/>
          </w:tcPr>
          <w:p w14:paraId="7BB7B540">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2826EBBD">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17F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09E398B">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13</w:t>
            </w:r>
          </w:p>
        </w:tc>
        <w:tc>
          <w:tcPr>
            <w:tcW w:w="1502" w:type="dxa"/>
            <w:vAlign w:val="center"/>
          </w:tcPr>
          <w:p w14:paraId="63BD027C">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470ABBC">
            <w:pPr>
              <w:pStyle w:val="90"/>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2D7B9BD0">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lang w:eastAsia="zh-CN"/>
              </w:rPr>
              <w:t>六安市叶集区人民医院（市六院）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10B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E4DD478">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14</w:t>
            </w:r>
          </w:p>
        </w:tc>
        <w:tc>
          <w:tcPr>
            <w:tcW w:w="1502" w:type="dxa"/>
            <w:vAlign w:val="center"/>
          </w:tcPr>
          <w:p w14:paraId="57A54A34">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0772DE54">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rPr>
              <w:t>2</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1AB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079FDF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15</w:t>
            </w:r>
          </w:p>
        </w:tc>
        <w:tc>
          <w:tcPr>
            <w:tcW w:w="1502" w:type="dxa"/>
            <w:vAlign w:val="center"/>
          </w:tcPr>
          <w:p w14:paraId="16041505">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38E0072">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755F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730" w:hRule="atLeast"/>
          <w:jc w:val="center"/>
        </w:trPr>
        <w:tc>
          <w:tcPr>
            <w:tcW w:w="804" w:type="dxa"/>
            <w:vAlign w:val="center"/>
          </w:tcPr>
          <w:p w14:paraId="414F32EF">
            <w:pPr>
              <w:pStyle w:val="90"/>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16</w:t>
            </w:r>
          </w:p>
        </w:tc>
        <w:tc>
          <w:tcPr>
            <w:tcW w:w="1502" w:type="dxa"/>
            <w:vAlign w:val="center"/>
          </w:tcPr>
          <w:p w14:paraId="73F790B7">
            <w:pPr>
              <w:pStyle w:val="90"/>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281CEE98">
            <w:pPr>
              <w:pStyle w:val="90"/>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1066A996">
      <w:pPr>
        <w:pStyle w:val="4"/>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bookmarkStart w:id="66" w:name="_Toc28011"/>
    </w:p>
    <w:p w14:paraId="48D3E7C2">
      <w:pPr>
        <w:rPr>
          <w:rFonts w:hint="eastAsia" w:ascii="宋体" w:hAnsi="宋体" w:eastAsia="宋体" w:cs="宋体"/>
          <w:sz w:val="24"/>
          <w:szCs w:val="16"/>
        </w:rPr>
      </w:pPr>
      <w:r>
        <w:rPr>
          <w:rFonts w:hint="eastAsia" w:ascii="宋体" w:hAnsi="宋体" w:eastAsia="宋体" w:cs="宋体"/>
          <w:sz w:val="24"/>
          <w:szCs w:val="16"/>
        </w:rPr>
        <w:br w:type="page"/>
      </w:r>
    </w:p>
    <w:p w14:paraId="3E171BCB">
      <w:pPr>
        <w:pStyle w:val="4"/>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6"/>
    </w:p>
    <w:bookmarkEnd w:id="63"/>
    <w:p w14:paraId="77D00F2E">
      <w:pPr>
        <w:pStyle w:val="33"/>
        <w:pageBreakBefore w:val="0"/>
        <w:kinsoku/>
        <w:wordWrap/>
        <w:overflowPunct/>
        <w:topLinePunct w:val="0"/>
        <w:autoSpaceDE/>
        <w:autoSpaceDN/>
        <w:bidi w:val="0"/>
        <w:snapToGrid/>
        <w:spacing w:after="0" w:line="490" w:lineRule="exact"/>
        <w:ind w:firstLine="480" w:firstLineChars="200"/>
        <w:jc w:val="left"/>
      </w:pPr>
      <w:bookmarkStart w:id="67" w:name="_Toc363199266"/>
      <w:bookmarkStart w:id="68" w:name="_Toc216158625"/>
      <w:bookmarkStart w:id="69" w:name="_Toc438648662"/>
      <w:r>
        <w:rPr>
          <w:rFonts w:hint="eastAsia"/>
        </w:rPr>
        <w:t>见本项目采购公告</w:t>
      </w:r>
    </w:p>
    <w:p w14:paraId="0D3C0DC3">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24198"/>
      <w:r>
        <w:rPr>
          <w:rFonts w:hint="eastAsia" w:ascii="宋体" w:hAnsi="宋体" w:eastAsia="宋体" w:cs="宋体"/>
          <w:sz w:val="24"/>
          <w:szCs w:val="24"/>
        </w:rPr>
        <w:t>（三）供应商必须提交的响应文件内容</w:t>
      </w:r>
      <w:bookmarkEnd w:id="67"/>
      <w:bookmarkEnd w:id="68"/>
      <w:bookmarkEnd w:id="69"/>
      <w:bookmarkEnd w:id="70"/>
    </w:p>
    <w:p w14:paraId="31E1C03E">
      <w:pPr>
        <w:spacing w:line="520" w:lineRule="exact"/>
        <w:ind w:firstLine="480" w:firstLineChars="200"/>
        <w:jc w:val="left"/>
        <w:rPr>
          <w:rFonts w:ascii="宋体" w:hAnsi="宋体"/>
          <w:sz w:val="24"/>
          <w:szCs w:val="24"/>
        </w:rPr>
      </w:pPr>
      <w:bookmarkStart w:id="71" w:name="_Toc13926"/>
      <w:r>
        <w:rPr>
          <w:rFonts w:hint="eastAsia" w:ascii="宋体" w:hAnsi="宋体"/>
          <w:sz w:val="24"/>
          <w:szCs w:val="24"/>
        </w:rPr>
        <w:t>1、报价单；</w:t>
      </w:r>
    </w:p>
    <w:p w14:paraId="1D9A9F0D">
      <w:pPr>
        <w:spacing w:line="520" w:lineRule="exact"/>
        <w:ind w:firstLine="480" w:firstLineChars="200"/>
        <w:jc w:val="left"/>
        <w:rPr>
          <w:rFonts w:ascii="宋体" w:hAnsi="宋体"/>
          <w:sz w:val="24"/>
          <w:szCs w:val="24"/>
        </w:rPr>
      </w:pPr>
      <w:r>
        <w:rPr>
          <w:rFonts w:hint="eastAsia" w:ascii="宋体" w:hAnsi="宋体"/>
          <w:sz w:val="24"/>
          <w:szCs w:val="24"/>
        </w:rPr>
        <w:t>2、供应商基本信息；</w:t>
      </w:r>
    </w:p>
    <w:p w14:paraId="10E2D65C">
      <w:pPr>
        <w:spacing w:line="520" w:lineRule="exact"/>
        <w:ind w:firstLine="480" w:firstLineChars="200"/>
        <w:jc w:val="left"/>
        <w:rPr>
          <w:rFonts w:ascii="宋体" w:hAnsi="宋体"/>
          <w:sz w:val="24"/>
          <w:szCs w:val="24"/>
        </w:rPr>
      </w:pPr>
      <w:r>
        <w:rPr>
          <w:rFonts w:hint="eastAsia" w:ascii="宋体" w:hAnsi="宋体"/>
          <w:sz w:val="24"/>
          <w:szCs w:val="24"/>
        </w:rPr>
        <w:t>3、磋商授权书；</w:t>
      </w:r>
    </w:p>
    <w:p w14:paraId="08B011D3">
      <w:pPr>
        <w:spacing w:line="520" w:lineRule="exact"/>
        <w:ind w:firstLine="480" w:firstLineChars="200"/>
        <w:jc w:val="left"/>
        <w:rPr>
          <w:rFonts w:ascii="宋体" w:hAnsi="宋体"/>
          <w:sz w:val="24"/>
          <w:szCs w:val="24"/>
        </w:rPr>
      </w:pPr>
      <w:r>
        <w:rPr>
          <w:rFonts w:hint="eastAsia" w:ascii="宋体" w:hAnsi="宋体"/>
          <w:sz w:val="24"/>
          <w:szCs w:val="24"/>
        </w:rPr>
        <w:t>4、磋商响应函；</w:t>
      </w:r>
    </w:p>
    <w:p w14:paraId="1A2CFCAA">
      <w:pPr>
        <w:spacing w:line="52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08A0D549">
      <w:pPr>
        <w:spacing w:line="520" w:lineRule="exact"/>
        <w:ind w:firstLine="480" w:firstLineChars="200"/>
        <w:jc w:val="left"/>
        <w:rPr>
          <w:rFonts w:ascii="宋体" w:hAnsi="宋体"/>
          <w:sz w:val="24"/>
          <w:szCs w:val="24"/>
        </w:rPr>
      </w:pPr>
      <w:r>
        <w:rPr>
          <w:rFonts w:hint="eastAsia" w:ascii="宋体" w:hAnsi="宋体"/>
          <w:sz w:val="24"/>
          <w:szCs w:val="24"/>
        </w:rPr>
        <w:t>6、响应情况表；</w:t>
      </w:r>
    </w:p>
    <w:p w14:paraId="0C347FD6">
      <w:pPr>
        <w:spacing w:line="520" w:lineRule="exact"/>
        <w:ind w:firstLine="480" w:firstLineChars="200"/>
        <w:jc w:val="left"/>
        <w:rPr>
          <w:rFonts w:ascii="宋体" w:hAnsi="宋体"/>
          <w:b/>
          <w:bCs/>
          <w:sz w:val="24"/>
          <w:szCs w:val="24"/>
        </w:rPr>
      </w:pPr>
      <w:r>
        <w:rPr>
          <w:rFonts w:hint="eastAsia" w:ascii="宋体" w:hAnsi="宋体"/>
          <w:sz w:val="24"/>
          <w:szCs w:val="24"/>
        </w:rPr>
        <w:t>7、相关服务承诺函；</w:t>
      </w:r>
    </w:p>
    <w:p w14:paraId="5F6AA519">
      <w:pPr>
        <w:spacing w:line="520" w:lineRule="exact"/>
        <w:ind w:firstLine="480" w:firstLineChars="200"/>
        <w:jc w:val="left"/>
        <w:rPr>
          <w:rFonts w:ascii="宋体" w:hAnsi="宋体" w:cs="宋体"/>
          <w:sz w:val="24"/>
          <w:szCs w:val="24"/>
        </w:rPr>
      </w:pPr>
      <w:r>
        <w:rPr>
          <w:rFonts w:hint="eastAsia" w:ascii="宋体" w:hAnsi="宋体"/>
          <w:sz w:val="24"/>
          <w:szCs w:val="24"/>
          <w:lang w:val="en-US" w:eastAsia="zh-CN"/>
        </w:rPr>
        <w:t>8</w:t>
      </w:r>
      <w:r>
        <w:rPr>
          <w:rFonts w:hint="eastAsia" w:ascii="宋体" w:hAnsi="宋体"/>
          <w:sz w:val="24"/>
          <w:szCs w:val="24"/>
        </w:rPr>
        <w:t xml:space="preserve">、磋商文件要求和供应商认为需要提供的其它说明和资料。 </w:t>
      </w:r>
    </w:p>
    <w:p w14:paraId="565C09D2">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（四）响应文件的提交</w:t>
      </w:r>
      <w:bookmarkEnd w:id="71"/>
    </w:p>
    <w:p w14:paraId="13AFBE24">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6A14B6A5">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采购</w:t>
      </w:r>
      <w:r>
        <w:rPr>
          <w:rFonts w:hint="eastAsia" w:ascii="宋体" w:hAnsi="宋体" w:cs="Arial"/>
          <w:sz w:val="24"/>
          <w:szCs w:val="24"/>
        </w:rPr>
        <w:t>公告及须知前附表。</w:t>
      </w:r>
    </w:p>
    <w:p w14:paraId="4645D6CB">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2" w:name="_Toc31181"/>
      <w:r>
        <w:rPr>
          <w:rFonts w:hint="eastAsia" w:ascii="宋体" w:hAnsi="宋体" w:eastAsia="宋体" w:cs="宋体"/>
          <w:sz w:val="24"/>
          <w:szCs w:val="24"/>
        </w:rPr>
        <w:t>（五）</w:t>
      </w:r>
      <w:bookmarkEnd w:id="72"/>
      <w:r>
        <w:rPr>
          <w:rFonts w:hint="eastAsia" w:ascii="宋体" w:hAnsi="宋体" w:eastAsia="宋体" w:cs="宋体"/>
          <w:sz w:val="24"/>
          <w:szCs w:val="24"/>
        </w:rPr>
        <w:t>磋商程序</w:t>
      </w:r>
    </w:p>
    <w:p w14:paraId="1361AE10">
      <w:pPr>
        <w:tabs>
          <w:tab w:val="left" w:pos="900"/>
        </w:tabs>
        <w:spacing w:line="520" w:lineRule="exact"/>
        <w:ind w:firstLine="480" w:firstLineChars="200"/>
        <w:jc w:val="left"/>
        <w:rPr>
          <w:rFonts w:ascii="宋体" w:hAnsi="宋体" w:cs="宋体"/>
          <w:sz w:val="24"/>
          <w:szCs w:val="24"/>
        </w:rPr>
      </w:pPr>
      <w:bookmarkStart w:id="73" w:name="_Toc1072"/>
      <w:r>
        <w:rPr>
          <w:rFonts w:hint="eastAsia" w:ascii="宋体" w:hAnsi="宋体" w:cs="宋体"/>
          <w:sz w:val="24"/>
          <w:szCs w:val="24"/>
        </w:rPr>
        <w:t>1、磋商人员是按规定组成的三人或三人以上的磋商小组。</w:t>
      </w:r>
    </w:p>
    <w:p w14:paraId="21F95D84">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2、在掌握了供应商的基本情况后，磋商小组将按在线签到顺序，与供应商分别进行磋商。</w:t>
      </w:r>
    </w:p>
    <w:p w14:paraId="46B13B6E">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385BF2AC">
      <w:pPr>
        <w:tabs>
          <w:tab w:val="left" w:pos="900"/>
        </w:tabs>
        <w:spacing w:line="520" w:lineRule="exact"/>
        <w:ind w:firstLine="480" w:firstLineChars="200"/>
        <w:jc w:val="left"/>
        <w:rPr>
          <w:rFonts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7DA6CBC8">
      <w:pPr>
        <w:pStyle w:val="4"/>
        <w:spacing w:before="0" w:after="0" w:line="520" w:lineRule="exact"/>
        <w:ind w:firstLine="480" w:firstLineChars="200"/>
        <w:jc w:val="both"/>
        <w:rPr>
          <w:rFonts w:ascii="宋体" w:hAnsi="宋体" w:eastAsia="宋体" w:cs="宋体"/>
          <w:b w:val="0"/>
          <w:bCs/>
          <w:sz w:val="24"/>
          <w:szCs w:val="24"/>
        </w:rPr>
      </w:pPr>
      <w:bookmarkStart w:id="74" w:name="_Toc6912"/>
      <w:bookmarkStart w:id="75" w:name="_Toc8817"/>
      <w:r>
        <w:rPr>
          <w:rFonts w:hint="eastAsia" w:ascii="宋体" w:hAnsi="宋体" w:eastAsia="宋体" w:cs="宋体"/>
          <w:b w:val="0"/>
          <w:bCs/>
          <w:sz w:val="24"/>
          <w:szCs w:val="24"/>
        </w:rPr>
        <w:t>5、磋商结束后，磋商小组将要求所有符合条件的供应商在规定的时间内进行最后的报价。供应商应在磋商小组发出二轮报价指令后30分钟内</w:t>
      </w:r>
      <w:r>
        <w:rPr>
          <w:rFonts w:hint="eastAsia" w:ascii="宋体" w:hAnsi="宋体" w:eastAsia="宋体" w:cs="宋体"/>
          <w:b w:val="0"/>
          <w:bCs/>
          <w:sz w:val="24"/>
          <w:szCs w:val="24"/>
          <w:lang w:val="en-US" w:eastAsia="zh-CN"/>
        </w:rPr>
        <w:t>提交已盖章、签字的二轮标价表</w:t>
      </w:r>
      <w:r>
        <w:rPr>
          <w:rFonts w:hint="eastAsia" w:ascii="宋体" w:hAnsi="宋体" w:eastAsia="宋体" w:cs="宋体"/>
          <w:b w:val="0"/>
          <w:bCs/>
          <w:sz w:val="24"/>
          <w:szCs w:val="24"/>
        </w:rPr>
        <w:t>。</w:t>
      </w:r>
      <w:bookmarkEnd w:id="74"/>
      <w:bookmarkEnd w:id="75"/>
    </w:p>
    <w:p w14:paraId="64CE54C6">
      <w:pPr>
        <w:tabs>
          <w:tab w:val="left" w:pos="900"/>
        </w:tabs>
        <w:spacing w:line="520" w:lineRule="exact"/>
        <w:ind w:firstLine="480" w:firstLineChars="200"/>
        <w:jc w:val="left"/>
        <w:rPr>
          <w:rFonts w:ascii="宋体" w:hAnsi="宋体" w:cs="宋体"/>
          <w:b/>
          <w:bCs/>
          <w:sz w:val="24"/>
          <w:szCs w:val="24"/>
        </w:rPr>
      </w:pPr>
      <w:r>
        <w:rPr>
          <w:rFonts w:hint="eastAsia" w:ascii="宋体" w:hAnsi="宋体" w:cs="宋体"/>
          <w:sz w:val="24"/>
          <w:szCs w:val="24"/>
        </w:rPr>
        <w:t>6、供应商必须在规定的时间内将自己在磋商中作出的澄清、变动以及最终的报价，经供应商</w:t>
      </w:r>
      <w:r>
        <w:rPr>
          <w:rFonts w:hint="eastAsia" w:ascii="宋体" w:hAnsi="宋体" w:cs="宋体"/>
          <w:sz w:val="24"/>
          <w:szCs w:val="24"/>
          <w:lang w:val="en-US" w:eastAsia="zh-CN"/>
        </w:rPr>
        <w:t>签字、盖章</w:t>
      </w:r>
      <w:r>
        <w:rPr>
          <w:rFonts w:hint="eastAsia" w:ascii="宋体" w:hAnsi="宋体" w:cs="宋体"/>
          <w:sz w:val="24"/>
          <w:szCs w:val="24"/>
        </w:rPr>
        <w:t>后，</w:t>
      </w:r>
      <w:r>
        <w:rPr>
          <w:rFonts w:hint="eastAsia" w:ascii="宋体" w:hAnsi="宋体" w:cs="宋体"/>
          <w:sz w:val="24"/>
          <w:szCs w:val="24"/>
          <w:lang w:val="en-US" w:eastAsia="zh-CN"/>
        </w:rPr>
        <w:t>以纸质</w:t>
      </w:r>
      <w:r>
        <w:rPr>
          <w:rFonts w:hint="eastAsia" w:ascii="宋体" w:hAnsi="宋体" w:cs="宋体"/>
          <w:sz w:val="24"/>
          <w:szCs w:val="24"/>
        </w:rPr>
        <w:t>方式提交给磋商小组。</w:t>
      </w:r>
    </w:p>
    <w:p w14:paraId="2C20E3F5">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（六）评审及异常情况处理</w:t>
      </w:r>
      <w:bookmarkEnd w:id="73"/>
    </w:p>
    <w:bookmarkEnd w:id="64"/>
    <w:bookmarkEnd w:id="65"/>
    <w:p w14:paraId="3044E4BF">
      <w:pPr>
        <w:spacing w:line="520" w:lineRule="exact"/>
        <w:ind w:firstLine="480" w:firstLineChars="200"/>
        <w:rPr>
          <w:rFonts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w:t>
      </w:r>
      <w:r>
        <w:rPr>
          <w:rFonts w:hint="eastAsia" w:ascii="宋体" w:hAnsi="宋体" w:cs="宋体"/>
          <w:color w:val="auto"/>
          <w:sz w:val="24"/>
          <w:szCs w:val="24"/>
          <w:lang w:val="en-US" w:eastAsia="zh-CN"/>
        </w:rPr>
        <w:t>2</w:t>
      </w:r>
      <w:r>
        <w:rPr>
          <w:rFonts w:hint="eastAsia" w:ascii="宋体" w:hAnsi="宋体" w:cs="宋体"/>
          <w:sz w:val="24"/>
          <w:szCs w:val="24"/>
        </w:rPr>
        <w:t>名成交候选供应商。</w:t>
      </w:r>
    </w:p>
    <w:p w14:paraId="176BBC1B">
      <w:pPr>
        <w:spacing w:line="520" w:lineRule="exact"/>
        <w:ind w:firstLine="480" w:firstLineChars="200"/>
        <w:rPr>
          <w:rFonts w:ascii="宋体" w:hAnsi="宋体" w:cs="宋体"/>
          <w:sz w:val="24"/>
          <w:szCs w:val="24"/>
        </w:rPr>
      </w:pPr>
      <w:r>
        <w:rPr>
          <w:rFonts w:hint="eastAsia" w:ascii="宋体" w:hAnsi="宋体" w:cs="宋体"/>
          <w:sz w:val="24"/>
          <w:szCs w:val="24"/>
        </w:rPr>
        <w:t>2、磋商时出现以下情况之一的，将予以废标：</w:t>
      </w:r>
    </w:p>
    <w:p w14:paraId="64796710">
      <w:pPr>
        <w:spacing w:line="520" w:lineRule="exact"/>
        <w:ind w:firstLine="480" w:firstLineChars="200"/>
        <w:rPr>
          <w:rFonts w:ascii="宋体" w:hAnsi="宋体" w:cs="宋体"/>
          <w:sz w:val="24"/>
          <w:szCs w:val="24"/>
        </w:rPr>
      </w:pPr>
      <w:r>
        <w:rPr>
          <w:rFonts w:hint="eastAsia" w:ascii="宋体" w:hAnsi="宋体" w:cs="宋体"/>
          <w:sz w:val="24"/>
          <w:szCs w:val="24"/>
        </w:rPr>
        <w:t>（1）符合专业条件的供应商或者对采购文件作实质性响应的供应商不足三家的（若采购项目是政府购买服务项目只有2家的，竞争性磋商活动可以继续进行</w:t>
      </w:r>
      <w:r>
        <w:rPr>
          <w:rFonts w:hint="eastAsia" w:ascii="宋体" w:hAnsi="宋体" w:cs="宋体"/>
          <w:sz w:val="24"/>
          <w:szCs w:val="24"/>
          <w:lang w:eastAsia="zh-CN"/>
        </w:rPr>
        <w:t>。</w:t>
      </w:r>
      <w:r>
        <w:rPr>
          <w:rFonts w:hint="eastAsia" w:ascii="宋体" w:hAnsi="宋体" w:cs="宋体"/>
          <w:b/>
          <w:bCs/>
          <w:sz w:val="24"/>
          <w:szCs w:val="24"/>
          <w:lang w:val="en-US" w:eastAsia="zh-CN"/>
        </w:rPr>
        <w:t>注：本项目非</w:t>
      </w:r>
      <w:r>
        <w:rPr>
          <w:rFonts w:hint="eastAsia" w:ascii="宋体" w:hAnsi="宋体" w:cs="宋体"/>
          <w:b/>
          <w:bCs/>
          <w:sz w:val="24"/>
          <w:szCs w:val="24"/>
        </w:rPr>
        <w:t>政府购买服务</w:t>
      </w:r>
      <w:r>
        <w:rPr>
          <w:rFonts w:hint="eastAsia" w:ascii="宋体" w:hAnsi="宋体" w:cs="宋体"/>
          <w:b/>
          <w:bCs/>
          <w:sz w:val="24"/>
          <w:szCs w:val="24"/>
          <w:lang w:eastAsia="zh-CN"/>
        </w:rPr>
        <w:t>，</w:t>
      </w:r>
      <w:r>
        <w:rPr>
          <w:rFonts w:hint="eastAsia" w:ascii="宋体" w:hAnsi="宋体" w:cs="宋体"/>
          <w:b/>
          <w:bCs/>
          <w:sz w:val="24"/>
          <w:szCs w:val="24"/>
          <w:lang w:val="en-US" w:eastAsia="zh-CN"/>
        </w:rPr>
        <w:t>不适用此项</w:t>
      </w:r>
      <w:r>
        <w:rPr>
          <w:rFonts w:hint="eastAsia" w:ascii="宋体" w:hAnsi="宋体" w:cs="宋体"/>
          <w:sz w:val="24"/>
          <w:szCs w:val="24"/>
        </w:rPr>
        <w:t>）；</w:t>
      </w:r>
    </w:p>
    <w:p w14:paraId="4076418B">
      <w:pPr>
        <w:spacing w:line="520" w:lineRule="exact"/>
        <w:ind w:firstLine="480" w:firstLineChars="200"/>
        <w:rPr>
          <w:rFonts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6DA73A19">
      <w:pPr>
        <w:spacing w:line="520" w:lineRule="exact"/>
        <w:ind w:firstLine="480" w:firstLineChars="200"/>
        <w:rPr>
          <w:rFonts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3E1B0C22">
      <w:pPr>
        <w:spacing w:line="520" w:lineRule="exact"/>
        <w:ind w:firstLine="480" w:firstLineChars="200"/>
        <w:rPr>
          <w:rFonts w:ascii="宋体" w:hAnsi="宋体" w:cs="宋体"/>
          <w:sz w:val="24"/>
          <w:szCs w:val="24"/>
        </w:rPr>
      </w:pPr>
      <w:r>
        <w:rPr>
          <w:rFonts w:hint="eastAsia" w:ascii="宋体" w:hAnsi="宋体" w:cs="宋体"/>
          <w:sz w:val="24"/>
          <w:szCs w:val="24"/>
        </w:rPr>
        <w:t>（4）出现影响采购公正的违法、违规行为的；</w:t>
      </w:r>
    </w:p>
    <w:p w14:paraId="666F2AC5">
      <w:pPr>
        <w:spacing w:line="520" w:lineRule="exact"/>
        <w:ind w:firstLine="480" w:firstLineChars="200"/>
        <w:rPr>
          <w:rFonts w:ascii="宋体" w:hAnsi="宋体" w:cs="宋体"/>
          <w:sz w:val="24"/>
          <w:szCs w:val="24"/>
        </w:rPr>
      </w:pPr>
      <w:r>
        <w:rPr>
          <w:rFonts w:hint="eastAsia" w:ascii="宋体" w:hAnsi="宋体" w:cs="宋体"/>
          <w:sz w:val="24"/>
          <w:szCs w:val="24"/>
        </w:rPr>
        <w:t>（5）因重大变故，采购任务取消的。</w:t>
      </w:r>
    </w:p>
    <w:p w14:paraId="3E15FF53">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w:t>
      </w:r>
      <w:r>
        <w:rPr>
          <w:rFonts w:hint="eastAsia" w:ascii="宋体" w:hAnsi="宋体" w:cs="宋体"/>
          <w:sz w:val="24"/>
          <w:szCs w:val="24"/>
          <w:lang w:eastAsia="zh-CN"/>
        </w:rPr>
        <w:t>市六院</w:t>
      </w:r>
      <w:r>
        <w:rPr>
          <w:rFonts w:hint="eastAsia" w:ascii="宋体" w:hAnsi="宋体" w:cs="宋体"/>
          <w:sz w:val="24"/>
          <w:szCs w:val="24"/>
        </w:rPr>
        <w:t>）官网公示（http://www.lasdlrmyy.cn/）</w:t>
      </w:r>
      <w:r>
        <w:rPr>
          <w:rFonts w:hint="eastAsia" w:ascii="宋体" w:hAnsi="宋体" w:cs="宋体"/>
          <w:sz w:val="24"/>
          <w:szCs w:val="24"/>
          <w:lang w:eastAsia="zh-CN"/>
        </w:rPr>
        <w:t>。</w:t>
      </w:r>
    </w:p>
    <w:p w14:paraId="7F8F4FAA">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6" w:name="_Toc25235"/>
      <w:r>
        <w:rPr>
          <w:rFonts w:hint="eastAsia" w:ascii="宋体" w:hAnsi="宋体" w:eastAsia="宋体" w:cs="宋体"/>
          <w:sz w:val="24"/>
          <w:szCs w:val="24"/>
        </w:rPr>
        <w:t>（七）报价响应及答疑</w:t>
      </w:r>
      <w:bookmarkEnd w:id="76"/>
    </w:p>
    <w:p w14:paraId="1AC852E9">
      <w:pPr>
        <w:spacing w:line="520" w:lineRule="exact"/>
        <w:ind w:firstLine="480" w:firstLineChars="200"/>
        <w:rPr>
          <w:rFonts w:ascii="宋体" w:hAnsi="宋体"/>
          <w:sz w:val="24"/>
          <w:szCs w:val="24"/>
        </w:rPr>
      </w:pPr>
      <w:bookmarkStart w:id="77" w:name="_Toc8006"/>
      <w:r>
        <w:rPr>
          <w:rFonts w:hint="eastAsia" w:ascii="宋体" w:hAnsi="宋体"/>
          <w:sz w:val="24"/>
          <w:szCs w:val="24"/>
        </w:rPr>
        <w:t>1、响应报价应含有所投货物</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4B9891EE">
      <w:pPr>
        <w:spacing w:line="520" w:lineRule="exact"/>
        <w:ind w:firstLine="480" w:firstLineChars="200"/>
        <w:rPr>
          <w:rFonts w:ascii="宋体" w:hAnsi="宋体"/>
          <w:sz w:val="24"/>
          <w:szCs w:val="24"/>
        </w:rPr>
      </w:pPr>
      <w:r>
        <w:rPr>
          <w:rFonts w:hint="eastAsia" w:ascii="宋体" w:hAnsi="宋体"/>
          <w:sz w:val="24"/>
          <w:szCs w:val="24"/>
        </w:rPr>
        <w:t>2、磋商文件中没有提及磋商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671F62CC">
      <w:pPr>
        <w:spacing w:line="52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146BC1">
      <w:pPr>
        <w:spacing w:line="520" w:lineRule="exact"/>
        <w:ind w:firstLine="480" w:firstLineChars="200"/>
        <w:rPr>
          <w:rFonts w:ascii="宋体" w:hAnsi="宋体"/>
          <w:sz w:val="24"/>
          <w:szCs w:val="24"/>
        </w:rPr>
      </w:pPr>
      <w:r>
        <w:rPr>
          <w:rFonts w:hint="eastAsia" w:ascii="宋体" w:hAnsi="宋体"/>
          <w:sz w:val="24"/>
          <w:szCs w:val="24"/>
        </w:rPr>
        <w:t>4、供应商应自行对供货及安装</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现场和周围环境进行勘察，以获取编制响应文件和签署合同所需的资料。勘察现场所发生的费用由供应商自己承担。采购人向供应商提供的有关供货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现场的资料和数据，是采购人现有的能使供应商利用的资料。采购人对供应商由此而做出的推论、理解和结论概不负责。供应商因自身原因未到供货</w:t>
      </w:r>
      <w:r>
        <w:rPr>
          <w:rFonts w:hint="eastAsia" w:ascii="宋体" w:hAnsi="宋体"/>
          <w:sz w:val="24"/>
          <w:szCs w:val="24"/>
          <w:lang w:eastAsia="zh-CN"/>
        </w:rPr>
        <w:t>、</w:t>
      </w:r>
      <w:r>
        <w:rPr>
          <w:rFonts w:hint="eastAsia" w:ascii="宋体" w:hAnsi="宋体"/>
          <w:sz w:val="24"/>
          <w:szCs w:val="24"/>
          <w:lang w:val="en-US" w:eastAsia="zh-CN"/>
        </w:rPr>
        <w:t>服务</w:t>
      </w:r>
      <w:r>
        <w:rPr>
          <w:rFonts w:hint="eastAsia" w:ascii="宋体" w:hAnsi="宋体"/>
          <w:sz w:val="24"/>
          <w:szCs w:val="24"/>
        </w:rPr>
        <w:t>现场实地踏勘的，成交后签订合同时和履约过程中，不得以不完全了解现场情况为由，提出任何形式的增加合同外造价或索赔的要求。</w:t>
      </w:r>
    </w:p>
    <w:p w14:paraId="45953784">
      <w:pPr>
        <w:spacing w:line="520" w:lineRule="exact"/>
        <w:ind w:firstLine="480" w:firstLineChars="200"/>
        <w:rPr>
          <w:rFonts w:ascii="宋体" w:hAnsi="宋体"/>
          <w:sz w:val="24"/>
          <w:szCs w:val="24"/>
        </w:rPr>
      </w:pPr>
      <w:r>
        <w:rPr>
          <w:rFonts w:hint="eastAsia" w:ascii="宋体" w:hAnsi="宋体"/>
          <w:sz w:val="24"/>
          <w:szCs w:val="24"/>
        </w:rPr>
        <w:t>5、供应商如果对磋商文件的其他任何内容有相关疑问，可</w:t>
      </w:r>
      <w:r>
        <w:rPr>
          <w:rFonts w:hint="eastAsia" w:ascii="宋体" w:hAnsi="宋体"/>
          <w:sz w:val="24"/>
        </w:rPr>
        <w:t>以向采购人或采购代理机构以书面形式提出（联系方式见</w:t>
      </w:r>
      <w:r>
        <w:rPr>
          <w:rFonts w:hint="eastAsia" w:ascii="宋体" w:hAnsi="宋体"/>
          <w:sz w:val="24"/>
          <w:lang w:val="en-US" w:eastAsia="zh-CN"/>
        </w:rPr>
        <w:t>磋商</w:t>
      </w:r>
      <w:r>
        <w:rPr>
          <w:rFonts w:hint="eastAsia" w:ascii="宋体" w:hAnsi="宋体"/>
          <w:sz w:val="24"/>
        </w:rPr>
        <w:t>公告）。</w:t>
      </w:r>
    </w:p>
    <w:p w14:paraId="4008A987">
      <w:pPr>
        <w:spacing w:line="52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614A9AE">
      <w:pPr>
        <w:pStyle w:val="4"/>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（八）合同的签订</w:t>
      </w:r>
      <w:bookmarkEnd w:id="77"/>
    </w:p>
    <w:p w14:paraId="0D678F09">
      <w:pPr>
        <w:spacing w:line="520" w:lineRule="exact"/>
        <w:ind w:firstLine="480" w:firstLineChars="200"/>
        <w:jc w:val="left"/>
        <w:rPr>
          <w:rFonts w:ascii="宋体" w:hAnsi="宋体" w:cs="Arial"/>
          <w:sz w:val="24"/>
          <w:szCs w:val="24"/>
        </w:rPr>
      </w:pPr>
      <w:bookmarkStart w:id="78" w:name="_Toc30278"/>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0FE8AD12">
      <w:pPr>
        <w:spacing w:line="52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在签订合同时，可以在不改变合同其他条款的前提下变更采购数量，但变更的金额不得超过成交总价的10%。</w:t>
      </w:r>
    </w:p>
    <w:p w14:paraId="211870C9">
      <w:pPr>
        <w:spacing w:line="520" w:lineRule="exact"/>
        <w:ind w:firstLine="480" w:firstLineChars="200"/>
        <w:jc w:val="left"/>
        <w:rPr>
          <w:rFonts w:ascii="宋体" w:hAnsi="宋体" w:cs="Arial"/>
          <w:sz w:val="24"/>
          <w:szCs w:val="24"/>
        </w:rPr>
      </w:pPr>
      <w:r>
        <w:rPr>
          <w:rFonts w:hint="eastAsia" w:ascii="宋体" w:hAnsi="宋体" w:cs="Arial"/>
          <w:sz w:val="24"/>
          <w:szCs w:val="24"/>
        </w:rPr>
        <w:t>3、</w:t>
      </w:r>
      <w:r>
        <w:rPr>
          <w:rFonts w:ascii="宋体" w:hAnsi="宋体" w:cs="Arial"/>
          <w:sz w:val="24"/>
          <w:szCs w:val="24"/>
        </w:rPr>
        <w:t>成交供应商因不可抗力或者自身原因不能在规定的时间内与采购人签订采购</w:t>
      </w:r>
      <w:r>
        <w:rPr>
          <w:rFonts w:hint="eastAsia" w:ascii="宋体" w:hAnsi="宋体" w:cs="Arial"/>
          <w:sz w:val="24"/>
          <w:szCs w:val="24"/>
        </w:rPr>
        <w:t>合同，采购人可以与排在成交供应商后第一位的候选供应商签订采购合同，以此类推或重新组织采购。</w:t>
      </w:r>
    </w:p>
    <w:p w14:paraId="6A881969">
      <w:pPr>
        <w:spacing w:line="520" w:lineRule="exact"/>
        <w:ind w:firstLine="480" w:firstLineChars="200"/>
        <w:jc w:val="left"/>
        <w:rPr>
          <w:rFonts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4E7CB586">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5</w:t>
      </w:r>
      <w:r>
        <w:rPr>
          <w:rFonts w:hint="eastAsia" w:ascii="宋体" w:hAnsi="宋体" w:cs="Arial"/>
          <w:sz w:val="24"/>
          <w:szCs w:val="24"/>
        </w:rPr>
        <w:t>、采购人可根据项目特点、供应商诚信等因素，要求供应商提交银行、保险公司、担保公司等金融机构出具的预付款保函或其他担保措施。</w:t>
      </w:r>
    </w:p>
    <w:p w14:paraId="4872D480">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6</w:t>
      </w:r>
      <w:r>
        <w:rPr>
          <w:rFonts w:hint="eastAsia" w:ascii="宋体" w:hAnsi="宋体" w:cs="Arial"/>
          <w:sz w:val="24"/>
          <w:szCs w:val="24"/>
        </w:rPr>
        <w:t>、政府采购预付款应在合同、担保措施生效以及具备实施条件后 5 个工作日内支付。</w:t>
      </w:r>
    </w:p>
    <w:p w14:paraId="6B01D1CA">
      <w:pPr>
        <w:spacing w:line="520" w:lineRule="exact"/>
        <w:ind w:firstLine="480" w:firstLineChars="200"/>
        <w:jc w:val="left"/>
        <w:rPr>
          <w:rFonts w:ascii="宋体" w:hAnsi="宋体" w:cs="Arial"/>
          <w:sz w:val="24"/>
          <w:szCs w:val="24"/>
        </w:rPr>
      </w:pPr>
      <w:r>
        <w:rPr>
          <w:rFonts w:hint="eastAsia" w:ascii="宋体" w:hAnsi="宋体" w:cs="Arial"/>
          <w:sz w:val="24"/>
          <w:szCs w:val="24"/>
          <w:lang w:val="en-US" w:eastAsia="zh-CN"/>
        </w:rPr>
        <w:t>7</w:t>
      </w:r>
      <w:r>
        <w:rPr>
          <w:rFonts w:hint="eastAsia" w:ascii="宋体" w:hAnsi="宋体" w:cs="Arial"/>
          <w:sz w:val="24"/>
          <w:szCs w:val="24"/>
        </w:rPr>
        <w:t>、成交供应商无正当理由不与采购人订立合同的处罚依据：</w:t>
      </w:r>
    </w:p>
    <w:p w14:paraId="255BDFAF">
      <w:pPr>
        <w:spacing w:line="52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3C506400">
      <w:pPr>
        <w:pStyle w:val="33"/>
        <w:spacing w:after="0" w:line="520" w:lineRule="exact"/>
        <w:ind w:firstLine="480" w:firstLineChars="200"/>
      </w:pPr>
      <w:r>
        <w:rPr>
          <w:rFonts w:hint="eastAsia"/>
        </w:rPr>
        <w:t>第七十二条 供应商有下列情形之一的，依照政府采购法第七十七条第一款的规定追究法律责任：……</w:t>
      </w:r>
    </w:p>
    <w:p w14:paraId="5210A2F4">
      <w:pPr>
        <w:pStyle w:val="33"/>
        <w:spacing w:after="0" w:line="520" w:lineRule="exact"/>
        <w:ind w:firstLine="480" w:firstLineChars="200"/>
      </w:pPr>
      <w:r>
        <w:rPr>
          <w:rFonts w:hint="eastAsia"/>
        </w:rPr>
        <w:t>（二）中标或者成交后无正当理由拒不与采购人签订政府采购合同；……</w:t>
      </w:r>
    </w:p>
    <w:p w14:paraId="7DFE6AA9">
      <w:pPr>
        <w:pStyle w:val="33"/>
        <w:spacing w:after="0" w:line="520" w:lineRule="exact"/>
        <w:ind w:firstLine="480" w:firstLineChars="200"/>
      </w:pPr>
      <w:r>
        <w:rPr>
          <w:rFonts w:hint="eastAsia"/>
        </w:rPr>
        <w:t>（2）《中华人民共和国政府采购法》</w:t>
      </w:r>
    </w:p>
    <w:p w14:paraId="4716716C">
      <w:pPr>
        <w:pStyle w:val="33"/>
        <w:spacing w:after="0" w:line="520" w:lineRule="exact"/>
        <w:ind w:firstLine="480" w:firstLineChars="200"/>
      </w:pPr>
      <w:r>
        <w:rPr>
          <w:rFonts w:hint="eastAsia"/>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1656A1B2">
      <w:pPr>
        <w:pStyle w:val="33"/>
        <w:spacing w:after="0" w:line="520" w:lineRule="exact"/>
        <w:ind w:firstLine="480" w:firstLineChars="200"/>
      </w:pPr>
      <w:r>
        <w:rPr>
          <w:rFonts w:hint="eastAsia"/>
        </w:rPr>
        <w:t>（3）《政府采购非招标采购方式管理办法》（财政部令第74号）</w:t>
      </w:r>
    </w:p>
    <w:p w14:paraId="412B271A">
      <w:pPr>
        <w:pStyle w:val="33"/>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7478FEFA">
      <w:pPr>
        <w:pStyle w:val="33"/>
        <w:spacing w:after="0" w:line="520" w:lineRule="exact"/>
        <w:ind w:firstLine="480" w:firstLineChars="200"/>
        <w:rPr>
          <w:rFonts w:ascii="宋体" w:hAnsi="宋体" w:cs="宋体"/>
          <w:szCs w:val="24"/>
        </w:rPr>
      </w:pPr>
      <w:r>
        <w:rPr>
          <w:rFonts w:hint="eastAsia"/>
        </w:rPr>
        <w:t>（二）成交后无正当理由不与采购人签订合同的；……</w:t>
      </w:r>
    </w:p>
    <w:bookmarkEnd w:id="78"/>
    <w:p w14:paraId="5B7D7DBD">
      <w:pPr>
        <w:pStyle w:val="4"/>
        <w:spacing w:before="120" w:beforeLines="50" w:after="120" w:afterLines="50" w:line="520" w:lineRule="exact"/>
        <w:jc w:val="center"/>
        <w:rPr>
          <w:rFonts w:ascii="宋体" w:hAnsi="宋体" w:eastAsia="宋体" w:cs="宋体"/>
          <w:sz w:val="24"/>
          <w:szCs w:val="24"/>
        </w:rPr>
      </w:pPr>
      <w:bookmarkStart w:id="79" w:name="_Toc1832"/>
      <w:bookmarkStart w:id="80" w:name="_Toc216158630"/>
      <w:r>
        <w:rPr>
          <w:rFonts w:hint="eastAsia" w:ascii="宋体" w:hAnsi="宋体" w:eastAsia="宋体" w:cs="宋体"/>
          <w:sz w:val="24"/>
          <w:szCs w:val="24"/>
        </w:rPr>
        <w:t>（九）澄清及变更</w:t>
      </w:r>
      <w:bookmarkEnd w:id="79"/>
    </w:p>
    <w:p w14:paraId="085FE1B8">
      <w:pPr>
        <w:spacing w:line="520" w:lineRule="exact"/>
        <w:ind w:firstLine="480" w:firstLineChars="200"/>
      </w:pPr>
      <w:r>
        <w:rPr>
          <w:rFonts w:hint="eastAsia" w:ascii="宋体" w:hAnsi="宋体"/>
          <w:sz w:val="24"/>
          <w:szCs w:val="24"/>
          <w:lang w:val="en-US" w:eastAsia="zh-CN"/>
        </w:rPr>
        <w:t>采购</w:t>
      </w:r>
      <w:r>
        <w:rPr>
          <w:rFonts w:hint="eastAsia" w:ascii="宋体" w:hAnsi="宋体"/>
          <w:sz w:val="24"/>
          <w:szCs w:val="24"/>
        </w:rPr>
        <w:t>文件如有澄清及变更，将以网上公告形式发布，请供应商及时关注。</w:t>
      </w:r>
    </w:p>
    <w:p w14:paraId="1EA0ECF2">
      <w:pPr>
        <w:pStyle w:val="4"/>
        <w:spacing w:before="120" w:beforeLines="50" w:after="120" w:afterLines="50" w:line="520" w:lineRule="exact"/>
        <w:jc w:val="center"/>
        <w:rPr>
          <w:rFonts w:ascii="宋体" w:hAnsi="宋体" w:eastAsia="宋体" w:cs="宋体"/>
          <w:sz w:val="24"/>
          <w:szCs w:val="24"/>
        </w:rPr>
      </w:pPr>
      <w:bookmarkStart w:id="81" w:name="_Toc18928"/>
      <w:r>
        <w:rPr>
          <w:rFonts w:hint="eastAsia" w:ascii="宋体" w:hAnsi="宋体" w:eastAsia="宋体" w:cs="宋体"/>
          <w:sz w:val="24"/>
          <w:szCs w:val="24"/>
        </w:rPr>
        <w:t>（十）验收</w:t>
      </w:r>
      <w:bookmarkEnd w:id="81"/>
      <w:r>
        <w:rPr>
          <w:rFonts w:hint="eastAsia" w:ascii="宋体" w:hAnsi="宋体" w:eastAsia="宋体" w:cs="宋体"/>
          <w:sz w:val="24"/>
          <w:szCs w:val="24"/>
        </w:rPr>
        <w:t>与验收</w:t>
      </w:r>
    </w:p>
    <w:p w14:paraId="0A4939D3">
      <w:pPr>
        <w:spacing w:line="52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307405C7">
      <w:pPr>
        <w:spacing w:line="52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063D6A7">
      <w:pPr>
        <w:spacing w:line="52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A5EFC45">
      <w:pPr>
        <w:spacing w:line="5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052181E3">
      <w:pPr>
        <w:pStyle w:val="4"/>
        <w:spacing w:before="120" w:beforeLines="50" w:after="120" w:afterLines="50" w:line="520" w:lineRule="exact"/>
        <w:jc w:val="center"/>
        <w:rPr>
          <w:rFonts w:ascii="宋体" w:hAnsi="宋体" w:eastAsia="宋体" w:cs="宋体"/>
          <w:sz w:val="24"/>
          <w:szCs w:val="24"/>
        </w:rPr>
      </w:pPr>
      <w:bookmarkStart w:id="82" w:name="_Toc3680"/>
      <w:r>
        <w:rPr>
          <w:rFonts w:hint="eastAsia" w:ascii="宋体" w:hAnsi="宋体" w:eastAsia="宋体" w:cs="宋体"/>
          <w:sz w:val="24"/>
          <w:szCs w:val="24"/>
        </w:rPr>
        <w:t>（十一）质疑</w:t>
      </w:r>
      <w:bookmarkEnd w:id="82"/>
    </w:p>
    <w:p w14:paraId="0360F373">
      <w:pPr>
        <w:spacing w:line="520" w:lineRule="exact"/>
        <w:ind w:firstLine="480" w:firstLineChars="200"/>
        <w:rPr>
          <w:rFonts w:ascii="宋体" w:hAnsi="宋体"/>
          <w:bCs/>
          <w:sz w:val="24"/>
        </w:rPr>
      </w:pPr>
      <w:r>
        <w:rPr>
          <w:rFonts w:hint="eastAsia" w:ascii="宋体" w:hAnsi="宋体"/>
          <w:bCs/>
          <w:sz w:val="24"/>
        </w:rPr>
        <w:t>1、质疑人认为磋商结果使自己的权益受到损害的，可以向采购人及采购代理机构提出质疑。质疑实行实名制，应当有具体的事项及根据，不得进行虚假、恶意质疑，扰乱交易活动的正常工作秩序。</w:t>
      </w:r>
    </w:p>
    <w:p w14:paraId="3E6A032B">
      <w:pPr>
        <w:spacing w:line="520" w:lineRule="exact"/>
        <w:ind w:firstLine="480" w:firstLineChars="200"/>
        <w:rPr>
          <w:rFonts w:ascii="宋体" w:hAnsi="宋体"/>
          <w:bCs/>
          <w:sz w:val="24"/>
        </w:rPr>
      </w:pPr>
      <w:r>
        <w:rPr>
          <w:rFonts w:hint="eastAsia" w:ascii="宋体" w:hAnsi="宋体"/>
          <w:bCs/>
          <w:sz w:val="24"/>
        </w:rPr>
        <w:t xml:space="preserve">2、质疑应在规定时限内提出： </w:t>
      </w:r>
    </w:p>
    <w:p w14:paraId="364A88DF">
      <w:pPr>
        <w:spacing w:line="520" w:lineRule="exact"/>
        <w:ind w:firstLine="480" w:firstLineChars="200"/>
        <w:rPr>
          <w:rFonts w:ascii="宋体" w:hAnsi="宋体"/>
          <w:bCs/>
          <w:sz w:val="24"/>
        </w:rPr>
      </w:pPr>
      <w:r>
        <w:rPr>
          <w:rFonts w:hint="eastAsia" w:ascii="宋体" w:hAnsi="宋体"/>
          <w:bCs/>
          <w:sz w:val="24"/>
        </w:rPr>
        <w:t>对采购</w:t>
      </w:r>
      <w:r>
        <w:rPr>
          <w:rFonts w:hint="eastAsia" w:ascii="宋体" w:hAnsi="宋体"/>
          <w:bCs/>
          <w:sz w:val="24"/>
          <w:lang w:val="en-US" w:eastAsia="zh-CN"/>
        </w:rPr>
        <w:t>成交</w:t>
      </w:r>
      <w:r>
        <w:rPr>
          <w:rFonts w:hint="eastAsia" w:ascii="宋体" w:hAnsi="宋体"/>
          <w:bCs/>
          <w:sz w:val="24"/>
        </w:rPr>
        <w:t>结果的质疑，应在成交结果公布之日起七个工作日内提出。</w:t>
      </w:r>
    </w:p>
    <w:p w14:paraId="5DE51373">
      <w:pPr>
        <w:spacing w:line="52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8D0F0C7">
      <w:pPr>
        <w:widowControl/>
        <w:spacing w:line="520" w:lineRule="exact"/>
        <w:ind w:firstLine="480" w:firstLineChars="200"/>
        <w:jc w:val="left"/>
        <w:rPr>
          <w:rFonts w:ascii="宋体" w:hAnsi="宋体"/>
          <w:bCs/>
          <w:sz w:val="24"/>
        </w:rPr>
      </w:pPr>
      <w:r>
        <w:rPr>
          <w:rFonts w:hint="eastAsia" w:ascii="宋体" w:hAnsi="宋体"/>
          <w:bCs/>
          <w:sz w:val="24"/>
        </w:rPr>
        <w:t>3.1质疑人的名称、地址、有效联系方式；</w:t>
      </w:r>
    </w:p>
    <w:p w14:paraId="10CFA703">
      <w:pPr>
        <w:widowControl/>
        <w:spacing w:line="520" w:lineRule="exact"/>
        <w:ind w:firstLine="480" w:firstLineChars="200"/>
        <w:jc w:val="left"/>
        <w:rPr>
          <w:rFonts w:ascii="宋体" w:hAnsi="宋体"/>
          <w:bCs/>
          <w:sz w:val="24"/>
        </w:rPr>
      </w:pPr>
      <w:r>
        <w:rPr>
          <w:rFonts w:hint="eastAsia" w:ascii="宋体" w:hAnsi="宋体"/>
          <w:bCs/>
          <w:sz w:val="24"/>
        </w:rPr>
        <w:t>3.2项目名称、项目编号、包别号（如有）；</w:t>
      </w:r>
    </w:p>
    <w:p w14:paraId="2A007FB1">
      <w:pPr>
        <w:widowControl/>
        <w:spacing w:line="520" w:lineRule="exact"/>
        <w:ind w:firstLine="480" w:firstLineChars="200"/>
        <w:jc w:val="left"/>
        <w:rPr>
          <w:rFonts w:ascii="宋体" w:hAnsi="宋体"/>
          <w:bCs/>
          <w:sz w:val="24"/>
        </w:rPr>
      </w:pPr>
      <w:r>
        <w:rPr>
          <w:rFonts w:hint="eastAsia" w:ascii="宋体" w:hAnsi="宋体"/>
          <w:bCs/>
          <w:sz w:val="24"/>
        </w:rPr>
        <w:t>3.3被质疑人名称；</w:t>
      </w:r>
    </w:p>
    <w:p w14:paraId="636F8D95">
      <w:pPr>
        <w:widowControl/>
        <w:spacing w:line="52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18FEF59">
      <w:pPr>
        <w:widowControl/>
        <w:spacing w:line="520" w:lineRule="exact"/>
        <w:ind w:firstLine="480" w:firstLineChars="200"/>
        <w:jc w:val="left"/>
        <w:rPr>
          <w:rFonts w:ascii="宋体" w:hAnsi="宋体"/>
          <w:bCs/>
          <w:sz w:val="24"/>
        </w:rPr>
      </w:pPr>
      <w:r>
        <w:rPr>
          <w:rFonts w:hint="eastAsia" w:ascii="宋体" w:hAnsi="宋体"/>
          <w:bCs/>
          <w:sz w:val="24"/>
        </w:rPr>
        <w:t>3.5明确的请求及主张；</w:t>
      </w:r>
    </w:p>
    <w:p w14:paraId="6D04353E">
      <w:pPr>
        <w:widowControl/>
        <w:spacing w:line="520" w:lineRule="exact"/>
        <w:ind w:firstLine="480" w:firstLineChars="200"/>
        <w:jc w:val="left"/>
        <w:rPr>
          <w:rFonts w:ascii="宋体" w:hAnsi="宋体"/>
          <w:bCs/>
          <w:sz w:val="24"/>
        </w:rPr>
      </w:pPr>
      <w:r>
        <w:rPr>
          <w:rFonts w:hint="eastAsia" w:ascii="宋体" w:hAnsi="宋体"/>
          <w:bCs/>
          <w:sz w:val="24"/>
        </w:rPr>
        <w:t>3.6提起质疑的日期。</w:t>
      </w:r>
    </w:p>
    <w:p w14:paraId="7BC9BA68">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432E51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0451CB0">
      <w:pPr>
        <w:spacing w:line="52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09403FC5">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093F0757">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98F7EF1">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3B18EA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68AE76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05BB15DD">
      <w:pPr>
        <w:widowControl/>
        <w:spacing w:line="52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6900ABCE">
      <w:pPr>
        <w:spacing w:line="52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423F267B">
      <w:pPr>
        <w:spacing w:line="52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6B63848D">
      <w:pPr>
        <w:spacing w:line="52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监管部门</w:t>
      </w:r>
      <w:r>
        <w:rPr>
          <w:rFonts w:hint="eastAsia" w:ascii="宋体" w:hAnsi="宋体"/>
          <w:bCs/>
          <w:sz w:val="24"/>
        </w:rPr>
        <w:t>予以处理。</w:t>
      </w:r>
    </w:p>
    <w:p w14:paraId="12ED374B">
      <w:pPr>
        <w:spacing w:line="520" w:lineRule="exact"/>
        <w:ind w:firstLine="480" w:firstLineChars="200"/>
        <w:rPr>
          <w:rFonts w:ascii="宋体" w:hAnsi="宋体"/>
          <w:bCs/>
          <w:sz w:val="24"/>
        </w:rPr>
      </w:pPr>
      <w:r>
        <w:rPr>
          <w:rFonts w:hint="eastAsia" w:ascii="宋体" w:hAnsi="宋体"/>
          <w:bCs/>
          <w:sz w:val="24"/>
        </w:rPr>
        <w:t>7.1一年内三次以上质疑均查无实据的；</w:t>
      </w:r>
    </w:p>
    <w:p w14:paraId="3371F8D8">
      <w:pPr>
        <w:spacing w:line="520" w:lineRule="exact"/>
        <w:ind w:firstLine="480" w:firstLineChars="200"/>
        <w:rPr>
          <w:rFonts w:ascii="宋体" w:hAnsi="宋体" w:cs="宋体"/>
          <w:sz w:val="28"/>
          <w:szCs w:val="28"/>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56D69F60">
      <w:pPr>
        <w:pStyle w:val="4"/>
        <w:spacing w:before="0" w:after="0" w:line="560" w:lineRule="exact"/>
        <w:ind w:left="0" w:leftChars="0" w:right="0" w:rightChars="0" w:firstLine="0" w:firstLineChars="0"/>
        <w:jc w:val="center"/>
        <w:rPr>
          <w:rFonts w:hint="eastAsia" w:ascii="宋体" w:hAnsi="宋体" w:eastAsia="宋体" w:cs="宋体"/>
          <w:sz w:val="28"/>
          <w:szCs w:val="28"/>
        </w:rPr>
      </w:pPr>
    </w:p>
    <w:p w14:paraId="011EF6B1">
      <w:pPr>
        <w:pStyle w:val="4"/>
        <w:spacing w:before="0" w:after="0" w:line="560" w:lineRule="exact"/>
        <w:ind w:left="0" w:leftChars="0" w:right="0" w:rightChars="0" w:firstLine="0" w:firstLineChars="0"/>
        <w:jc w:val="center"/>
        <w:rPr>
          <w:rFonts w:hint="eastAsia" w:ascii="宋体" w:hAnsi="宋体" w:eastAsia="宋体" w:cs="宋体"/>
          <w:sz w:val="28"/>
          <w:szCs w:val="28"/>
        </w:rPr>
      </w:pPr>
    </w:p>
    <w:p w14:paraId="26CD5E46">
      <w:pPr>
        <w:pStyle w:val="4"/>
        <w:spacing w:before="0" w:after="0" w:line="560" w:lineRule="exact"/>
        <w:ind w:left="0" w:leftChars="0" w:right="0" w:rightChars="0" w:firstLine="0" w:firstLineChars="0"/>
        <w:jc w:val="center"/>
        <w:rPr>
          <w:rFonts w:ascii="宋体" w:hAnsi="宋体" w:eastAsia="宋体" w:cs="宋体"/>
          <w:sz w:val="28"/>
          <w:szCs w:val="28"/>
        </w:rPr>
      </w:pPr>
      <w:r>
        <w:rPr>
          <w:rFonts w:hint="eastAsia" w:ascii="宋体" w:hAnsi="宋体" w:eastAsia="宋体" w:cs="宋体"/>
          <w:sz w:val="28"/>
          <w:szCs w:val="28"/>
        </w:rPr>
        <w:t>二、采购合同</w:t>
      </w:r>
    </w:p>
    <w:p w14:paraId="4BFDB61B">
      <w:pPr>
        <w:spacing w:line="520" w:lineRule="exact"/>
        <w:jc w:val="center"/>
        <w:rPr>
          <w:rFonts w:hint="eastAsia" w:ascii="宋体" w:hAnsi="宋体" w:eastAsia="宋体" w:cs="Times New Roman"/>
          <w:bCs/>
          <w:sz w:val="24"/>
        </w:rPr>
      </w:pPr>
      <w:r>
        <w:rPr>
          <w:rFonts w:hint="eastAsia" w:ascii="宋体" w:hAnsi="宋体" w:eastAsia="宋体" w:cs="Times New Roman"/>
          <w:bCs/>
          <w:sz w:val="24"/>
        </w:rPr>
        <w:t>（甲乙双方自行拟定）</w:t>
      </w:r>
    </w:p>
    <w:p w14:paraId="72A3D2AF">
      <w:pPr>
        <w:rPr>
          <w:rFonts w:ascii="宋体" w:hAnsi="宋体" w:eastAsia="宋体" w:cs="宋体"/>
          <w:sz w:val="28"/>
          <w:szCs w:val="28"/>
        </w:rPr>
      </w:pPr>
      <w:r>
        <w:rPr>
          <w:rFonts w:hint="eastAsia" w:ascii="宋体" w:hAnsi="宋体" w:eastAsia="宋体" w:cs="宋体"/>
          <w:sz w:val="28"/>
          <w:szCs w:val="28"/>
        </w:rPr>
        <w:br w:type="page"/>
      </w:r>
      <w:bookmarkEnd w:id="80"/>
      <w:bookmarkStart w:id="83" w:name="_Toc363199273"/>
    </w:p>
    <w:p w14:paraId="20FC4DD6">
      <w:pPr>
        <w:pStyle w:val="4"/>
        <w:numPr>
          <w:ilvl w:val="0"/>
          <w:numId w:val="3"/>
        </w:numPr>
        <w:spacing w:before="0" w:after="0" w:line="560" w:lineRule="exact"/>
        <w:jc w:val="center"/>
        <w:rPr>
          <w:rFonts w:ascii="宋体" w:hAnsi="宋体" w:eastAsia="宋体" w:cs="宋体"/>
          <w:sz w:val="28"/>
          <w:szCs w:val="28"/>
        </w:rPr>
      </w:pPr>
      <w:bookmarkStart w:id="84" w:name="_Toc6712"/>
      <w:r>
        <w:rPr>
          <w:rFonts w:hint="eastAsia" w:ascii="宋体" w:hAnsi="宋体" w:eastAsia="宋体" w:cs="宋体"/>
          <w:sz w:val="28"/>
          <w:szCs w:val="28"/>
        </w:rPr>
        <w:t>采购需求</w:t>
      </w:r>
      <w:bookmarkEnd w:id="84"/>
    </w:p>
    <w:p w14:paraId="27A92C88">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一、项目背景</w:t>
      </w:r>
    </w:p>
    <w:p w14:paraId="76EE241E">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根据《国家医保局 人力资源社会保障部 国家卫生健康委 国家药监局关于加强药品追溯码在医疗保障和工伤保险领域采集应用的通知》等文件精神，医疗机构需对医保药品追溯码“应采尽采、应传尽传”，原则上，2025年7月1日起，销售环节按要求扫码后方可进行医保基金结算，对此前已采购的无追溯码药品，列入“无码库”管理，暂可进行医保结算。2026年1月1日起，所有医药机构都要实现药品追溯码全流程采集上传。为落实医保局相关工作要求，特采购医保药品追溯码管理系统。</w:t>
      </w:r>
    </w:p>
    <w:p w14:paraId="05B3D05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二、建设要求</w:t>
      </w:r>
    </w:p>
    <w:p w14:paraId="654CE32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系统需要对接六安市叶集区人民医院及下辖6家分院、76家村卫生室和社区服务站，对所有带有追溯码的药品进行全种类、全数量的采集，并上传至医保信息平台，追溯码的采集率与合规率均达到医保局的规定要求。</w:t>
      </w:r>
    </w:p>
    <w:p w14:paraId="76F9B76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针对各级医院，涵盖门急诊药房、静配中心、药库、住院药房的整盒与拆零等药品，开展追溯码采集并上传的工作；同时拥有药库、门急诊药房、住院药房、静配中心、三级库、出院带药、退药、报表管理等药品追溯码管理功能模块。</w:t>
      </w:r>
    </w:p>
    <w:p w14:paraId="78BB9B43">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3、支持对区医共体中心药房实现统一目录、统一采购、统一配送，实现采购计划电子化，药品目录和价格信息自动同步、支持入库管理并进行优化。</w:t>
      </w:r>
    </w:p>
    <w:p w14:paraId="0E901A87">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4、区医共体中心药房一体化协同管理</w:t>
      </w:r>
    </w:p>
    <w:p w14:paraId="7E7D5E5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（1）支持区医共体中心药房层级化管理架构：系统需搭建 “牵头医院（六安市叶集区人民医院）- 6家分院-村卫生室和社区服务站” 三级管理权限体系，牵头医院可设置 “医共体管理员” 角色，对 6 家分院（包括村卫生室和社区服务站）的药品追溯码管理全流程进行监督、审核、数据汇总及权限分配，分院仅可操作本机构和下辖（村卫生室和社区服务站）村卫生室和社区服务站相关业务，确保管理边界清晰。</w:t>
      </w:r>
    </w:p>
    <w:p w14:paraId="1AD9A2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区医共体中心药房数据统一视图：系统需提供区医共体中心药房药品追溯全局看板，支持牵头医院实时查看6家分院（包括村卫生室和社区服务站）、村卫生室和社区服务站的追溯码采集率、漏采清单、上传情况、库存分布、采购计划执行情况等核心数据，支持按机构、时间维度筛选统计，实现区医共体中心药房整体追溯管理可视化。</w:t>
      </w:r>
    </w:p>
    <w:p w14:paraId="5DCE88B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跨机构药品调度追溯管理：支持区医共体中心药房内部药品应急调度（如分院向牵头医院申领、机构间调剂），系统需记录调度药品的追溯码流转轨迹，自动同步调出机构出库信息与调入机构入库信息，确保跨机构流通药品全程可追溯，调度数据实时同步至医保信息平台。</w:t>
      </w:r>
    </w:p>
    <w:p w14:paraId="562332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5、当医保局、卫健委及药监部门政策要求变更时，如接收平台更换、接收代码变更等，服务期内能够对系统进行免费升级及改造且根据医院要求免费对接其他第三方软件系统。</w:t>
      </w:r>
    </w:p>
    <w:p w14:paraId="6DE2AA0E">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6、系统性能需求：支持多品种大批量追溯码的批量采集与上传，支持同一患者多张处方的一次性核发上传；软件弹窗提示错误、多取、少取药品的情况；可在发药和摆药两个环节进行药品追溯码扫描。</w:t>
      </w:r>
    </w:p>
    <w:p w14:paraId="7A27BB5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7、应保证满足上级主管医保部门的文件要求，并确保在文件的期限内进行相应的系统维护，如不能在其规定的期限内完成，给医院造成损失的，软件公司需承担相应的责任。</w:t>
      </w:r>
    </w:p>
    <w:p w14:paraId="2AC806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系统生成每日/每月漏采清单，分析漏采原因（如编码不匹配、未扫码）。提供实时弹窗提醒，提示多扫、漏扫或重复扫码情况。提高追溯码采集率至95%以上，满足医保局合规要求。减少因漏采导致的医保扣款风险。</w:t>
      </w:r>
    </w:p>
    <w:p w14:paraId="1225039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9、其他要求：后期新增扫码设备或者医保局以奖代补形式发放医院追溯码采集上传设备，需无条件、免费协助医院进行安装升级或调试，不得以软硬件绑定方式进行销售，整体系统技术服务免费维保期3年。</w:t>
      </w:r>
    </w:p>
    <w:p w14:paraId="0BB3CD2A">
      <w:pPr>
        <w:spacing w:line="360" w:lineRule="auto"/>
        <w:ind w:firstLine="420"/>
        <w:rPr>
          <w:rFonts w:hint="default" w:eastAsia="宋体"/>
          <w:lang w:val="en-US" w:eastAsia="zh-CN"/>
        </w:rPr>
      </w:pPr>
      <w:r>
        <w:rPr>
          <w:rFonts w:hint="eastAsia" w:ascii="宋体" w:hAnsi="宋体" w:cs="宋体"/>
          <w:b/>
          <w:bCs/>
          <w:sz w:val="24"/>
          <w:szCs w:val="24"/>
          <w:lang w:val="en-US" w:eastAsia="zh-CN"/>
        </w:rPr>
        <w:t>三、技术要求</w:t>
      </w:r>
    </w:p>
    <w:tbl>
      <w:tblPr>
        <w:tblStyle w:val="35"/>
        <w:tblW w:w="8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8"/>
        <w:gridCol w:w="7372"/>
      </w:tblGrid>
      <w:tr w14:paraId="07BA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915">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E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技术规格参数</w:t>
            </w:r>
          </w:p>
        </w:tc>
      </w:tr>
      <w:tr w14:paraId="2941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D123">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一、总体要求</w:t>
            </w:r>
          </w:p>
        </w:tc>
      </w:tr>
      <w:tr w14:paraId="7F7A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01C7">
            <w:pPr>
              <w:keepNext w:val="0"/>
              <w:keepLines w:val="0"/>
              <w:widowControl/>
              <w:suppressLineNumbers w:val="0"/>
              <w:snapToGrid w:val="0"/>
              <w:ind w:left="0" w:leftChars="0" w:right="0" w:rightChars="0" w:firstLine="0" w:firstLineChars="0"/>
              <w:jc w:val="center"/>
              <w:textAlignment w:val="center"/>
              <w:rPr>
                <w:rFonts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702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系统支持多种接口协议对接，系统具有良好的扩展性。</w:t>
            </w:r>
          </w:p>
        </w:tc>
      </w:tr>
      <w:tr w14:paraId="4E47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72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D1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适配Windows/Linux操作系统。</w:t>
            </w:r>
          </w:p>
        </w:tc>
      </w:tr>
      <w:tr w14:paraId="0C7F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0C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B4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具备药品信息录入、扫码数据采集、异常预警（如重复扫码、无效码、发药错误、过期、近效期）、统计分析功能。</w:t>
            </w:r>
          </w:p>
        </w:tc>
      </w:tr>
      <w:tr w14:paraId="0961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2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49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能够按角色（药师、护士、管理员）、按部门（药库、药房、静配）分配操作权限，支持审计日志追溯。</w:t>
            </w:r>
          </w:p>
        </w:tc>
      </w:tr>
      <w:tr w14:paraId="683A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39E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9F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能够与配送企业进行追溯码对接，使配送企业追溯码信息同步至医院系统，方便医院追溯码的入库采集。</w:t>
            </w:r>
          </w:p>
        </w:tc>
      </w:tr>
      <w:tr w14:paraId="0777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082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F00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系统设备可以将患者处方信息与扫描到的追溯码信息进行绑定和核对，当追溯码信息有误或完全正确时，可语音播报提示相关工作人员，完成药品、处方的二次核对。</w:t>
            </w:r>
          </w:p>
        </w:tc>
      </w:tr>
      <w:tr w14:paraId="4541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505BA">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二、系统技术参数</w:t>
            </w:r>
          </w:p>
        </w:tc>
      </w:tr>
      <w:tr w14:paraId="5839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CE4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2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药库追溯码管理</w:t>
            </w:r>
          </w:p>
        </w:tc>
      </w:tr>
      <w:tr w14:paraId="62E4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D88">
            <w:pPr>
              <w:keepNext w:val="0"/>
              <w:keepLines w:val="0"/>
              <w:widowControl/>
              <w:suppressLineNumbers w:val="0"/>
              <w:snapToGrid w:val="0"/>
              <w:ind w:left="0" w:leftChars="0" w:right="0" w:rightChars="0" w:firstLine="0" w:firstLineChars="0"/>
              <w:jc w:val="center"/>
              <w:textAlignment w:val="center"/>
              <w:rPr>
                <w:rFonts w:hint="default" w:ascii="微软雅黑" w:hAnsi="仿宋" w:eastAsia="微软雅黑" w:cs="仿宋"/>
                <w:i w:val="0"/>
                <w:iCs w:val="0"/>
                <w:color w:val="000000"/>
                <w:sz w:val="20"/>
                <w:szCs w:val="21"/>
                <w:u w:val="none"/>
                <w:lang w:val="en-US"/>
              </w:rPr>
            </w:pPr>
            <w:r>
              <w:rPr>
                <w:rFonts w:hint="eastAsia" w:ascii="微软雅黑" w:hAnsi="仿宋" w:eastAsia="微软雅黑" w:cs="仿宋"/>
                <w:i w:val="0"/>
                <w:iCs w:val="0"/>
                <w:color w:val="000000"/>
                <w:kern w:val="0"/>
                <w:sz w:val="20"/>
                <w:szCs w:val="21"/>
                <w:u w:val="none"/>
                <w:lang w:val="en-US" w:eastAsia="zh-CN" w:bidi="ar"/>
              </w:rPr>
              <w:t>1.1</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2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基础信息维护功能</w:t>
            </w:r>
          </w:p>
        </w:tc>
      </w:tr>
      <w:tr w14:paraId="4AA5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9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D8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提供药品基础信息维护的界面，药师可自行维护基础数据，能够添加药品品种、移除药品品种、更新药品品种的基础数据，对于已维护的数据能够进行数据管理与查看等。</w:t>
            </w:r>
          </w:p>
        </w:tc>
      </w:tr>
      <w:tr w14:paraId="6C6E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4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AF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具备查询上传日志和重新提交至医院保两定接口的功能，可追溯上传不成功的码，确保已采集的数据在修改后能再次提交给医保局，实现数据的校对与续传。</w:t>
            </w:r>
          </w:p>
        </w:tc>
      </w:tr>
      <w:tr w14:paraId="7C16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681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6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药库入库追溯码管理</w:t>
            </w:r>
          </w:p>
        </w:tc>
      </w:tr>
      <w:tr w14:paraId="789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3F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F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药库入库追溯码管理</w:t>
            </w:r>
          </w:p>
        </w:tc>
      </w:tr>
      <w:tr w14:paraId="643D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8C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2B0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553A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D5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87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系统应兼容多种采集方式，保障数据全面性，同时兼顾不同场景下的操作便利性，从源头把控药品来源，确保可追溯性，提高入库效率，为药品入库管理提供坚实数据基础。</w:t>
            </w:r>
          </w:p>
        </w:tc>
      </w:tr>
      <w:tr w14:paraId="0838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5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1.2.1.2</w:t>
            </w:r>
            <w:r>
              <w:rPr>
                <w:rFonts w:hint="eastAsia" w:asciiTheme="majorEastAsia" w:hAnsiTheme="majorEastAsia" w:eastAsiaTheme="majorEastAsia" w:cstheme="majorEastAsia"/>
                <w:color w:val="auto"/>
                <w:sz w:val="24"/>
                <w:szCs w:val="24"/>
                <w:highlight w:val="none"/>
                <w:lang w:val="en-US" w:eastAsia="zh-CN"/>
              </w:rPr>
              <w:t>★</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E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1.系统应支持跟配送企业打通数据接口，实现扫描发票上的二维码，即可获取完整的药品追溯码信息。2. 药库药师无需手工录入单据，系统自动把详细的入库信息准确推送到医院信息管理系统（HIS），实现药品的自动入库。</w:t>
            </w:r>
          </w:p>
        </w:tc>
      </w:tr>
      <w:tr w14:paraId="524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55D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2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系统应支持扫描药品外包装获取药品追溯码信息。</w:t>
            </w:r>
          </w:p>
        </w:tc>
      </w:tr>
      <w:tr w14:paraId="0926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57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6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系统应支持手持PDA设备扫码一键快速入库。</w:t>
            </w:r>
          </w:p>
        </w:tc>
      </w:tr>
      <w:tr w14:paraId="51FF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37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6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系统应支持PC端配合高拍仪进行采集操作。</w:t>
            </w:r>
          </w:p>
        </w:tc>
      </w:tr>
      <w:tr w14:paraId="2D6D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01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A0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追溯码转换</w:t>
            </w:r>
          </w:p>
        </w:tc>
      </w:tr>
      <w:tr w14:paraId="4EE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B1D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C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系统应具备创新性功能，支持无需拆箱操作，仅需扫描大箱码、中包装码或单盒药品追溯码，即可迅速获取每一盒药品的追溯码信息。</w:t>
            </w:r>
          </w:p>
        </w:tc>
      </w:tr>
      <w:tr w14:paraId="749A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B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41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该功能应极大地提升入库与管理效率，有效节省时间和人力成本，减少繁琐的拆箱流程，使药品入库更加便捷、高效。</w:t>
            </w:r>
          </w:p>
        </w:tc>
      </w:tr>
      <w:tr w14:paraId="2BF6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D7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FC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入库信息核验</w:t>
            </w:r>
          </w:p>
        </w:tc>
      </w:tr>
      <w:tr w14:paraId="5229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76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D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系统应配备智能化的追溯码匹配核对功能，能够自动将采集到的追溯码信息与入库单数据进行精准比对。</w:t>
            </w:r>
          </w:p>
        </w:tc>
      </w:tr>
      <w:tr w14:paraId="74EF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9E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98D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依靠先进的智能算法，系统能够迅速识别并自动标注出不一致项，保证数据的准确与完整，极大提升核对效率，明显降低人工核对的工作量，切实提高药品入库管理的整体效率，为药品质量安全筑牢坚实保障。</w:t>
            </w:r>
          </w:p>
        </w:tc>
      </w:tr>
      <w:tr w14:paraId="1037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E01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4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智能预警提示</w:t>
            </w:r>
          </w:p>
        </w:tc>
      </w:tr>
      <w:tr w14:paraId="4723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6B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67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系统应具备强大的智能预警功能，在药品入库环节实时监测药品的关键信息，如有效期、批准文号等。</w:t>
            </w:r>
          </w:p>
        </w:tc>
      </w:tr>
      <w:tr w14:paraId="4D3C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89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Style w:val="100"/>
                <w:rFonts w:ascii="微软雅黑" w:eastAsia="微软雅黑"/>
                <w:sz w:val="20"/>
                <w:lang w:val="en-US" w:eastAsia="zh-CN" w:bidi="ar"/>
              </w:rPr>
              <w:t xml:space="preserve">1.2.4.2                                                                                                                                                                                                                                                                                                                                                                                                                                                                                                                                                                                                                                                          </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B3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系统应支持对过期药品进行预警提示，及时通知工作人员进行处理。</w:t>
            </w:r>
          </w:p>
        </w:tc>
      </w:tr>
      <w:tr w14:paraId="2B18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CEE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60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系统应支持对采购价格变化药品进行预警，及时通知工作人员进行处理。</w:t>
            </w:r>
          </w:p>
        </w:tc>
      </w:tr>
      <w:tr w14:paraId="429C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F2A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54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发票管理 具备发票检验功能。具备对发票票面药品属性自动分类（集采、非集采等需要人工区分属性），实现药品采购的发票自动通过税务的验真、验重能力。</w:t>
            </w:r>
          </w:p>
        </w:tc>
      </w:tr>
      <w:tr w14:paraId="337A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99D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7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入库信息推送</w:t>
            </w:r>
          </w:p>
        </w:tc>
      </w:tr>
      <w:tr w14:paraId="34B8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AF2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1.2.5.1</w:t>
            </w:r>
            <w:r>
              <w:rPr>
                <w:rFonts w:hint="eastAsia" w:asciiTheme="majorEastAsia" w:hAnsiTheme="majorEastAsia" w:eastAsiaTheme="majorEastAsia" w:cstheme="majorEastAsia"/>
                <w:color w:val="auto"/>
                <w:sz w:val="24"/>
                <w:szCs w:val="24"/>
                <w:highlight w:val="none"/>
                <w:lang w:val="en-US" w:eastAsia="zh-CN"/>
              </w:rPr>
              <w:t>★</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CF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药品完成入库流程后，系统应自动将详细的入库信息精准推送至医院信息管理系统（HIS），确保数据的实时更新与同步，实现 “一键入库”功能，药库药师不需要手工录入库单，完成药品自动入库。（这里是重点要求）</w:t>
            </w:r>
          </w:p>
        </w:tc>
      </w:tr>
      <w:tr w14:paraId="192F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B4F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A72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药库退货追溯码管理</w:t>
            </w:r>
          </w:p>
        </w:tc>
      </w:tr>
      <w:tr w14:paraId="2A49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532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E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3C65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D03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EF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系统应兼容多种采集方式，保障数据全面性，同时兼顾不同场景下的操作便利性，从源头把控药品来源，确保可追溯性，提高退货效率，为药品退货管理提供坚实数据基础。</w:t>
            </w:r>
          </w:p>
        </w:tc>
      </w:tr>
      <w:tr w14:paraId="4924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ED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62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系统应支持PDA端进行采集操作。</w:t>
            </w:r>
          </w:p>
        </w:tc>
      </w:tr>
      <w:tr w14:paraId="5E26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CE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33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系统应支持PC端配合高拍仪进行采集操作。</w:t>
            </w:r>
          </w:p>
        </w:tc>
      </w:tr>
      <w:tr w14:paraId="333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E0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43E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统应支持扫描药品外包装获取药品追溯码信息，仅需扫描大箱码、中包装码或单盒药品追溯码，即可迅速获取每一盒药品的追溯码信息。</w:t>
            </w:r>
          </w:p>
        </w:tc>
      </w:tr>
      <w:tr w14:paraId="5AAE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236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1.3.1.5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647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系统应支持直接扫描药品本身获取药品追溯码信息。</w:t>
            </w:r>
          </w:p>
        </w:tc>
      </w:tr>
      <w:tr w14:paraId="6D15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478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8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退货信息推送</w:t>
            </w:r>
          </w:p>
        </w:tc>
      </w:tr>
      <w:tr w14:paraId="34A1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CEA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1.3.2.1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30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系统应支持将退货的追溯码信息推送给HIS系统，核销医院追溯码信息库内对应药品追溯码，并同步到相关采购平台，确保退货药品信息可追溯。</w:t>
            </w:r>
          </w:p>
        </w:tc>
      </w:tr>
      <w:tr w14:paraId="6A9F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26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A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门（急）诊药房追溯码管理</w:t>
            </w:r>
          </w:p>
        </w:tc>
      </w:tr>
      <w:tr w14:paraId="0DD2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0B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DA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拆零库管理</w:t>
            </w:r>
          </w:p>
        </w:tc>
      </w:tr>
      <w:tr w14:paraId="388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B3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08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构建完善的药品拆零库功能模块，能够自动计算处方、医嘱中药品是否拆零，能够高效且精准地将成盒药品的唯一追溯码拆解为每个最小使用单位药品的独立追溯码，从而实现药品流通过程中的全程精准追踪，确保药品质量与安全的可追溯性。</w:t>
            </w:r>
          </w:p>
        </w:tc>
      </w:tr>
      <w:tr w14:paraId="253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83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D5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拆零库设置功能：系统应支持药师根据实际需求，按照药房及药品的具体维度灵活进行拆零库的设置操作，满足不同药房、不同药品种类的个性化拆零管理要求。</w:t>
            </w:r>
          </w:p>
        </w:tc>
      </w:tr>
      <w:tr w14:paraId="16E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A27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2.1.3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88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拆零操作：系统应具备便捷的追溯码拆零功能，药师能够轻松选择已经设置好的拆零库，快速启动追溯码拆零流程，将成盒药品的唯一追溯码准确拆解为拆零追溯码，确保每个最小使用单位药品均拥有独立且可追溯的标识，满足药品精细化管理与质量监管的需要。</w:t>
            </w:r>
          </w:p>
        </w:tc>
      </w:tr>
      <w:tr w14:paraId="52E3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88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ED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多处方合并</w:t>
            </w:r>
          </w:p>
        </w:tc>
      </w:tr>
      <w:tr w14:paraId="1123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FC2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36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系统应具备多处方识别与合并发药功能，精准识别患者多个处方条码或标签头信息。</w:t>
            </w:r>
          </w:p>
        </w:tc>
      </w:tr>
      <w:tr w14:paraId="215E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39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3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系统应通过智能算法自动关联整合同一患者的多个处方，实现一次性合并发药，提高发药效率，减轻药师工作负担，避免发药遗漏或错误，确保发药准确性和安全性。</w:t>
            </w:r>
          </w:p>
        </w:tc>
      </w:tr>
      <w:tr w14:paraId="5A29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83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8F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31D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7B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56D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系统应融合 PDA 设备与高拍仪，实现数据采集与处理的智能化，具备以下功能：过滤无效追溯码、整盒药品追溯码采集、拆零药品追溯码分配。</w:t>
            </w:r>
          </w:p>
        </w:tc>
      </w:tr>
      <w:tr w14:paraId="0845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2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19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过滤无效追溯码：系统应支持自动识别并过滤掉无追溯码的药品。</w:t>
            </w:r>
          </w:p>
        </w:tc>
      </w:tr>
      <w:tr w14:paraId="467F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2A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6C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整盒药品追溯码采集：系统应支持准确抓取整盒未拆封药品的追溯码。</w:t>
            </w:r>
          </w:p>
        </w:tc>
      </w:tr>
      <w:tr w14:paraId="4A40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20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2.3.4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3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药品追溯码分配：系统应支持根据处方发药剂量，自动识别拆零药品剂量，并根据拆零库的追溯码信息，自动为拆零部分药品分配追溯码，确保每个最小单元药品的精准追踪，提升管理效率与安全性，保证供应链透明及质量可控。</w:t>
            </w:r>
          </w:p>
        </w:tc>
      </w:tr>
      <w:tr w14:paraId="7526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1B2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CB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w:t>
            </w:r>
          </w:p>
        </w:tc>
      </w:tr>
      <w:tr w14:paraId="44DC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75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A4E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系统需具备全面且高效的药品安全性提醒与智能预警功能，以保障药品管理的安全性和可靠性，确保患者用药安全。</w:t>
            </w:r>
          </w:p>
        </w:tc>
      </w:tr>
      <w:tr w14:paraId="6E0C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449">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CE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当遇到过期药品的时候，系统应支持在药品追溯码扫码核发时提醒药品已过期，页面弹窗警示内容，并禁止核发。</w:t>
            </w:r>
          </w:p>
        </w:tc>
      </w:tr>
      <w:tr w14:paraId="555B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3B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E80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系统应支持能在多拿药、少拿药、错拿药、重复发药、条码异常、追溯码异常等场景下，弹窗预警内容，提示配方错误，并禁止核发操作。</w:t>
            </w:r>
          </w:p>
        </w:tc>
      </w:tr>
      <w:tr w14:paraId="4E78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70F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7F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系统供应支持不同患者条码同时进行扫码核发时，系统应提示条码错误预警，并禁止本次核发操作。</w:t>
            </w:r>
          </w:p>
        </w:tc>
      </w:tr>
      <w:tr w14:paraId="083D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BF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8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w:t>
            </w:r>
          </w:p>
        </w:tc>
      </w:tr>
      <w:tr w14:paraId="34F2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74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3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完成药品追溯码信息核验后，系统应自动将发药信息推送至医院信息管理系统（HIS），实现信息的实时同步，确保能够及时更新库存记录，提高药品发放流程的效率和准确性，确保药品管理的规范化和透明度，提升医院整体的运营效率和服务质量。</w:t>
            </w:r>
          </w:p>
        </w:tc>
      </w:tr>
      <w:tr w14:paraId="6C23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045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6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系统应支持将发药的基本信息（药品名称、数量等）推送给HIS系统。</w:t>
            </w:r>
          </w:p>
        </w:tc>
      </w:tr>
      <w:tr w14:paraId="7923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A1E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2.5.3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7D0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系统应支持将发药的追溯码信息推送给HIS系统。</w:t>
            </w:r>
          </w:p>
        </w:tc>
      </w:tr>
      <w:tr w14:paraId="3B6C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A0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3</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02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住院药房追溯码管理</w:t>
            </w:r>
          </w:p>
        </w:tc>
      </w:tr>
      <w:tr w14:paraId="6B8E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CB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48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拆零库管理</w:t>
            </w:r>
          </w:p>
        </w:tc>
      </w:tr>
      <w:tr w14:paraId="1EE3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7DC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3E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拆零库追溯码管理同门急诊药房追溯码管理</w:t>
            </w:r>
          </w:p>
        </w:tc>
      </w:tr>
      <w:tr w14:paraId="4E54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08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A5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w:t>
            </w:r>
          </w:p>
        </w:tc>
      </w:tr>
      <w:tr w14:paraId="7AEF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1C8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343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追溯码采集同门急诊药房追溯码管理。</w:t>
            </w:r>
          </w:p>
        </w:tc>
      </w:tr>
      <w:tr w14:paraId="58DC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4D7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3.2.2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395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有“先采集后上传”功能，确保上传至医保平台的结算明细与销售明细紧密关联，数据准确无误，有效支持医保结算业务的需求。</w:t>
            </w:r>
          </w:p>
        </w:tc>
      </w:tr>
      <w:tr w14:paraId="5D08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CFE">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C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w:t>
            </w:r>
          </w:p>
        </w:tc>
      </w:tr>
      <w:tr w14:paraId="5C58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5A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883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智能预警提醒同门急诊药房追溯码管理。</w:t>
            </w:r>
          </w:p>
        </w:tc>
      </w:tr>
      <w:tr w14:paraId="52A5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FC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B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w:t>
            </w:r>
          </w:p>
        </w:tc>
      </w:tr>
      <w:tr w14:paraId="00EF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85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0BC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一键推送同门急诊药房追溯码管理。</w:t>
            </w:r>
          </w:p>
        </w:tc>
      </w:tr>
      <w:tr w14:paraId="0809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C4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F7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出院带药追溯码管理</w:t>
            </w:r>
          </w:p>
        </w:tc>
      </w:tr>
      <w:tr w14:paraId="2383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3CE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BCD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系统能够对患者出院带药进行追溯码有效管理。</w:t>
            </w:r>
          </w:p>
        </w:tc>
      </w:tr>
      <w:tr w14:paraId="6B15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DF9C">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3.5.2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A4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出院带药的追溯码采集、发药信息核验、智能预警提示、一键推送等功能需求同药库入库追溯码管理系统。</w:t>
            </w:r>
          </w:p>
        </w:tc>
      </w:tr>
      <w:tr w14:paraId="76A9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CB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F2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静配中心追溯码管理</w:t>
            </w:r>
          </w:p>
        </w:tc>
      </w:tr>
      <w:tr w14:paraId="2330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0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C6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w:t>
            </w:r>
          </w:p>
        </w:tc>
      </w:tr>
      <w:tr w14:paraId="3507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D4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61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支持多维度拆零库设置，自动将整盒药品的追溯码信息拆分成最小单位的追溯码。完成药品赋码流程后，自动将药品的相关信息推送给 HIS 系统，实现信息的及时更新与同步。</w:t>
            </w:r>
          </w:p>
        </w:tc>
      </w:tr>
      <w:tr w14:paraId="3D36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68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358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w:t>
            </w:r>
          </w:p>
        </w:tc>
      </w:tr>
      <w:tr w14:paraId="0742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92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860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拆零库追溯码采集同住院药房追溯码管理。</w:t>
            </w:r>
          </w:p>
        </w:tc>
      </w:tr>
      <w:tr w14:paraId="0099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51F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74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追溯码匹配</w:t>
            </w:r>
          </w:p>
        </w:tc>
      </w:tr>
      <w:tr w14:paraId="55A1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79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F79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在药品收费流程完成后，系统自动为这些药品赋予唯一的追溯码，确保药品的流通和使用环节全程可追溯。</w:t>
            </w:r>
          </w:p>
        </w:tc>
      </w:tr>
      <w:tr w14:paraId="3E68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74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4.3.2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F2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系统需支持将药品追溯码跟瓶签进行绑定，通过系统自动为瓶签匹配拆零库中的追溯码。</w:t>
            </w:r>
          </w:p>
        </w:tc>
      </w:tr>
      <w:tr w14:paraId="3AF0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B8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4.4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1B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关于静配中心的追溯码采集、发药信息核验、智能预警提示、一键推送等功能需求同住院药房追溯码管理系统。</w:t>
            </w:r>
          </w:p>
        </w:tc>
      </w:tr>
      <w:tr w14:paraId="24AE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B8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A7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三级库追溯码管理</w:t>
            </w:r>
          </w:p>
        </w:tc>
      </w:tr>
      <w:tr w14:paraId="039B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26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1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w:t>
            </w:r>
          </w:p>
        </w:tc>
      </w:tr>
      <w:tr w14:paraId="409F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39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27A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系统需构建完善的药品拆零库功能模块，能够高效且精准地将成盒药品的唯一追溯码拆解为每个最小使用单位药品的独立追溯码，从而实现药品流通过程中的全程精准追踪，确保药品质量与安全的可追溯性。</w:t>
            </w:r>
          </w:p>
        </w:tc>
      </w:tr>
      <w:tr w14:paraId="2F86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DCD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FF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拆零库设置功能：系统应支持药师根据实际需求，按照药房及药品的具体维度灵活进行拆零库的设置操作，满足不同药房、不同药品种类的个性化拆零管理要求。</w:t>
            </w:r>
          </w:p>
        </w:tc>
      </w:tr>
      <w:tr w14:paraId="01E6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B3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7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拆零库追溯码采集</w:t>
            </w:r>
          </w:p>
        </w:tc>
      </w:tr>
      <w:tr w14:paraId="0671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D53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0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药房出库前追溯码采集</w:t>
            </w:r>
          </w:p>
        </w:tc>
      </w:tr>
      <w:tr w14:paraId="4D54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D8D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5.2.1.1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DB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系统需支持在药房向科室配送药品之前，药师使用PDA或高拍仪扫描药品包装上的追溯码，自动读取并存储信息。</w:t>
            </w:r>
          </w:p>
        </w:tc>
      </w:tr>
      <w:tr w14:paraId="409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6A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E1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外配药品、外借药品、义诊药品、抽检药品、科室备用药品、非联网出库药品、报损药品追溯码管理</w:t>
            </w:r>
          </w:p>
        </w:tc>
      </w:tr>
      <w:tr w14:paraId="5E07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02A2">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05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医院对患者委托配送商进行药品外配上门服务，如透析液，由配送企业直接配送上门，系统能提供外配药的追溯码采集上传方案。</w:t>
            </w:r>
          </w:p>
        </w:tc>
      </w:tr>
      <w:tr w14:paraId="2C8B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CAAA">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F7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提供外借药品的追溯码采集上传解决方案。</w:t>
            </w:r>
          </w:p>
        </w:tc>
      </w:tr>
      <w:tr w14:paraId="34BC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7C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DA6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提供义诊药品的追溯码采集上传解决方案。</w:t>
            </w:r>
          </w:p>
        </w:tc>
      </w:tr>
      <w:tr w14:paraId="1228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1A51">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52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提供抽检药品的追溯码采集上传解决方案。</w:t>
            </w:r>
          </w:p>
        </w:tc>
      </w:tr>
      <w:tr w14:paraId="11CB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6F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6.5</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F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提供科室备用药品追溯码采集上传解决方案。</w:t>
            </w:r>
          </w:p>
        </w:tc>
      </w:tr>
      <w:tr w14:paraId="470A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FE28">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6.6</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4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提供非联网出库药品追溯码采集上传解决方案。</w:t>
            </w:r>
          </w:p>
        </w:tc>
      </w:tr>
      <w:tr w14:paraId="3DC3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48B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6.7</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D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提供报损药品追溯码管理解决方案。</w:t>
            </w:r>
          </w:p>
        </w:tc>
      </w:tr>
      <w:tr w14:paraId="715C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D37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7</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8B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无追溯码药品管理</w:t>
            </w:r>
          </w:p>
        </w:tc>
      </w:tr>
      <w:tr w14:paraId="4009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AA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7.1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95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若药品无追溯码，支持在药品字典中新增无需追溯标识。</w:t>
            </w:r>
          </w:p>
        </w:tc>
      </w:tr>
      <w:tr w14:paraId="01E9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399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7.2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8D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若设置为无需追溯药品，则该药品即可支持无追溯码自动核发，并上传该药品追溯码信息至医保系统，确保上传率不受影响。</w:t>
            </w:r>
          </w:p>
        </w:tc>
      </w:tr>
      <w:tr w14:paraId="03A8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9C2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8</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9B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退药追溯码管理</w:t>
            </w:r>
          </w:p>
        </w:tc>
      </w:tr>
      <w:tr w14:paraId="6EE5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096">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8.1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F7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系统能够为门急诊、住院、静配各部门患者的退药进行追溯码管理。</w:t>
            </w:r>
          </w:p>
        </w:tc>
      </w:tr>
      <w:tr w14:paraId="01D2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C5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8.2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6F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关于退药追溯码的采集、智能预警提醒、一键推送等功能需求同门急诊药房追溯码管理系统。</w:t>
            </w:r>
          </w:p>
        </w:tc>
      </w:tr>
      <w:tr w14:paraId="5D30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4C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9</w:t>
            </w:r>
            <w:r>
              <w:rPr>
                <w:rFonts w:hint="eastAsia" w:asciiTheme="majorEastAsia" w:hAnsiTheme="majorEastAsia" w:eastAsiaTheme="majorEastAsia" w:cstheme="majorEastAsia"/>
                <w:color w:val="auto"/>
                <w:sz w:val="24"/>
                <w:szCs w:val="24"/>
                <w:highlight w:val="none"/>
                <w:lang w:val="en-US" w:eastAsia="zh-CN"/>
              </w:rPr>
              <w:t>★(包含本项全部)</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3A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报表管理</w:t>
            </w:r>
          </w:p>
        </w:tc>
      </w:tr>
      <w:tr w14:paraId="3350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BF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1C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支持数据报表统计功能，如可统计指定时间段内的系统接收到的总处方数量、药品数量总和及使用本系统识别到的药品追溯码条目等数据信息。</w:t>
            </w:r>
          </w:p>
        </w:tc>
      </w:tr>
      <w:tr w14:paraId="2406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0643">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2A5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支持实时查询和统计各药品追溯码上传情况。</w:t>
            </w:r>
          </w:p>
        </w:tc>
      </w:tr>
      <w:tr w14:paraId="5B0D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C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9.3</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8C1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系统应提供详细的拆零用药记录报表，支持展示拆零处方及对应的药品追溯码信息、批号、效期、生产日期、厂家、数量、发药人、发药信息等。</w:t>
            </w:r>
          </w:p>
        </w:tc>
      </w:tr>
      <w:tr w14:paraId="644A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75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9.4</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1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系统应支持展示完整的发药记录，包括处方信息及对应的药品追溯码、批号、效期、生产日期、厂家、数量、发药人和发药信息等。</w:t>
            </w:r>
          </w:p>
        </w:tc>
      </w:tr>
      <w:tr w14:paraId="6DDD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28D7">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10</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E3C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采购计划管理</w:t>
            </w:r>
          </w:p>
        </w:tc>
      </w:tr>
      <w:tr w14:paraId="77A5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02F">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10.1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33F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能够快速制定采购计划。系统支持药房、静配中心自动生成药品采购计划申请单，药房采购计划经核查审批后上传给药库，系统自动帮助药库将各药房的采购计划进行汇总，并根据配送公司进行药品分类，快速制定出药品采购计划。</w:t>
            </w:r>
          </w:p>
        </w:tc>
      </w:tr>
      <w:tr w14:paraId="6783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B84">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10.2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51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支持药品采购计划一键补传功能。即：系统支持医院药库在确认收货药品后，能自动将采购数据上传至安徽省医药集中采购平台。</w:t>
            </w:r>
          </w:p>
        </w:tc>
      </w:tr>
      <w:tr w14:paraId="3323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60AB">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A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中药饮片追溯码上传</w:t>
            </w:r>
          </w:p>
        </w:tc>
      </w:tr>
      <w:tr w14:paraId="652C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085">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11.1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2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支持安徽省中药饮片信息化追溯平台中药饮品追溯码，打通中药饮片接口平台，获取中药饮片收货追溯码数据进行收货入库，追溯码退货。</w:t>
            </w:r>
          </w:p>
        </w:tc>
      </w:tr>
      <w:tr w14:paraId="5560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460">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sz w:val="20"/>
                <w:szCs w:val="21"/>
                <w:u w:val="none"/>
              </w:rPr>
            </w:pPr>
            <w:r>
              <w:rPr>
                <w:rFonts w:hint="eastAsia" w:ascii="微软雅黑" w:hAnsi="仿宋" w:eastAsia="微软雅黑" w:cs="仿宋"/>
                <w:b/>
                <w:bCs/>
                <w:i w:val="0"/>
                <w:iCs w:val="0"/>
                <w:color w:val="000000"/>
                <w:kern w:val="0"/>
                <w:sz w:val="20"/>
                <w:szCs w:val="21"/>
                <w:u w:val="none"/>
                <w:lang w:val="en-US" w:eastAsia="zh-CN" w:bidi="ar"/>
              </w:rPr>
              <w:t>12</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E4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信息安全保障</w:t>
            </w:r>
          </w:p>
        </w:tc>
      </w:tr>
      <w:tr w14:paraId="2D8D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51D">
            <w:pPr>
              <w:keepNext w:val="0"/>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i w:val="0"/>
                <w:iCs w:val="0"/>
                <w:color w:val="000000"/>
                <w:sz w:val="20"/>
                <w:szCs w:val="21"/>
                <w:u w:val="none"/>
              </w:rPr>
            </w:pPr>
            <w:r>
              <w:rPr>
                <w:rFonts w:hint="eastAsia" w:ascii="微软雅黑" w:hAnsi="仿宋" w:eastAsia="微软雅黑" w:cs="仿宋"/>
                <w:i w:val="0"/>
                <w:iCs w:val="0"/>
                <w:color w:val="000000"/>
                <w:kern w:val="0"/>
                <w:sz w:val="20"/>
                <w:szCs w:val="21"/>
                <w:u w:val="none"/>
                <w:lang w:val="en-US" w:eastAsia="zh-CN" w:bidi="ar"/>
              </w:rPr>
              <w:t>12.1</w:t>
            </w:r>
          </w:p>
        </w:tc>
        <w:tc>
          <w:tcPr>
            <w:tcW w:w="7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271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具备在药品追溯码院内全流程管理在重要节点引入区块链技术，增强数据防篡改能力。</w:t>
            </w:r>
          </w:p>
        </w:tc>
      </w:tr>
    </w:tbl>
    <w:p w14:paraId="51C3065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rPr>
      </w:pPr>
    </w:p>
    <w:tbl>
      <w:tblPr>
        <w:tblStyle w:val="3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360"/>
        <w:gridCol w:w="899"/>
        <w:gridCol w:w="899"/>
      </w:tblGrid>
      <w:tr w14:paraId="418A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9" w:type="dxa"/>
            <w:vAlign w:val="center"/>
          </w:tcPr>
          <w:p w14:paraId="061DA815">
            <w:pPr>
              <w:keepNext/>
              <w:keepLines w:val="0"/>
              <w:widowControl/>
              <w:suppressLineNumbers w:val="0"/>
              <w:snapToGrid w:val="0"/>
              <w:ind w:left="0" w:leftChars="0" w:right="0" w:rightChars="0" w:firstLine="0" w:firstLineChars="0"/>
              <w:jc w:val="center"/>
              <w:textAlignment w:val="center"/>
              <w:rPr>
                <w:rFonts w:hint="eastAsia" w:ascii="微软雅黑" w:hAnsi="仿宋" w:eastAsia="微软雅黑" w:cs="仿宋"/>
                <w:b/>
                <w:bCs/>
                <w:i w:val="0"/>
                <w:iCs w:val="0"/>
                <w:color w:val="000000"/>
                <w:kern w:val="0"/>
                <w:sz w:val="28"/>
                <w:szCs w:val="21"/>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序号</w:t>
            </w:r>
          </w:p>
        </w:tc>
        <w:tc>
          <w:tcPr>
            <w:tcW w:w="6360" w:type="dxa"/>
            <w:vAlign w:val="center"/>
          </w:tcPr>
          <w:p w14:paraId="2F5CA73B">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8"/>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三、硬件技术参数</w:t>
            </w:r>
          </w:p>
        </w:tc>
        <w:tc>
          <w:tcPr>
            <w:tcW w:w="899" w:type="dxa"/>
            <w:vAlign w:val="center"/>
          </w:tcPr>
          <w:p w14:paraId="22D67F57">
            <w:pPr>
              <w:keepNext/>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kern w:val="0"/>
                <w:sz w:val="28"/>
                <w:szCs w:val="20"/>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899" w:type="dxa"/>
            <w:vAlign w:val="center"/>
          </w:tcPr>
          <w:p w14:paraId="08E55EAA">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最高限价</w:t>
            </w:r>
          </w:p>
        </w:tc>
      </w:tr>
      <w:tr w14:paraId="3E4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762F445A">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b/>
                <w:bCs/>
                <w:i w:val="0"/>
                <w:iCs w:val="0"/>
                <w:color w:val="000000"/>
                <w:kern w:val="0"/>
                <w:sz w:val="20"/>
                <w:szCs w:val="21"/>
                <w:u w:val="none"/>
                <w:lang w:val="en-US" w:eastAsia="zh-CN" w:bidi="ar"/>
              </w:rPr>
              <w:t>1</w:t>
            </w:r>
          </w:p>
        </w:tc>
        <w:tc>
          <w:tcPr>
            <w:tcW w:w="6360" w:type="dxa"/>
            <w:vAlign w:val="center"/>
          </w:tcPr>
          <w:p w14:paraId="4824D01C">
            <w:pPr>
              <w:keepNext/>
              <w:keepLines w:val="0"/>
              <w:widowControl/>
              <w:suppressLineNumbers w:val="0"/>
              <w:snapToGrid w:val="0"/>
              <w:ind w:left="0" w:leftChars="0" w:right="0" w:rightChars="0" w:firstLine="0" w:firstLineChars="0"/>
              <w:jc w:val="left"/>
              <w:textAlignment w:val="center"/>
              <w:rPr>
                <w:rFonts w:hint="default" w:ascii="微软雅黑" w:eastAsia="微软雅黑"/>
                <w:sz w:val="20"/>
                <w:vertAlign w:val="baseline"/>
                <w:lang w:val="en-US"/>
              </w:rPr>
            </w:pPr>
            <w:r>
              <w:rPr>
                <w:rFonts w:hint="eastAsia" w:ascii="微软雅黑" w:hAnsi="微软雅黑" w:eastAsia="微软雅黑" w:cs="微软雅黑"/>
                <w:b/>
                <w:bCs/>
                <w:i w:val="0"/>
                <w:iCs w:val="0"/>
                <w:color w:val="000000"/>
                <w:kern w:val="0"/>
                <w:sz w:val="20"/>
                <w:szCs w:val="20"/>
                <w:u w:val="none"/>
                <w:lang w:val="en-US" w:eastAsia="zh-CN" w:bidi="ar"/>
              </w:rPr>
              <w:t>配套硬件功能要求</w:t>
            </w:r>
          </w:p>
        </w:tc>
        <w:tc>
          <w:tcPr>
            <w:tcW w:w="899" w:type="dxa"/>
            <w:vAlign w:val="center"/>
          </w:tcPr>
          <w:p w14:paraId="5EF5466B">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b/>
                <w:bCs/>
                <w:i w:val="0"/>
                <w:iCs w:val="0"/>
                <w:color w:val="000000"/>
                <w:kern w:val="0"/>
                <w:sz w:val="20"/>
                <w:szCs w:val="20"/>
                <w:u w:val="none"/>
                <w:lang w:val="en-US" w:eastAsia="zh-CN" w:bidi="ar"/>
              </w:rPr>
              <w:t>项</w:t>
            </w:r>
          </w:p>
        </w:tc>
        <w:tc>
          <w:tcPr>
            <w:tcW w:w="899" w:type="dxa"/>
            <w:vAlign w:val="center"/>
          </w:tcPr>
          <w:p w14:paraId="1A86B50D">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元</w:t>
            </w:r>
          </w:p>
        </w:tc>
      </w:tr>
      <w:tr w14:paraId="4C2E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63EDFB68">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i w:val="0"/>
                <w:iCs w:val="0"/>
                <w:color w:val="000000"/>
                <w:kern w:val="0"/>
                <w:sz w:val="20"/>
                <w:szCs w:val="21"/>
                <w:u w:val="none"/>
                <w:lang w:val="en-US" w:eastAsia="zh-CN" w:bidi="ar"/>
              </w:rPr>
              <w:t>1.1</w:t>
            </w:r>
          </w:p>
        </w:tc>
        <w:tc>
          <w:tcPr>
            <w:tcW w:w="6360" w:type="dxa"/>
            <w:vAlign w:val="center"/>
          </w:tcPr>
          <w:p w14:paraId="59449E57">
            <w:pPr>
              <w:keepNext/>
              <w:keepLines w:val="0"/>
              <w:widowControl/>
              <w:suppressLineNumbers w:val="0"/>
              <w:snapToGrid w:val="0"/>
              <w:ind w:left="0" w:leftChars="0" w:right="0" w:rightChars="0" w:firstLine="0" w:firstLineChars="0"/>
              <w:jc w:val="left"/>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药品追溯扫码仪：5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采用CMOS接口光学镜头，更快捷采集追溯码信息；镜头像素≥600万；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具备批量解码功能，支持1D/2D码，解码速度≥80个/秒，单次扫描追溯码个数≥80个；</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支持至少USB和RJ45网口等多种连接方式；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适应win7/8/9/10等多种操作系统；</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可以在发药端或调配端自由切换使用。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2.采集设备附带电脑：</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处理器主频≥1.8GHz；内存≥8GB；存储≥256GB；显示屏：≥10.0英寸，高清≥1920×1080；电池容量≥5000mAh。</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3.如在质保期内发生故障免费更换。</w:t>
            </w:r>
          </w:p>
        </w:tc>
        <w:tc>
          <w:tcPr>
            <w:tcW w:w="899" w:type="dxa"/>
            <w:vAlign w:val="center"/>
          </w:tcPr>
          <w:p w14:paraId="42503C64">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99" w:type="dxa"/>
            <w:vAlign w:val="center"/>
          </w:tcPr>
          <w:p w14:paraId="16563029">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9500</w:t>
            </w:r>
          </w:p>
        </w:tc>
      </w:tr>
      <w:tr w14:paraId="5CB5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9" w:type="dxa"/>
            <w:vAlign w:val="center"/>
          </w:tcPr>
          <w:p w14:paraId="2E9BCA4B">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仿宋" w:eastAsia="微软雅黑" w:cs="仿宋"/>
                <w:i w:val="0"/>
                <w:iCs w:val="0"/>
                <w:color w:val="000000"/>
                <w:kern w:val="0"/>
                <w:sz w:val="20"/>
                <w:szCs w:val="21"/>
                <w:u w:val="none"/>
                <w:lang w:val="en-US" w:eastAsia="zh-CN" w:bidi="ar"/>
              </w:rPr>
              <w:t>1.2</w:t>
            </w:r>
          </w:p>
        </w:tc>
        <w:tc>
          <w:tcPr>
            <w:tcW w:w="6360" w:type="dxa"/>
            <w:vAlign w:val="center"/>
          </w:tcPr>
          <w:p w14:paraId="534CD877">
            <w:pPr>
              <w:keepNext/>
              <w:keepLines w:val="0"/>
              <w:widowControl/>
              <w:suppressLineNumbers w:val="0"/>
              <w:snapToGrid w:val="0"/>
              <w:ind w:left="0" w:leftChars="0" w:right="0" w:rightChars="0" w:firstLine="0" w:firstLineChars="0"/>
              <w:jc w:val="left"/>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手持PDA：2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1.操作系统：Android 14.0及以上，CPU为八核处理器及以上，主频≥2.0GHz；</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2.内存≥4GB，存储≥64GB；</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3.显示屏：尺寸≥5.5英寸，分辨率≥1280×720（高清）；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4.电池：可卸载式，容量≥5000mAh，一次充电正常工作时间≥5小时；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条码识别：支持一维码和二维码；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5.如在质保期内发生故障免费更换。</w:t>
            </w:r>
          </w:p>
        </w:tc>
        <w:tc>
          <w:tcPr>
            <w:tcW w:w="899" w:type="dxa"/>
            <w:vAlign w:val="center"/>
          </w:tcPr>
          <w:p w14:paraId="6F15C878">
            <w:pPr>
              <w:keepNext/>
              <w:keepLines w:val="0"/>
              <w:widowControl/>
              <w:suppressLineNumbers w:val="0"/>
              <w:snapToGrid w:val="0"/>
              <w:ind w:left="0" w:leftChars="0" w:right="0" w:rightChars="0" w:firstLine="0" w:firstLineChars="0"/>
              <w:jc w:val="center"/>
              <w:textAlignment w:val="center"/>
              <w:rPr>
                <w:rFonts w:hint="eastAsia" w:ascii="微软雅黑" w:eastAsia="微软雅黑"/>
                <w:sz w:val="20"/>
                <w:vertAlign w:val="baseli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899" w:type="dxa"/>
            <w:vAlign w:val="center"/>
          </w:tcPr>
          <w:p w14:paraId="7FB32D25">
            <w:pPr>
              <w:keepNext/>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2500</w:t>
            </w:r>
          </w:p>
        </w:tc>
      </w:tr>
    </w:tbl>
    <w:p w14:paraId="1BD77A5B">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sz w:val="28"/>
          <w:szCs w:val="28"/>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、项目管理要求</w:t>
      </w:r>
    </w:p>
    <w:p w14:paraId="715EA56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（一）项目实施进度要求</w:t>
      </w:r>
    </w:p>
    <w:p w14:paraId="5971F36D">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本项目主要建设医院药品批量追溯核对系统项目，项目建设周期预计为30天。</w:t>
      </w:r>
    </w:p>
    <w:p w14:paraId="13A7BE7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（二）项目工作小组</w:t>
      </w:r>
    </w:p>
    <w:p w14:paraId="2651603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供应商需要成立针对本项目工作组，并</w:t>
      </w:r>
      <w:r>
        <w:rPr>
          <w:rFonts w:hint="eastAsia" w:ascii="宋体" w:hAnsi="宋体" w:eastAsia="宋体" w:cs="宋体"/>
          <w:sz w:val="24"/>
          <w:szCs w:val="24"/>
          <w:lang w:val="en-US" w:eastAsia="zh-CN"/>
        </w:rPr>
        <w:t>供货前</w:t>
      </w:r>
      <w:r>
        <w:rPr>
          <w:rFonts w:hint="eastAsia" w:ascii="宋体" w:hAnsi="宋体" w:eastAsia="宋体" w:cs="宋体"/>
          <w:sz w:val="24"/>
          <w:szCs w:val="24"/>
        </w:rPr>
        <w:t>提供成员</w:t>
      </w:r>
      <w:r>
        <w:rPr>
          <w:rFonts w:hint="eastAsia" w:ascii="宋体" w:hAnsi="宋体" w:eastAsia="宋体" w:cs="宋体"/>
          <w:sz w:val="24"/>
          <w:szCs w:val="24"/>
          <w:lang w:val="en-US" w:eastAsia="zh-CN"/>
        </w:rPr>
        <w:t>名单</w:t>
      </w:r>
      <w:r>
        <w:rPr>
          <w:rFonts w:hint="eastAsia" w:ascii="宋体" w:hAnsi="宋体" w:eastAsia="宋体" w:cs="宋体"/>
          <w:sz w:val="24"/>
          <w:szCs w:val="24"/>
        </w:rPr>
        <w:t>，包括：</w:t>
      </w:r>
    </w:p>
    <w:p w14:paraId="4EF659A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1.项目经理：具有项目管理工作经历，并全权代表供应商执行各项技术及管理工作；</w:t>
      </w:r>
    </w:p>
    <w:p w14:paraId="5A5696A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2.项目实施人员：项目签约后，供应商保证须提供常驻项目实施人员在医院现场工作，直至项目实施、验收结束。</w:t>
      </w:r>
    </w:p>
    <w:p w14:paraId="0A0095C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3.项目管理与上线支持人员：系统上线期间，供应商保证须提供项目管理与上线支持人员。</w:t>
      </w:r>
    </w:p>
    <w:p w14:paraId="61F7342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4.系统运维人员：为保证平台的正常运行，系统上线后，供应商需指定专业人员对接医院技术问题，要求该人员具备分析、处理故障的能力。该人员需长期对本项目负责，如发生人员更换，需提前通知院方。</w:t>
      </w:r>
    </w:p>
    <w:p w14:paraId="3AEA71C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（三）文档资料管理</w:t>
      </w:r>
    </w:p>
    <w:p w14:paraId="4DB29F21">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1.文档是保证项目实施连贯性的重要保证，供应商需要提供完善的文档，并对项目进行过程中的文档进行有效的管理，接受采购人对项目各阶段评估分析和监督管理。</w:t>
      </w:r>
    </w:p>
    <w:p w14:paraId="2DDC0CF5">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2.整个项目的过程包括后期修改维护提供系统、完整的项目管理、设计和开发、操作说明等书面文档及其电子版。</w:t>
      </w:r>
    </w:p>
    <w:p w14:paraId="57C7BF3D">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sz w:val="28"/>
          <w:szCs w:val="28"/>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、到货及安装</w:t>
      </w:r>
    </w:p>
    <w:p w14:paraId="4744750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货物（含软件和硬件）运抵使用单位后，乙方在甲方要求的时间内派技术人员到达项目现场，并在甲方技术人员在场的情况下开箱清点货物，且负责设备/系统的免费安装、调试。乙方提供安装调试所需的工具、备件、消耗品，并进行操作试验，直至设备/系统运行正常。</w:t>
      </w:r>
    </w:p>
    <w:p w14:paraId="5B4C9237">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sz w:val="28"/>
          <w:szCs w:val="28"/>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、技术培训要求</w:t>
      </w:r>
    </w:p>
    <w:p w14:paraId="5DAC8E8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对本项目相关的具体人员进行专业的培训，技术培训分为课程培训和现场培训。</w:t>
      </w:r>
    </w:p>
    <w:p w14:paraId="4BACC2F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确保参培人员达到以下要求：</w:t>
      </w:r>
    </w:p>
    <w:p w14:paraId="0E44F2F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（1）维护人员经过培训后，可熟练使用应用系统软件，独立完成硬件日常维护工作，能够掌握系统运行情况以及及时排除系统故障。</w:t>
      </w:r>
    </w:p>
    <w:p w14:paraId="33575CF3">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b/>
          <w:bCs/>
          <w:sz w:val="28"/>
          <w:szCs w:val="28"/>
        </w:rPr>
      </w:pPr>
      <w:r>
        <w:rPr>
          <w:rFonts w:hint="eastAsia" w:ascii="宋体" w:hAnsi="宋体" w:eastAsia="宋体" w:cs="宋体"/>
          <w:sz w:val="24"/>
          <w:szCs w:val="24"/>
        </w:rPr>
        <w:t>（2）系统管理员经过培训后，可以掌握系统软件和应用软件的使用，熟悉系统整体结构，能够独立阅读分析并处理系统故障，管理系统设备。</w:t>
      </w:r>
    </w:p>
    <w:p w14:paraId="58C35B55">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4472C4" w:themeColor="accent5"/>
          <w:sz w:val="28"/>
          <w:szCs w:val="28"/>
          <w14:textFill>
            <w14:solidFill>
              <w14:schemeClr w14:val="accent5"/>
            </w14:solidFill>
          </w14:textFill>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、售后服务要求</w:t>
      </w:r>
    </w:p>
    <w:p w14:paraId="34FD0382">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质保</w:t>
      </w:r>
      <w:r>
        <w:rPr>
          <w:rFonts w:hint="eastAsia" w:ascii="宋体" w:hAnsi="宋体" w:eastAsia="宋体" w:cs="宋体"/>
          <w:sz w:val="24"/>
          <w:szCs w:val="24"/>
        </w:rPr>
        <w:t>期</w:t>
      </w:r>
    </w:p>
    <w:p w14:paraId="51504C41">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验收合格之日起提供3年系统软件及硬件的保修。保修期内所有硬件3年原厂保修，保修期内零配件应免费更换，原厂负责设备维修，需返厂维修的部件乙方负责提供符合要求的替代产品，运费由乙方负担。</w:t>
      </w:r>
    </w:p>
    <w:p w14:paraId="0F23E14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2.运维团队</w:t>
      </w:r>
    </w:p>
    <w:p w14:paraId="1CA2A2C9">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kern w:val="2"/>
          <w:sz w:val="28"/>
          <w:szCs w:val="28"/>
          <w:lang w:val="en-US" w:eastAsia="zh-CN" w:bidi="ar-SA"/>
        </w:rPr>
      </w:pPr>
      <w:r>
        <w:rPr>
          <w:rFonts w:hint="eastAsia" w:ascii="宋体" w:hAnsi="宋体" w:eastAsia="宋体" w:cs="宋体"/>
          <w:sz w:val="24"/>
          <w:szCs w:val="24"/>
          <w:lang w:val="en-US" w:eastAsia="zh-CN"/>
        </w:rPr>
        <w:t>响应方组建专业的保障团队，为医院药品批量追溯核对系统项目提供 7×24 小时响应服务需求。乙方提供保障团队的人员名单，联系电话，乙方保证，此保障团队能够提供 7×24 小时的包括主机、存储、网络、软件层面的维护保障服务。</w:t>
      </w:r>
    </w:p>
    <w:p w14:paraId="5D34A544">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kern w:val="2"/>
          <w:sz w:val="28"/>
          <w:szCs w:val="28"/>
          <w:lang w:val="en-US" w:eastAsia="zh-CN" w:bidi="ar-SA"/>
        </w:rPr>
      </w:pPr>
      <w:r>
        <w:rPr>
          <w:rFonts w:hint="eastAsia" w:ascii="宋体" w:hAnsi="宋体" w:eastAsia="宋体" w:cs="宋体"/>
          <w:b/>
          <w:bCs/>
          <w:color w:val="auto"/>
          <w:kern w:val="2"/>
          <w:sz w:val="24"/>
          <w:szCs w:val="24"/>
          <w:lang w:val="en-US" w:eastAsia="zh-CN" w:bidi="ar-SA"/>
        </w:rPr>
        <w:t>八、验收要求</w:t>
      </w:r>
    </w:p>
    <w:p w14:paraId="60DC8BD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（1）按照合同规定的时间提交产品，并在医院现场以双方认可的方式进行软件及硬件产品安装。</w:t>
      </w:r>
    </w:p>
    <w:p w14:paraId="580C2460">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rPr>
      </w:pPr>
      <w:r>
        <w:rPr>
          <w:rFonts w:hint="eastAsia" w:ascii="宋体" w:hAnsi="宋体" w:eastAsia="宋体" w:cs="宋体"/>
          <w:sz w:val="24"/>
          <w:szCs w:val="24"/>
        </w:rPr>
        <w:t>（2）软件产品实施按照合同计划进行，待系统在所有部门能够平稳运行后方进行验收。验收由医院相关人员按照采购需求条目进行考核。</w:t>
      </w:r>
    </w:p>
    <w:p w14:paraId="2DB60E6A">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仿宋" w:hAnsi="仿宋" w:eastAsia="仿宋" w:cs="仿宋"/>
          <w:color w:val="000000"/>
          <w:sz w:val="28"/>
          <w:szCs w:val="28"/>
        </w:rPr>
      </w:pPr>
      <w:r>
        <w:rPr>
          <w:rFonts w:hint="eastAsia" w:ascii="宋体" w:hAnsi="宋体" w:eastAsia="宋体" w:cs="宋体"/>
          <w:sz w:val="24"/>
          <w:szCs w:val="24"/>
        </w:rPr>
        <w:t>（3）项目验收时，供应商需提供下列技术资料文档资料及其电子版,如未完整提供则视为验收不合格：所购系统总体描述、设备手册指南、硬件设备清单、系统设备清单（硬件摆放位置、服务器IP地址、各服务器间所运行业务或用途、各服务器与其他系统交互的业务或接口）、系统和设备参数、系统操作手册、服务器账号及密码、数据库账号及密码、数据库表结构等。</w:t>
      </w:r>
    </w:p>
    <w:p w14:paraId="7006155F">
      <w:pPr>
        <w:keepNext w:val="0"/>
        <w:keepLines w:val="0"/>
        <w:pageBreakBefore w:val="0"/>
        <w:widowControl/>
        <w:kinsoku/>
        <w:wordWrap/>
        <w:overflowPunct/>
        <w:topLinePunct w:val="0"/>
        <w:autoSpaceDE/>
        <w:autoSpaceDN/>
        <w:bidi w:val="0"/>
        <w:snapToGrid/>
        <w:spacing w:line="360" w:lineRule="auto"/>
        <w:ind w:firstLine="420"/>
        <w:rPr>
          <w:rFonts w:hint="eastAsia" w:ascii="仿宋" w:hAnsi="仿宋" w:eastAsia="仿宋" w:cs="仿宋"/>
          <w:b/>
          <w:bCs/>
          <w:color w:val="000000"/>
          <w:sz w:val="28"/>
          <w:szCs w:val="28"/>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、报价要求</w:t>
      </w:r>
    </w:p>
    <w:p w14:paraId="4FFF4E4F">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本项目报价按照总价进行报价，包含所需定制开发软件及配套硬件设施设备费、系统安装费、培训费、系统部署建设费用、总包服务费、调试、检测验收、技术服务、系统升级、税金和约定期限内免费维保等一切为实现功能所需的软硬件及服务，医院不再支付其他关联费用。</w:t>
      </w:r>
    </w:p>
    <w:p w14:paraId="797707B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供应商承诺：</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与院内第三方系统免费对接（包含</w:t>
      </w:r>
      <w:r>
        <w:rPr>
          <w:rFonts w:hint="eastAsia" w:ascii="宋体" w:hAnsi="宋体" w:eastAsia="宋体" w:cs="宋体"/>
          <w:sz w:val="24"/>
          <w:szCs w:val="24"/>
          <w:lang w:eastAsia="zh-CN"/>
        </w:rPr>
        <w:t>所有软、硬件</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。采购人不再支付其他任何维护费用。</w:t>
      </w:r>
    </w:p>
    <w:p w14:paraId="763E4734">
      <w:pPr>
        <w:keepNext w:val="0"/>
        <w:keepLines w:val="0"/>
        <w:pageBreakBefore w:val="0"/>
        <w:kinsoku/>
        <w:wordWrap/>
        <w:overflowPunct/>
        <w:topLinePunct w:val="0"/>
        <w:autoSpaceDE/>
        <w:autoSpaceDN/>
        <w:bidi w:val="0"/>
        <w:adjustRightInd/>
        <w:snapToGrid/>
        <w:spacing w:line="360" w:lineRule="auto"/>
        <w:ind w:firstLine="42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供应商在报价时应考虑各种风险因素，相关风险因素费用包含在报价总价中。</w:t>
      </w:r>
    </w:p>
    <w:p w14:paraId="017A0FF4">
      <w:pPr>
        <w:keepNext w:val="0"/>
        <w:keepLines w:val="0"/>
        <w:pageBreakBefore w:val="0"/>
        <w:kinsoku/>
        <w:wordWrap/>
        <w:overflowPunct/>
        <w:topLinePunct w:val="0"/>
        <w:autoSpaceDE/>
        <w:autoSpaceDN/>
        <w:bidi w:val="0"/>
        <w:adjustRightInd/>
        <w:snapToGrid/>
        <w:spacing w:line="360" w:lineRule="auto"/>
        <w:ind w:firstLine="420" w:firstLineChars="0"/>
        <w:rPr>
          <w:rFonts w:hint="default" w:ascii="仿宋" w:hAnsi="仿宋" w:eastAsia="仿宋" w:cs="仿宋"/>
          <w:color w:val="000000"/>
          <w:sz w:val="28"/>
          <w:szCs w:val="28"/>
          <w:highlight w:val="none"/>
          <w:lang w:val="en-US" w:eastAsia="zh-CN"/>
        </w:rPr>
      </w:pPr>
      <w:r>
        <w:rPr>
          <w:rFonts w:hint="eastAsia" w:ascii="宋体" w:hAnsi="宋体" w:eastAsia="宋体" w:cs="宋体"/>
          <w:b/>
          <w:bCs/>
          <w:sz w:val="24"/>
          <w:szCs w:val="24"/>
          <w:lang w:val="en-US" w:eastAsia="zh-CN"/>
        </w:rPr>
        <w:t>4.本次报价只含软件系统，硬件单列报价做参考使用，不作为价格分评审项，后期硬件部分</w:t>
      </w:r>
      <w:r>
        <w:rPr>
          <w:rFonts w:hint="eastAsia" w:ascii="宋体" w:hAnsi="宋体" w:cs="宋体"/>
          <w:b/>
          <w:bCs/>
          <w:sz w:val="24"/>
          <w:szCs w:val="24"/>
          <w:lang w:val="en-US" w:eastAsia="zh-CN"/>
        </w:rPr>
        <w:t>根据需要</w:t>
      </w:r>
      <w:r>
        <w:rPr>
          <w:rFonts w:hint="eastAsia" w:ascii="宋体" w:hAnsi="宋体" w:eastAsia="宋体" w:cs="宋体"/>
          <w:b/>
          <w:bCs/>
          <w:sz w:val="24"/>
          <w:szCs w:val="24"/>
          <w:lang w:val="en-US" w:eastAsia="zh-CN"/>
        </w:rPr>
        <w:t>据实采购。</w:t>
      </w:r>
    </w:p>
    <w:p w14:paraId="68A4CAB9">
      <w:pPr>
        <w:pStyle w:val="2"/>
        <w:rPr>
          <w:rFonts w:hint="eastAsia"/>
        </w:rPr>
      </w:pPr>
    </w:p>
    <w:p w14:paraId="14C51B03">
      <w:pPr>
        <w:keepNext w:val="0"/>
        <w:keepLines w:val="0"/>
        <w:pageBreakBefore w:val="0"/>
        <w:kinsoku/>
        <w:wordWrap/>
        <w:overflowPunct/>
        <w:topLinePunct w:val="0"/>
        <w:autoSpaceDE/>
        <w:autoSpaceDN/>
        <w:bidi w:val="0"/>
        <w:adjustRightInd/>
        <w:snapToGrid/>
        <w:spacing w:line="360" w:lineRule="auto"/>
        <w:ind w:firstLine="420" w:firstLineChars="0"/>
        <w:rPr>
          <w:b/>
          <w:bCs/>
          <w:color w:val="auto"/>
        </w:rPr>
      </w:pPr>
      <w:r>
        <w:rPr>
          <w:rFonts w:hint="eastAsia" w:ascii="宋体" w:hAnsi="宋体" w:eastAsia="宋体" w:cs="宋体"/>
          <w:b/>
          <w:bCs/>
          <w:sz w:val="24"/>
          <w:szCs w:val="24"/>
          <w:lang w:val="en-US" w:eastAsia="zh-CN"/>
        </w:rPr>
        <w:t>注：标“★”为核心参数（评分项），且按要求提供相应证明材料；非标“★”参数必须完全响应，以供应商响应文件中“响应情况表”作为评审依据，不满足将被视为实质性不响应，将导致响应无效。</w:t>
      </w:r>
    </w:p>
    <w:p w14:paraId="79CC0DF4">
      <w:pPr>
        <w:pStyle w:val="4"/>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5" w:name="_Toc5000"/>
      <w:bookmarkStart w:id="86" w:name="_Toc27329"/>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5"/>
      <w:bookmarkEnd w:id="86"/>
    </w:p>
    <w:p w14:paraId="6A8B871E">
      <w:pPr>
        <w:spacing w:line="48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本次磋商采用百分制评分法</w:t>
      </w:r>
      <w:r>
        <w:rPr>
          <w:rFonts w:hint="eastAsia" w:ascii="宋体" w:hAnsi="宋体" w:cs="宋体"/>
          <w:sz w:val="24"/>
          <w:szCs w:val="24"/>
          <w:lang w:eastAsia="zh-CN"/>
        </w:rPr>
        <w:t>。</w:t>
      </w:r>
    </w:p>
    <w:p w14:paraId="795B04CE">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1、商务（报价）权重</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0 </w:t>
      </w:r>
      <w:r>
        <w:rPr>
          <w:rFonts w:hint="eastAsia" w:ascii="宋体" w:hAnsi="宋体" w:cs="宋体"/>
          <w:sz w:val="24"/>
          <w:szCs w:val="24"/>
        </w:rPr>
        <w:t>%，经评审满足磋商文件要求且经评审合理报价最低 的供应商的价格为磋商基准价，其价格为满分，得</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0 </w:t>
      </w:r>
      <w:r>
        <w:rPr>
          <w:rFonts w:hint="eastAsia" w:ascii="宋体" w:hAnsi="宋体" w:cs="宋体"/>
          <w:sz w:val="24"/>
          <w:szCs w:val="24"/>
        </w:rPr>
        <w:t>分。其他供应商的价格分统一按照下列公式计算：</w:t>
      </w:r>
    </w:p>
    <w:p w14:paraId="33A8AB24">
      <w:pPr>
        <w:spacing w:line="480" w:lineRule="exact"/>
        <w:ind w:firstLine="480" w:firstLineChars="200"/>
        <w:jc w:val="left"/>
        <w:rPr>
          <w:rFonts w:hint="eastAsia"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3</w:t>
      </w:r>
      <w:r>
        <w:rPr>
          <w:rFonts w:hint="eastAsia" w:ascii="宋体" w:hAnsi="宋体" w:cs="宋体"/>
          <w:sz w:val="24"/>
          <w:szCs w:val="24"/>
        </w:rPr>
        <w:t>0%×100。</w:t>
      </w:r>
    </w:p>
    <w:p w14:paraId="60E2E8A2">
      <w:pPr>
        <w:spacing w:line="480" w:lineRule="exact"/>
        <w:ind w:firstLine="480" w:firstLineChars="200"/>
        <w:jc w:val="left"/>
        <w:rPr>
          <w:rFonts w:ascii="宋体" w:hAnsi="宋体" w:cs="宋体"/>
          <w:sz w:val="24"/>
          <w:szCs w:val="24"/>
        </w:rPr>
      </w:pPr>
      <w:r>
        <w:rPr>
          <w:rFonts w:hint="eastAsia" w:ascii="宋体" w:hAnsi="宋体" w:cs="宋体"/>
          <w:sz w:val="24"/>
          <w:szCs w:val="24"/>
        </w:rPr>
        <w:t>注：超过最高限价的或者低于项目成本价的磋商报价为无效报价，按废标处理。</w:t>
      </w:r>
    </w:p>
    <w:p w14:paraId="734B2A1D">
      <w:pPr>
        <w:pStyle w:val="12"/>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3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023F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3054245F">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08F9680E">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1F545016">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0FA81390">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分值范围</w:t>
            </w:r>
          </w:p>
        </w:tc>
      </w:tr>
      <w:tr w14:paraId="7BA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77005FAC">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技术标分</w:t>
            </w:r>
          </w:p>
          <w:p w14:paraId="37A29E27">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70</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分）</w:t>
            </w:r>
          </w:p>
        </w:tc>
        <w:tc>
          <w:tcPr>
            <w:tcW w:w="1074" w:type="dxa"/>
            <w:tcBorders>
              <w:top w:val="single" w:color="auto" w:sz="4" w:space="0"/>
              <w:left w:val="single" w:color="auto" w:sz="4" w:space="0"/>
              <w:right w:val="single" w:color="auto" w:sz="4" w:space="0"/>
            </w:tcBorders>
            <w:vAlign w:val="center"/>
          </w:tcPr>
          <w:p w14:paraId="4B81EAB6">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综合服务实力</w:t>
            </w:r>
          </w:p>
          <w:p w14:paraId="57175B2E">
            <w:pPr>
              <w:pStyle w:val="2"/>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（6分）</w:t>
            </w:r>
          </w:p>
          <w:p w14:paraId="34957C38">
            <w:pPr>
              <w:pStyle w:val="2"/>
              <w:rPr>
                <w:rFonts w:hint="eastAsia" w:asciiTheme="majorEastAsia" w:hAnsiTheme="majorEastAsia" w:eastAsiaTheme="majorEastAsia" w:cstheme="majorEastAsia"/>
                <w:bCs/>
                <w:color w:val="000000"/>
                <w:sz w:val="24"/>
                <w:szCs w:val="24"/>
                <w:highlight w:val="none"/>
                <w:lang w:val="en-US" w:eastAsia="zh-CN"/>
              </w:rPr>
            </w:pPr>
          </w:p>
        </w:tc>
        <w:tc>
          <w:tcPr>
            <w:tcW w:w="6369" w:type="dxa"/>
            <w:tcBorders>
              <w:top w:val="single" w:color="auto" w:sz="4" w:space="0"/>
              <w:left w:val="single" w:color="auto" w:sz="4" w:space="0"/>
              <w:right w:val="single" w:color="auto" w:sz="4" w:space="0"/>
            </w:tcBorders>
            <w:vAlign w:val="center"/>
          </w:tcPr>
          <w:p w14:paraId="2097B536">
            <w:pPr>
              <w:jc w:val="both"/>
              <w:rPr>
                <w:rFonts w:hint="eastAsia" w:asciiTheme="majorEastAsia" w:hAnsiTheme="majorEastAsia" w:eastAsiaTheme="majorEastAsia" w:cstheme="majorEastAsia"/>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供应商</w:t>
            </w:r>
            <w:r>
              <w:rPr>
                <w:rFonts w:hint="eastAsia" w:asciiTheme="majorEastAsia" w:hAnsiTheme="majorEastAsia" w:eastAsiaTheme="majorEastAsia" w:cstheme="majorEastAsia"/>
                <w:sz w:val="24"/>
                <w:szCs w:val="24"/>
                <w:highlight w:val="none"/>
                <w:vertAlign w:val="baseline"/>
              </w:rPr>
              <w:t>具有经中国国家认证认可监督管理委员会认证机构颁发的有效的下列证书，每提供一个得</w:t>
            </w:r>
            <w:r>
              <w:rPr>
                <w:rFonts w:hint="eastAsia" w:asciiTheme="majorEastAsia" w:hAnsiTheme="majorEastAsia" w:eastAsiaTheme="majorEastAsia" w:cstheme="majorEastAsia"/>
                <w:sz w:val="24"/>
                <w:szCs w:val="24"/>
                <w:highlight w:val="none"/>
                <w:vertAlign w:val="baseline"/>
                <w:lang w:val="en-US" w:eastAsia="zh-CN"/>
              </w:rPr>
              <w:t>2</w:t>
            </w:r>
            <w:r>
              <w:rPr>
                <w:rFonts w:hint="eastAsia" w:asciiTheme="majorEastAsia" w:hAnsiTheme="majorEastAsia" w:eastAsiaTheme="majorEastAsia" w:cstheme="majorEastAsia"/>
                <w:sz w:val="24"/>
                <w:szCs w:val="24"/>
                <w:highlight w:val="none"/>
                <w:vertAlign w:val="baseline"/>
              </w:rPr>
              <w:t>分，满分</w:t>
            </w:r>
            <w:r>
              <w:rPr>
                <w:rFonts w:hint="eastAsia" w:asciiTheme="majorEastAsia" w:hAnsiTheme="majorEastAsia" w:eastAsiaTheme="majorEastAsia" w:cstheme="majorEastAsia"/>
                <w:sz w:val="24"/>
                <w:szCs w:val="24"/>
                <w:highlight w:val="none"/>
                <w:vertAlign w:val="baseline"/>
                <w:lang w:val="en-US" w:eastAsia="zh-CN"/>
              </w:rPr>
              <w:t>6</w:t>
            </w:r>
            <w:r>
              <w:rPr>
                <w:rFonts w:hint="eastAsia" w:asciiTheme="majorEastAsia" w:hAnsiTheme="majorEastAsia" w:eastAsiaTheme="majorEastAsia" w:cstheme="majorEastAsia"/>
                <w:sz w:val="24"/>
                <w:szCs w:val="24"/>
                <w:highlight w:val="none"/>
                <w:vertAlign w:val="baseline"/>
              </w:rPr>
              <w:t>分。</w:t>
            </w:r>
          </w:p>
          <w:p w14:paraId="2B9B0221">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1</w:t>
            </w:r>
            <w:r>
              <w:rPr>
                <w:rFonts w:hint="eastAsia" w:asciiTheme="majorEastAsia" w:hAnsiTheme="majorEastAsia" w:eastAsiaTheme="majorEastAsia" w:cstheme="majorEastAsia"/>
                <w:color w:val="auto"/>
                <w:sz w:val="24"/>
                <w:szCs w:val="24"/>
                <w:highlight w:val="none"/>
                <w:vertAlign w:val="baseline"/>
              </w:rPr>
              <w:t>、ISO27001信息安全管理体系认证证书；</w:t>
            </w:r>
          </w:p>
          <w:p w14:paraId="134B9A0E">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2</w:t>
            </w:r>
            <w:r>
              <w:rPr>
                <w:rFonts w:hint="eastAsia" w:asciiTheme="majorEastAsia" w:hAnsiTheme="majorEastAsia" w:eastAsiaTheme="majorEastAsia" w:cstheme="majorEastAsia"/>
                <w:color w:val="auto"/>
                <w:sz w:val="24"/>
                <w:szCs w:val="24"/>
                <w:highlight w:val="none"/>
                <w:vertAlign w:val="baseline"/>
              </w:rPr>
              <w:t>、ISO22301业务连续性管理体系认证证书；</w:t>
            </w:r>
          </w:p>
          <w:p w14:paraId="57BDDAB6">
            <w:pPr>
              <w:jc w:val="both"/>
              <w:rPr>
                <w:rFonts w:hint="eastAsia" w:asciiTheme="majorEastAsia" w:hAnsiTheme="majorEastAsia" w:eastAsiaTheme="majorEastAsia" w:cstheme="majorEastAsia"/>
                <w:color w:val="auto"/>
                <w:sz w:val="24"/>
                <w:szCs w:val="24"/>
                <w:highlight w:val="none"/>
                <w:vertAlign w:val="baseline"/>
              </w:rPr>
            </w:pPr>
            <w:r>
              <w:rPr>
                <w:rFonts w:hint="eastAsia" w:asciiTheme="majorEastAsia" w:hAnsiTheme="majorEastAsia" w:eastAsiaTheme="majorEastAsia" w:cstheme="majorEastAsia"/>
                <w:color w:val="auto"/>
                <w:sz w:val="24"/>
                <w:szCs w:val="24"/>
                <w:highlight w:val="none"/>
                <w:vertAlign w:val="baseline"/>
                <w:lang w:val="en-US" w:eastAsia="zh-CN"/>
              </w:rPr>
              <w:t>3</w:t>
            </w:r>
            <w:r>
              <w:rPr>
                <w:rFonts w:hint="eastAsia" w:asciiTheme="majorEastAsia" w:hAnsiTheme="majorEastAsia" w:eastAsiaTheme="majorEastAsia" w:cstheme="majorEastAsia"/>
                <w:color w:val="auto"/>
                <w:sz w:val="24"/>
                <w:szCs w:val="24"/>
                <w:highlight w:val="none"/>
                <w:vertAlign w:val="baseline"/>
              </w:rPr>
              <w:t>、ISO20000信息技术服务管理体系认证证书；</w:t>
            </w:r>
          </w:p>
          <w:p w14:paraId="2D9FBF46">
            <w:pPr>
              <w:jc w:val="both"/>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rPr>
              <w:t>注：</w:t>
            </w:r>
            <w:r>
              <w:rPr>
                <w:rFonts w:hint="eastAsia" w:asciiTheme="majorEastAsia" w:hAnsiTheme="majorEastAsia" w:eastAsiaTheme="majorEastAsia" w:cstheme="majorEastAsia"/>
                <w:sz w:val="24"/>
                <w:szCs w:val="24"/>
                <w:highlight w:val="none"/>
                <w:vertAlign w:val="baseline"/>
                <w:lang w:val="en-US" w:eastAsia="zh-CN"/>
              </w:rPr>
              <w:t>响应文件中</w:t>
            </w:r>
            <w:r>
              <w:rPr>
                <w:rFonts w:hint="eastAsia" w:asciiTheme="majorEastAsia" w:hAnsiTheme="majorEastAsia" w:eastAsiaTheme="majorEastAsia" w:cstheme="majorEastAsia"/>
                <w:sz w:val="24"/>
                <w:szCs w:val="24"/>
                <w:highlight w:val="none"/>
                <w:vertAlign w:val="baseline"/>
              </w:rPr>
              <w:t>提供证书扫描件及全国认证认可信息公共服务平台官网证书信息查询截图，未提供或提供不全的不得分。</w:t>
            </w:r>
          </w:p>
        </w:tc>
        <w:tc>
          <w:tcPr>
            <w:tcW w:w="653" w:type="dxa"/>
            <w:tcBorders>
              <w:top w:val="single" w:color="auto" w:sz="4" w:space="0"/>
              <w:left w:val="single" w:color="auto" w:sz="4" w:space="0"/>
              <w:right w:val="single" w:color="auto" w:sz="4" w:space="0"/>
            </w:tcBorders>
            <w:vAlign w:val="center"/>
          </w:tcPr>
          <w:p w14:paraId="03B2CD40">
            <w:pPr>
              <w:jc w:val="center"/>
              <w:rPr>
                <w:rFonts w:hint="eastAsia" w:asciiTheme="majorEastAsia" w:hAnsiTheme="majorEastAsia" w:eastAsiaTheme="majorEastAsia" w:cstheme="majorEastAsia"/>
                <w:b w:val="0"/>
                <w:bCs/>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0-6分</w:t>
            </w:r>
          </w:p>
        </w:tc>
      </w:tr>
      <w:tr w14:paraId="378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continue"/>
            <w:tcBorders>
              <w:left w:val="single" w:color="auto" w:sz="4" w:space="0"/>
              <w:right w:val="single" w:color="auto" w:sz="4" w:space="0"/>
            </w:tcBorders>
            <w:vAlign w:val="center"/>
          </w:tcPr>
          <w:p w14:paraId="65031873">
            <w:pPr>
              <w:spacing w:line="400" w:lineRule="exact"/>
              <w:jc w:val="center"/>
              <w:rPr>
                <w:rFonts w:hint="eastAsia" w:asciiTheme="majorEastAsia" w:hAnsiTheme="majorEastAsia" w:eastAsiaTheme="majorEastAsia" w:cstheme="majorEastAsia"/>
                <w:sz w:val="24"/>
                <w:szCs w:val="24"/>
              </w:rPr>
            </w:pPr>
          </w:p>
        </w:tc>
        <w:tc>
          <w:tcPr>
            <w:tcW w:w="1074" w:type="dxa"/>
            <w:tcBorders>
              <w:top w:val="single" w:color="auto" w:sz="4" w:space="0"/>
              <w:left w:val="single" w:color="auto" w:sz="4" w:space="0"/>
              <w:right w:val="single" w:color="auto" w:sz="4" w:space="0"/>
            </w:tcBorders>
            <w:vAlign w:val="center"/>
          </w:tcPr>
          <w:p w14:paraId="24F57ED0">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服务业绩</w:t>
            </w:r>
          </w:p>
          <w:p w14:paraId="38D4B2BF">
            <w:pPr>
              <w:jc w:val="center"/>
              <w:rPr>
                <w:rFonts w:hint="eastAsia" w:asciiTheme="majorEastAsia" w:hAnsiTheme="majorEastAsia" w:eastAsiaTheme="majorEastAsia" w:cstheme="majorEastAsia"/>
                <w:bCs/>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（6分）</w:t>
            </w:r>
          </w:p>
        </w:tc>
        <w:tc>
          <w:tcPr>
            <w:tcW w:w="6369" w:type="dxa"/>
            <w:tcBorders>
              <w:top w:val="single" w:color="auto" w:sz="4" w:space="0"/>
              <w:left w:val="single" w:color="auto" w:sz="4" w:space="0"/>
              <w:right w:val="single" w:color="auto" w:sz="4" w:space="0"/>
            </w:tcBorders>
            <w:vAlign w:val="center"/>
          </w:tcPr>
          <w:p w14:paraId="50C1D778">
            <w:pPr>
              <w:jc w:val="both"/>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供应商</w:t>
            </w:r>
            <w:r>
              <w:rPr>
                <w:rFonts w:hint="eastAsia" w:asciiTheme="majorEastAsia" w:hAnsiTheme="majorEastAsia" w:eastAsiaTheme="majorEastAsia" w:cstheme="majorEastAsia"/>
                <w:sz w:val="24"/>
                <w:szCs w:val="24"/>
                <w:highlight w:val="none"/>
                <w:vertAlign w:val="baseline"/>
              </w:rPr>
              <w:t>具有</w:t>
            </w:r>
            <w:r>
              <w:rPr>
                <w:rFonts w:hint="eastAsia" w:asciiTheme="majorEastAsia" w:hAnsiTheme="majorEastAsia" w:eastAsiaTheme="majorEastAsia" w:cstheme="majorEastAsia"/>
                <w:sz w:val="24"/>
                <w:szCs w:val="24"/>
                <w:highlight w:val="none"/>
                <w:vertAlign w:val="baseline"/>
                <w:lang w:val="en-US" w:eastAsia="zh-CN"/>
              </w:rPr>
              <w:t>同等级医院</w:t>
            </w:r>
            <w:r>
              <w:rPr>
                <w:rFonts w:hint="eastAsia" w:asciiTheme="majorEastAsia" w:hAnsiTheme="majorEastAsia" w:eastAsiaTheme="majorEastAsia" w:cstheme="majorEastAsia"/>
                <w:sz w:val="24"/>
                <w:szCs w:val="24"/>
                <w:highlight w:val="none"/>
                <w:vertAlign w:val="baseline"/>
              </w:rPr>
              <w:t>类似追溯码相关产品或服务项目业绩</w:t>
            </w:r>
            <w:r>
              <w:rPr>
                <w:rFonts w:hint="eastAsia" w:asciiTheme="majorEastAsia" w:hAnsiTheme="majorEastAsia" w:eastAsiaTheme="majorEastAsia" w:cstheme="majorEastAsia"/>
                <w:sz w:val="24"/>
                <w:szCs w:val="24"/>
                <w:highlight w:val="none"/>
                <w:vertAlign w:val="baseline"/>
                <w:lang w:eastAsia="zh-CN"/>
              </w:rPr>
              <w:t>的，</w:t>
            </w:r>
            <w:r>
              <w:rPr>
                <w:rFonts w:hint="eastAsia" w:asciiTheme="majorEastAsia" w:hAnsiTheme="majorEastAsia" w:eastAsiaTheme="majorEastAsia" w:cstheme="majorEastAsia"/>
                <w:sz w:val="24"/>
                <w:szCs w:val="24"/>
                <w:highlight w:val="none"/>
                <w:vertAlign w:val="baseline"/>
                <w:lang w:val="en-US" w:eastAsia="zh-CN"/>
              </w:rPr>
              <w:t>每提供1个得3分，</w:t>
            </w:r>
            <w:r>
              <w:rPr>
                <w:rFonts w:hint="eastAsia" w:asciiTheme="majorEastAsia" w:hAnsiTheme="majorEastAsia" w:eastAsiaTheme="majorEastAsia" w:cstheme="majorEastAsia"/>
                <w:sz w:val="24"/>
                <w:szCs w:val="24"/>
                <w:highlight w:val="none"/>
                <w:vertAlign w:val="baseline"/>
              </w:rPr>
              <w:t>满分</w:t>
            </w:r>
            <w:r>
              <w:rPr>
                <w:rFonts w:hint="eastAsia" w:asciiTheme="majorEastAsia" w:hAnsiTheme="majorEastAsia" w:eastAsiaTheme="majorEastAsia" w:cstheme="majorEastAsia"/>
                <w:sz w:val="24"/>
                <w:szCs w:val="24"/>
                <w:highlight w:val="none"/>
                <w:vertAlign w:val="baseline"/>
                <w:lang w:val="en-US" w:eastAsia="zh-CN"/>
              </w:rPr>
              <w:t>6</w:t>
            </w:r>
            <w:r>
              <w:rPr>
                <w:rFonts w:hint="eastAsia" w:asciiTheme="majorEastAsia" w:hAnsiTheme="majorEastAsia" w:eastAsiaTheme="majorEastAsia" w:cstheme="majorEastAsia"/>
                <w:sz w:val="24"/>
                <w:szCs w:val="24"/>
                <w:highlight w:val="none"/>
                <w:vertAlign w:val="baseline"/>
              </w:rPr>
              <w:t>分。</w:t>
            </w:r>
          </w:p>
          <w:p w14:paraId="14B6C688">
            <w:pPr>
              <w:jc w:val="both"/>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sz w:val="24"/>
                <w:szCs w:val="24"/>
                <w:highlight w:val="none"/>
                <w:vertAlign w:val="baseline"/>
              </w:rPr>
              <w:t>注：①响应文件中提供业绩合同</w:t>
            </w:r>
            <w:r>
              <w:rPr>
                <w:rFonts w:hint="eastAsia" w:asciiTheme="majorEastAsia" w:hAnsiTheme="majorEastAsia" w:eastAsiaTheme="majorEastAsia" w:cstheme="majorEastAsia"/>
                <w:sz w:val="24"/>
                <w:szCs w:val="24"/>
                <w:highlight w:val="none"/>
                <w:vertAlign w:val="baseline"/>
                <w:lang w:eastAsia="zh-CN"/>
              </w:rPr>
              <w:t>。</w:t>
            </w:r>
            <w:r>
              <w:rPr>
                <w:rFonts w:hint="eastAsia" w:ascii="宋体" w:hAnsi="宋体"/>
                <w:b w:val="0"/>
                <w:bCs w:val="0"/>
                <w:sz w:val="24"/>
                <w:szCs w:val="24"/>
                <w:lang w:val="en-US" w:eastAsia="zh-CN"/>
              </w:rPr>
              <w:t>如合同文本未能清晰反映相关评审要素的，应同时提供由合同甲方出具并加盖公章的有效证明文件。正在履行或已履行完毕的业绩均可作为有效业绩。</w:t>
            </w:r>
            <w:r>
              <w:rPr>
                <w:rFonts w:hint="eastAsia" w:asciiTheme="majorEastAsia" w:hAnsiTheme="majorEastAsia" w:eastAsiaTheme="majorEastAsia" w:cstheme="majorEastAsia"/>
                <w:sz w:val="24"/>
                <w:szCs w:val="24"/>
                <w:highlight w:val="none"/>
                <w:vertAlign w:val="baseline"/>
              </w:rPr>
              <w:t>②</w:t>
            </w:r>
            <w:r>
              <w:rPr>
                <w:rFonts w:hint="eastAsia" w:asciiTheme="majorEastAsia" w:hAnsiTheme="majorEastAsia" w:eastAsiaTheme="majorEastAsia" w:cstheme="majorEastAsia"/>
                <w:sz w:val="24"/>
                <w:szCs w:val="24"/>
                <w:highlight w:val="none"/>
                <w:vertAlign w:val="baseline"/>
                <w:lang w:val="en-US" w:eastAsia="zh-CN"/>
              </w:rPr>
              <w:t>提供医院等级证明材料（医院官方网站截图）。</w:t>
            </w:r>
          </w:p>
        </w:tc>
        <w:tc>
          <w:tcPr>
            <w:tcW w:w="653" w:type="dxa"/>
            <w:tcBorders>
              <w:top w:val="single" w:color="auto" w:sz="4" w:space="0"/>
              <w:left w:val="single" w:color="auto" w:sz="4" w:space="0"/>
              <w:right w:val="single" w:color="auto" w:sz="4" w:space="0"/>
            </w:tcBorders>
            <w:vAlign w:val="center"/>
          </w:tcPr>
          <w:p w14:paraId="0BD61325">
            <w:pPr>
              <w:jc w:val="center"/>
              <w:rPr>
                <w:rFonts w:hint="eastAsia" w:asciiTheme="majorEastAsia" w:hAnsiTheme="majorEastAsia" w:eastAsiaTheme="majorEastAsia" w:cstheme="majorEastAsia"/>
                <w:b/>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0-6分</w:t>
            </w:r>
          </w:p>
        </w:tc>
      </w:tr>
      <w:tr w14:paraId="3994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7F016AD2">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0F1450DC">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技术规格参数响应（28分）</w:t>
            </w:r>
          </w:p>
        </w:tc>
        <w:tc>
          <w:tcPr>
            <w:tcW w:w="6369" w:type="dxa"/>
            <w:tcBorders>
              <w:top w:val="single" w:color="auto" w:sz="4" w:space="0"/>
              <w:left w:val="single" w:color="auto" w:sz="4" w:space="0"/>
              <w:bottom w:val="single" w:color="auto" w:sz="4" w:space="0"/>
              <w:right w:val="single" w:color="auto" w:sz="4" w:space="0"/>
            </w:tcBorders>
            <w:vAlign w:val="center"/>
          </w:tcPr>
          <w:p w14:paraId="51F026AB">
            <w:pPr>
              <w:jc w:val="both"/>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采购需求中标注“★”项（共 7 项）为核心参数要求，其中每满足一项得 4 分，满分 28 分。</w:t>
            </w:r>
          </w:p>
          <w:p w14:paraId="3F5EACB8">
            <w:pPr>
              <w:jc w:val="both"/>
              <w:rPr>
                <w:rFonts w:hint="eastAsia" w:asciiTheme="majorEastAsia" w:hAnsiTheme="majorEastAsia" w:eastAsiaTheme="majorEastAsia" w:cstheme="majorEastAsia"/>
                <w:color w:val="C00000"/>
                <w:sz w:val="24"/>
                <w:szCs w:val="24"/>
                <w:highlight w:val="none"/>
                <w:lang w:val="en-US" w:eastAsia="zh-CN"/>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注：需要提供对应的相应证明材料，否则不得分。</w:t>
            </w:r>
          </w:p>
        </w:tc>
        <w:tc>
          <w:tcPr>
            <w:tcW w:w="653" w:type="dxa"/>
            <w:tcBorders>
              <w:top w:val="single" w:color="auto" w:sz="4" w:space="0"/>
              <w:left w:val="single" w:color="auto" w:sz="4" w:space="0"/>
              <w:bottom w:val="single" w:color="auto" w:sz="4" w:space="0"/>
              <w:right w:val="single" w:color="auto" w:sz="4" w:space="0"/>
            </w:tcBorders>
            <w:vAlign w:val="center"/>
          </w:tcPr>
          <w:p w14:paraId="54E4A2DE">
            <w:pPr>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vertAlign w:val="baseline"/>
                <w:lang w:val="en-US" w:eastAsia="zh-CN"/>
              </w:rPr>
              <w:t>0-28分</w:t>
            </w:r>
          </w:p>
        </w:tc>
      </w:tr>
      <w:tr w14:paraId="0526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5AA7D2A6">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5D9C5D19">
            <w:pPr>
              <w:jc w:val="center"/>
              <w:rPr>
                <w:rFonts w:hint="default"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硬件响应技术参数(7分)</w:t>
            </w:r>
          </w:p>
        </w:tc>
        <w:tc>
          <w:tcPr>
            <w:tcW w:w="6369" w:type="dxa"/>
            <w:tcBorders>
              <w:top w:val="single" w:color="auto" w:sz="4" w:space="0"/>
              <w:left w:val="single" w:color="auto" w:sz="4" w:space="0"/>
              <w:bottom w:val="single" w:color="auto" w:sz="4" w:space="0"/>
              <w:right w:val="single" w:color="auto" w:sz="4" w:space="0"/>
            </w:tcBorders>
            <w:vAlign w:val="center"/>
          </w:tcPr>
          <w:p w14:paraId="3F8592FB">
            <w:pPr>
              <w:jc w:val="both"/>
              <w:rPr>
                <w:rFonts w:hint="eastAsia" w:asciiTheme="majorEastAsia" w:hAnsiTheme="majorEastAsia" w:eastAsiaTheme="majorEastAsia" w:cstheme="majorEastAsia"/>
                <w:i w:val="0"/>
                <w:iCs w:val="0"/>
                <w:color w:val="000000"/>
                <w:kern w:val="2"/>
                <w:sz w:val="24"/>
                <w:szCs w:val="24"/>
                <w:highlight w:val="none"/>
                <w:u w:val="none"/>
                <w:lang w:val="en-US" w:eastAsia="zh-CN" w:bidi="ar"/>
              </w:rPr>
            </w:pPr>
            <w:r>
              <w:rPr>
                <w:rFonts w:hint="eastAsia" w:asciiTheme="majorEastAsia" w:hAnsiTheme="majorEastAsia" w:eastAsiaTheme="majorEastAsia" w:cstheme="majorEastAsia"/>
                <w:color w:val="auto"/>
                <w:sz w:val="24"/>
                <w:szCs w:val="24"/>
                <w:highlight w:val="none"/>
                <w:lang w:val="en-US" w:eastAsia="zh-CN"/>
              </w:rPr>
              <w:t>供应商所提供的配套硬件满足本项目采购需求技术参数的：</w:t>
            </w:r>
            <w:r>
              <w:rPr>
                <w:rFonts w:hint="eastAsia" w:asciiTheme="majorEastAsia" w:hAnsiTheme="majorEastAsia" w:eastAsiaTheme="majorEastAsia" w:cstheme="majorEastAsia"/>
                <w:i w:val="0"/>
                <w:iCs w:val="0"/>
                <w:color w:val="000000"/>
                <w:kern w:val="2"/>
                <w:sz w:val="24"/>
                <w:szCs w:val="24"/>
                <w:highlight w:val="none"/>
                <w:u w:val="none"/>
                <w:lang w:val="en-US" w:eastAsia="zh-CN" w:bidi="ar"/>
              </w:rPr>
              <w:t>满足药品追溯扫码仪需求得4分，满足手持pad需求得3分；本项满分7分。</w:t>
            </w:r>
          </w:p>
          <w:p w14:paraId="4DDBD187">
            <w:pPr>
              <w:rPr>
                <w:rFonts w:hint="default" w:ascii="微软雅黑" w:hAnsi="微软雅黑" w:eastAsia="微软雅黑" w:cs="微软雅黑"/>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2"/>
                <w:sz w:val="24"/>
                <w:szCs w:val="24"/>
                <w:highlight w:val="none"/>
                <w:u w:val="none"/>
                <w:lang w:val="en-US" w:eastAsia="zh-CN" w:bidi="ar"/>
              </w:rPr>
              <w:t>注：以响应情况表评审为准。</w:t>
            </w:r>
          </w:p>
        </w:tc>
        <w:tc>
          <w:tcPr>
            <w:tcW w:w="653" w:type="dxa"/>
            <w:tcBorders>
              <w:top w:val="single" w:color="auto" w:sz="4" w:space="0"/>
              <w:left w:val="single" w:color="auto" w:sz="4" w:space="0"/>
              <w:bottom w:val="single" w:color="auto" w:sz="4" w:space="0"/>
              <w:right w:val="single" w:color="auto" w:sz="4" w:space="0"/>
            </w:tcBorders>
            <w:vAlign w:val="center"/>
          </w:tcPr>
          <w:p w14:paraId="252BBE25">
            <w:pPr>
              <w:jc w:val="center"/>
              <w:rPr>
                <w:rFonts w:hint="default"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0-7</w:t>
            </w:r>
          </w:p>
        </w:tc>
      </w:tr>
      <w:tr w14:paraId="674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725D2CEC">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right w:val="single" w:color="auto" w:sz="4" w:space="0"/>
            </w:tcBorders>
            <w:vAlign w:val="center"/>
          </w:tcPr>
          <w:p w14:paraId="2EEF9A20">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项目建设实施方案</w:t>
            </w:r>
          </w:p>
          <w:p w14:paraId="28B96686">
            <w:pPr>
              <w:pStyle w:val="2"/>
              <w:jc w:val="center"/>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（5分）</w:t>
            </w:r>
          </w:p>
        </w:tc>
        <w:tc>
          <w:tcPr>
            <w:tcW w:w="6369" w:type="dxa"/>
            <w:tcBorders>
              <w:top w:val="single" w:color="auto" w:sz="4" w:space="0"/>
              <w:left w:val="single" w:color="auto" w:sz="4" w:space="0"/>
              <w:bottom w:val="single" w:color="auto" w:sz="4" w:space="0"/>
              <w:right w:val="single" w:color="auto" w:sz="4" w:space="0"/>
            </w:tcBorders>
            <w:vAlign w:val="center"/>
          </w:tcPr>
          <w:p w14:paraId="3C94C840">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供应商针对本项目理解,根据项目实际需求，提供符合本项目的项目建设实施方案，内容包括：</w:t>
            </w:r>
          </w:p>
          <w:p w14:paraId="27D23E5B">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①系统建设方案；</w:t>
            </w:r>
          </w:p>
          <w:p w14:paraId="4983A2C7">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②项目管理方案；</w:t>
            </w:r>
          </w:p>
          <w:p w14:paraId="238C9E2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③重点、难点解决方案。</w:t>
            </w:r>
          </w:p>
          <w:p w14:paraId="0D5908C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0B1E57EF">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（1）对本项目特点和难点理解准确，方案优于本项目采购需求，完整详细，可行性、实用性、针对性强，得5分；</w:t>
            </w:r>
          </w:p>
          <w:p w14:paraId="25AD44EE">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（2）对本项目特点和难点理解基本准确，方案适合本项目采购需求，完整详细，具有可行性、实用性和针对性，得3分；</w:t>
            </w:r>
          </w:p>
          <w:p w14:paraId="7C2199CE">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5390CCE4">
            <w:pPr>
              <w:jc w:val="both"/>
              <w:rPr>
                <w:rFonts w:hint="eastAsia" w:asciiTheme="majorEastAsia" w:hAnsiTheme="majorEastAsia" w:eastAsiaTheme="majorEastAsia" w:cstheme="majorEastAsia"/>
                <w:color w:val="000000"/>
                <w:sz w:val="24"/>
                <w:szCs w:val="24"/>
                <w:highlight w:val="none"/>
                <w:lang w:val="en-US"/>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1CCC15B1">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0-5分</w:t>
            </w:r>
          </w:p>
        </w:tc>
      </w:tr>
      <w:tr w14:paraId="53CC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5E478131">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0936C2BC">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技术培训方案</w:t>
            </w:r>
          </w:p>
          <w:p w14:paraId="7124A791">
            <w:pPr>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vertAlign w:val="baseline"/>
                <w:lang w:val="en-US" w:eastAsia="zh-CN"/>
              </w:rPr>
              <w:t>（4分）</w:t>
            </w:r>
          </w:p>
        </w:tc>
        <w:tc>
          <w:tcPr>
            <w:tcW w:w="6369" w:type="dxa"/>
            <w:tcBorders>
              <w:top w:val="single" w:color="auto" w:sz="4" w:space="0"/>
              <w:left w:val="single" w:color="auto" w:sz="4" w:space="0"/>
              <w:bottom w:val="single" w:color="auto" w:sz="4" w:space="0"/>
              <w:right w:val="single" w:color="auto" w:sz="4" w:space="0"/>
            </w:tcBorders>
            <w:vAlign w:val="center"/>
          </w:tcPr>
          <w:p w14:paraId="51845C7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供应商针对本项目理解,根据项目实际需求，提供符合本项目的技术培训方案，内容包括：</w:t>
            </w:r>
          </w:p>
          <w:p w14:paraId="09409A12">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①培训流程；</w:t>
            </w:r>
          </w:p>
          <w:p w14:paraId="57883ED1">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②培训措施；</w:t>
            </w:r>
          </w:p>
          <w:p w14:paraId="32497B4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③培训时间及人员安排。</w:t>
            </w:r>
          </w:p>
          <w:p w14:paraId="0FEF985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58A28B0C">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（1）对本项目特点和难点理解准确，方案优于本项目采购需求，完整详细，可行性、实用性、针对性强，得4分；</w:t>
            </w:r>
          </w:p>
          <w:p w14:paraId="4805B570">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（2）对本项目特点和难点理解基本准确，方案适合本项目采购需求，完整详细，具有可行性、实用性和针对性，得2分；</w:t>
            </w:r>
          </w:p>
          <w:p w14:paraId="61DF0E7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268CDF15">
            <w:pPr>
              <w:jc w:val="both"/>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77C81BA4">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0-4分</w:t>
            </w:r>
          </w:p>
        </w:tc>
      </w:tr>
      <w:tr w14:paraId="29DF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CAA48D0">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7E563781">
            <w:pPr>
              <w:jc w:val="center"/>
              <w:rPr>
                <w:rFonts w:hint="eastAsia" w:asciiTheme="majorEastAsia" w:hAnsiTheme="majorEastAsia" w:eastAsiaTheme="majorEastAsia" w:cstheme="majorEastAsia"/>
                <w:bCs/>
                <w:color w:val="000000"/>
                <w:sz w:val="24"/>
                <w:szCs w:val="24"/>
                <w:highlight w:val="none"/>
                <w:lang w:val="en-US" w:eastAsia="zh-CN"/>
              </w:rPr>
            </w:pPr>
            <w:r>
              <w:rPr>
                <w:rFonts w:hint="eastAsia" w:asciiTheme="majorEastAsia" w:hAnsiTheme="majorEastAsia" w:eastAsiaTheme="majorEastAsia" w:cstheme="majorEastAsia"/>
                <w:sz w:val="24"/>
                <w:szCs w:val="24"/>
                <w:vertAlign w:val="baseline"/>
                <w:lang w:val="en-US" w:eastAsia="zh-CN"/>
              </w:rPr>
              <w:t>应急处理方案（4分）</w:t>
            </w:r>
          </w:p>
        </w:tc>
        <w:tc>
          <w:tcPr>
            <w:tcW w:w="6369" w:type="dxa"/>
            <w:tcBorders>
              <w:top w:val="single" w:color="auto" w:sz="4" w:space="0"/>
              <w:left w:val="single" w:color="auto" w:sz="4" w:space="0"/>
              <w:bottom w:val="single" w:color="auto" w:sz="4" w:space="0"/>
              <w:right w:val="single" w:color="auto" w:sz="4" w:space="0"/>
            </w:tcBorders>
            <w:vAlign w:val="center"/>
          </w:tcPr>
          <w:p w14:paraId="674B4D5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供应商针对本项目理解,根据项目实际需求，提供符合本项目的安全运维服务方案，内容包括：</w:t>
            </w:r>
          </w:p>
          <w:p w14:paraId="15503BF9">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①应急小组人员配置；</w:t>
            </w:r>
          </w:p>
          <w:p w14:paraId="2800120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②应急处置办法及保障措施。</w:t>
            </w:r>
          </w:p>
          <w:p w14:paraId="24B207D2">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3EF205F9">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（1）对本项目特点和难点理解准确，方案优于本项目采购需求，完整详细，可行性、实用性、针对性强，得4分；</w:t>
            </w:r>
          </w:p>
          <w:p w14:paraId="623407C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（2）对本项目特点和难点理解基本准确，方案适合本项目采购需求，完整详细，具有可行性、实用性和针对性，得2分；</w:t>
            </w:r>
          </w:p>
          <w:p w14:paraId="45C5D4F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3DA80523">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3ECB636F">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0-4分</w:t>
            </w:r>
          </w:p>
        </w:tc>
      </w:tr>
      <w:tr w14:paraId="2D60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D619B64">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5D12C3D1">
            <w:pPr>
              <w:jc w:val="center"/>
              <w:rPr>
                <w:rFonts w:hint="eastAsia" w:asciiTheme="majorEastAsia" w:hAnsiTheme="majorEastAsia" w:eastAsiaTheme="majorEastAsia" w:cstheme="majorEastAsia"/>
                <w:bCs/>
                <w:color w:val="000000"/>
                <w:sz w:val="24"/>
                <w:szCs w:val="24"/>
                <w:highlight w:val="none"/>
              </w:rPr>
            </w:pPr>
            <w:r>
              <w:rPr>
                <w:rFonts w:hint="eastAsia" w:asciiTheme="majorEastAsia" w:hAnsiTheme="majorEastAsia" w:eastAsiaTheme="majorEastAsia" w:cstheme="majorEastAsia"/>
                <w:sz w:val="24"/>
                <w:szCs w:val="24"/>
                <w:highlight w:val="none"/>
                <w:vertAlign w:val="baseline"/>
                <w:lang w:val="en-US" w:eastAsia="zh-CN"/>
              </w:rPr>
              <w:t>药品追溯码管理方案(包含麻精药品)（5分）</w:t>
            </w:r>
          </w:p>
        </w:tc>
        <w:tc>
          <w:tcPr>
            <w:tcW w:w="6369" w:type="dxa"/>
            <w:tcBorders>
              <w:top w:val="single" w:color="auto" w:sz="4" w:space="0"/>
              <w:left w:val="single" w:color="auto" w:sz="4" w:space="0"/>
              <w:bottom w:val="single" w:color="auto" w:sz="4" w:space="0"/>
              <w:right w:val="single" w:color="auto" w:sz="4" w:space="0"/>
            </w:tcBorders>
            <w:vAlign w:val="center"/>
          </w:tcPr>
          <w:p w14:paraId="685E6AC4">
            <w:pPr>
              <w:numPr>
                <w:ilvl w:val="0"/>
                <w:numId w:val="0"/>
              </w:numPr>
              <w:jc w:val="both"/>
              <w:rPr>
                <w:rFonts w:hint="default"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供应商针对本项目理解,根据项目实际需求，提供符合本项目的药品追溯码管理方案，内容包括：管理方案。</w:t>
            </w:r>
          </w:p>
          <w:p w14:paraId="4A618395">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磋商小组根据供应商提供的方案，进行综合评审：</w:t>
            </w:r>
          </w:p>
          <w:p w14:paraId="4ED8CBB7">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（1）对本项目特点和难点理解准确，方案优于本项目采购需求，完整详细，可行性、实用性、针对性强，得5分；</w:t>
            </w:r>
          </w:p>
          <w:p w14:paraId="01983F56">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（2）对本项目特点和难点理解基本准确，方案适合本项目采购需求，完整详细，具有可行性、实用性和针对性，得3分；</w:t>
            </w:r>
          </w:p>
          <w:p w14:paraId="48702E5B">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（3）对本项目特点和难点理解有待提升，方案基本适合本项目采购需求，可行性、实用性、针对性有待改善，得1分；</w:t>
            </w:r>
          </w:p>
          <w:p w14:paraId="75EF1C68">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（4）方案不可行或者未提供得0分。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0FD265D9">
            <w:pPr>
              <w:jc w:val="center"/>
              <w:rPr>
                <w:rFonts w:hint="eastAsia" w:asciiTheme="majorEastAsia" w:hAnsiTheme="majorEastAsia" w:eastAsiaTheme="majorEastAsia" w:cstheme="majorEastAsia"/>
                <w:sz w:val="24"/>
                <w:szCs w:val="24"/>
                <w:highlight w:val="none"/>
                <w:vertAlign w:val="baseline"/>
                <w:lang w:val="en-US" w:eastAsia="zh-CN"/>
              </w:rPr>
            </w:pPr>
            <w:r>
              <w:rPr>
                <w:rFonts w:hint="eastAsia" w:asciiTheme="majorEastAsia" w:hAnsiTheme="majorEastAsia" w:eastAsiaTheme="majorEastAsia" w:cstheme="majorEastAsia"/>
                <w:sz w:val="24"/>
                <w:szCs w:val="24"/>
                <w:highlight w:val="none"/>
                <w:vertAlign w:val="baseline"/>
                <w:lang w:val="en-US" w:eastAsia="zh-CN"/>
              </w:rPr>
              <w:t>0-5分</w:t>
            </w:r>
          </w:p>
        </w:tc>
      </w:tr>
      <w:tr w14:paraId="036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6943BB66">
            <w:pPr>
              <w:spacing w:line="400" w:lineRule="exact"/>
              <w:jc w:val="center"/>
              <w:rPr>
                <w:rFonts w:hint="eastAsia" w:asciiTheme="majorEastAsia" w:hAnsiTheme="majorEastAsia" w:eastAsiaTheme="majorEastAsia" w:cstheme="majorEastAsia"/>
                <w:sz w:val="24"/>
                <w:szCs w:val="24"/>
              </w:rPr>
            </w:pPr>
          </w:p>
        </w:tc>
        <w:tc>
          <w:tcPr>
            <w:tcW w:w="1074" w:type="dxa"/>
            <w:tcBorders>
              <w:left w:val="single" w:color="auto" w:sz="4" w:space="0"/>
              <w:bottom w:val="single" w:color="auto" w:sz="4" w:space="0"/>
              <w:right w:val="single" w:color="auto" w:sz="4" w:space="0"/>
            </w:tcBorders>
            <w:vAlign w:val="center"/>
          </w:tcPr>
          <w:p w14:paraId="2984D72E">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售后服务方案</w:t>
            </w:r>
          </w:p>
          <w:p w14:paraId="1ACD1A1C">
            <w:pPr>
              <w:pStyle w:val="2"/>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vertAlign w:val="baseline"/>
                <w:lang w:val="en-US" w:eastAsia="zh-CN"/>
              </w:rPr>
              <w:t>（5分）</w:t>
            </w:r>
          </w:p>
          <w:p w14:paraId="128A647A">
            <w:pPr>
              <w:jc w:val="center"/>
              <w:rPr>
                <w:rFonts w:hint="eastAsia" w:asciiTheme="majorEastAsia" w:hAnsiTheme="majorEastAsia" w:eastAsiaTheme="majorEastAsia" w:cstheme="majorEastAsia"/>
                <w:bCs/>
                <w:color w:val="000000"/>
                <w:sz w:val="24"/>
                <w:szCs w:val="24"/>
              </w:rPr>
            </w:pPr>
          </w:p>
        </w:tc>
        <w:tc>
          <w:tcPr>
            <w:tcW w:w="6369" w:type="dxa"/>
            <w:tcBorders>
              <w:top w:val="single" w:color="auto" w:sz="4" w:space="0"/>
              <w:left w:val="single" w:color="auto" w:sz="4" w:space="0"/>
              <w:bottom w:val="single" w:color="auto" w:sz="4" w:space="0"/>
              <w:right w:val="single" w:color="auto" w:sz="4" w:space="0"/>
            </w:tcBorders>
            <w:vAlign w:val="center"/>
          </w:tcPr>
          <w:p w14:paraId="717F0F95">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供应商针对本项目理解,根据项目实际需求，提供符合本项目的售后服务方案，内容包括：</w:t>
            </w:r>
          </w:p>
          <w:p w14:paraId="21B0194D">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①售后服务内容；</w:t>
            </w:r>
          </w:p>
          <w:p w14:paraId="50C7285F">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②售后服务响应时间；</w:t>
            </w:r>
          </w:p>
          <w:p w14:paraId="4CD18F2B">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③拟投入售后服务人员配备。</w:t>
            </w:r>
          </w:p>
          <w:p w14:paraId="354D1191">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磋商小组根据供应商提供的方案，进行综合评审：</w:t>
            </w:r>
          </w:p>
          <w:p w14:paraId="1B8527A1">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（1）对本项目特点和难点理解准确，方案优于本项目采购需求，完整详细，可行性、实用性、针对性强，得5分；</w:t>
            </w:r>
          </w:p>
          <w:p w14:paraId="43875DD8">
            <w:pPr>
              <w:numPr>
                <w:ilvl w:val="0"/>
                <w:numId w:val="0"/>
              </w:numPr>
              <w:jc w:val="both"/>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（2）对本项目特点和难点理解基本准确，方案适合本项目采购需求，完整详细，具有可行性、实用性和针对性，得3分；</w:t>
            </w:r>
          </w:p>
          <w:p w14:paraId="03EFFB4C">
            <w:pPr>
              <w:numPr>
                <w:ilvl w:val="0"/>
                <w:numId w:val="0"/>
              </w:numPr>
              <w:jc w:val="both"/>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sz w:val="24"/>
                <w:szCs w:val="24"/>
                <w:lang w:val="en-US" w:eastAsia="zh-CN"/>
              </w:rPr>
              <w:t>（3）对本项目特点和难点理解有待提升，方案基本适合本项目采购需求，可行性、实用性、针对性有待改善，得1分；</w:t>
            </w:r>
          </w:p>
        </w:tc>
        <w:tc>
          <w:tcPr>
            <w:tcW w:w="653" w:type="dxa"/>
            <w:tcBorders>
              <w:top w:val="single" w:color="auto" w:sz="4" w:space="0"/>
              <w:left w:val="single" w:color="auto" w:sz="4" w:space="0"/>
              <w:bottom w:val="single" w:color="auto" w:sz="4" w:space="0"/>
              <w:right w:val="single" w:color="auto" w:sz="4" w:space="0"/>
            </w:tcBorders>
            <w:vAlign w:val="center"/>
          </w:tcPr>
          <w:p w14:paraId="33563C2E">
            <w:pPr>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sz w:val="24"/>
                <w:szCs w:val="24"/>
                <w:vertAlign w:val="baseline"/>
                <w:lang w:val="en-US" w:eastAsia="zh-CN"/>
              </w:rPr>
              <w:t>0-5分</w:t>
            </w:r>
          </w:p>
        </w:tc>
      </w:tr>
      <w:tr w14:paraId="5C61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4FAFE0BB">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价格分</w:t>
            </w:r>
          </w:p>
          <w:p w14:paraId="1C4F79EE">
            <w:pPr>
              <w:spacing w:line="40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30</w:t>
            </w:r>
            <w:r>
              <w:rPr>
                <w:rFonts w:hint="eastAsia" w:asciiTheme="majorEastAsia" w:hAnsiTheme="majorEastAsia" w:eastAsiaTheme="majorEastAsia" w:cstheme="majorEastAsia"/>
                <w:sz w:val="24"/>
                <w:szCs w:val="24"/>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63DCC6BA">
            <w:pPr>
              <w:numPr>
                <w:ilvl w:val="0"/>
                <w:numId w:val="0"/>
              </w:numPr>
              <w:jc w:val="both"/>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价格分统一采用低价优先法，即满足磋商文件要求且经评审合理报价最低的价格（即最终报价）作为评标基准价，其价格分为满分</w:t>
            </w:r>
            <w:r>
              <w:rPr>
                <w:rFonts w:hint="eastAsia" w:asciiTheme="majorEastAsia" w:hAnsiTheme="majorEastAsia" w:eastAsiaTheme="majorEastAsia" w:cstheme="majorEastAsia"/>
                <w:sz w:val="24"/>
                <w:szCs w:val="24"/>
                <w:highlight w:val="none"/>
                <w:u w:val="single"/>
                <w:lang w:val="en-US" w:eastAsia="zh-CN"/>
              </w:rPr>
              <w:t xml:space="preserve"> 30 </w:t>
            </w:r>
            <w:r>
              <w:rPr>
                <w:rFonts w:hint="eastAsia" w:asciiTheme="majorEastAsia" w:hAnsiTheme="majorEastAsia" w:eastAsiaTheme="majorEastAsia" w:cstheme="majorEastAsia"/>
                <w:sz w:val="24"/>
                <w:szCs w:val="24"/>
                <w:highlight w:val="none"/>
                <w:lang w:val="en-US" w:eastAsia="zh-CN"/>
              </w:rPr>
              <w:t>分。其他磋商供应商的价格分统一按照下列公式计算（四舍五入保留至小数点后两位数）：</w:t>
            </w:r>
          </w:p>
          <w:p w14:paraId="63A6B5AF">
            <w:pPr>
              <w:numPr>
                <w:ilvl w:val="0"/>
                <w:numId w:val="0"/>
              </w:numPr>
              <w:jc w:val="both"/>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highlight w:val="none"/>
                <w:lang w:val="en-US" w:eastAsia="zh-CN"/>
              </w:rPr>
              <w:t>磋商报价得分＝（评标基准价/磋商报价）×</w:t>
            </w:r>
            <w:r>
              <w:rPr>
                <w:rFonts w:hint="eastAsia" w:asciiTheme="majorEastAsia" w:hAnsiTheme="majorEastAsia" w:eastAsiaTheme="majorEastAsia" w:cstheme="majorEastAsia"/>
                <w:sz w:val="24"/>
                <w:szCs w:val="24"/>
                <w:highlight w:val="none"/>
                <w:u w:val="single"/>
                <w:lang w:val="en-US" w:eastAsia="zh-CN"/>
              </w:rPr>
              <w:t>30</w:t>
            </w:r>
            <w:r>
              <w:rPr>
                <w:rFonts w:hint="eastAsia" w:asciiTheme="majorEastAsia" w:hAnsiTheme="majorEastAsia" w:eastAsiaTheme="majorEastAsia" w:cstheme="majorEastAsia"/>
                <w:sz w:val="24"/>
                <w:szCs w:val="24"/>
                <w:highlight w:val="none"/>
                <w:lang w:val="en-US" w:eastAsia="zh-CN"/>
              </w:rPr>
              <w:t>%× 100</w:t>
            </w:r>
          </w:p>
        </w:tc>
      </w:tr>
    </w:tbl>
    <w:p w14:paraId="357DE385">
      <w:pPr>
        <w:spacing w:line="48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049A1A25">
      <w:pPr>
        <w:pStyle w:val="12"/>
        <w:spacing w:line="480" w:lineRule="exact"/>
        <w:ind w:right="-11" w:firstLine="495"/>
        <w:rPr>
          <w:rFonts w:ascii="宋体" w:hAnsi="宋体" w:eastAsia="宋体" w:cs="宋体"/>
          <w:sz w:val="24"/>
          <w:szCs w:val="24"/>
        </w:rPr>
      </w:pPr>
      <w:r>
        <w:rPr>
          <w:rFonts w:hint="eastAsia" w:ascii="宋体" w:hAnsi="宋体" w:eastAsia="宋体" w:cs="宋体"/>
          <w:sz w:val="24"/>
          <w:szCs w:val="24"/>
        </w:rPr>
        <w:t>3、得分汇总</w:t>
      </w:r>
    </w:p>
    <w:p w14:paraId="13EFE602">
      <w:pPr>
        <w:pStyle w:val="12"/>
        <w:spacing w:line="480" w:lineRule="exact"/>
        <w:ind w:right="-11" w:firstLine="480" w:firstLineChars="200"/>
        <w:rPr>
          <w:rFonts w:ascii="宋体" w:hAnsi="宋体" w:eastAsia="宋体" w:cs="宋体"/>
          <w:sz w:val="24"/>
          <w:szCs w:val="24"/>
        </w:rPr>
      </w:pPr>
      <w:r>
        <w:rPr>
          <w:rFonts w:hint="eastAsia" w:ascii="宋体" w:hAnsi="宋体" w:eastAsia="宋体" w:cs="宋体"/>
          <w:sz w:val="24"/>
          <w:szCs w:val="24"/>
        </w:rPr>
        <w:t>（1）将每个有效磋商供应商的技术标分之和加上根据上述标准计算出的价格分，即为该磋商供应商的综合总得分。</w:t>
      </w:r>
    </w:p>
    <w:p w14:paraId="16E84B51">
      <w:pPr>
        <w:spacing w:line="480" w:lineRule="exact"/>
        <w:ind w:firstLine="480" w:firstLineChars="200"/>
        <w:jc w:val="left"/>
        <w:rPr>
          <w:rFonts w:ascii="宋体" w:hAnsi="宋体" w:cs="宋体"/>
        </w:rPr>
      </w:pPr>
      <w:r>
        <w:rPr>
          <w:rFonts w:hint="eastAsia" w:ascii="宋体" w:hAnsi="宋体" w:cs="宋体"/>
          <w:sz w:val="24"/>
          <w:szCs w:val="24"/>
        </w:rPr>
        <w:t>（2）按照有效磋商供应商综合总得分由高到低依次排出成交供应商及成交候选供应商。</w:t>
      </w:r>
      <w:bookmarkStart w:id="87" w:name="_Toc31228"/>
      <w:r>
        <w:rPr>
          <w:rFonts w:hint="eastAsia" w:ascii="宋体" w:hAnsi="宋体" w:cs="宋体"/>
          <w:sz w:val="24"/>
          <w:szCs w:val="24"/>
        </w:rPr>
        <w:t xml:space="preserve"> </w:t>
      </w:r>
      <w:bookmarkEnd w:id="87"/>
    </w:p>
    <w:p w14:paraId="6BE359B1">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spacing w:val="0"/>
          <w:w w:val="100"/>
          <w:position w:val="0"/>
          <w:sz w:val="24"/>
          <w:szCs w:val="24"/>
          <w:u w:val="none"/>
          <w:lang w:val="en-US" w:eastAsia="zh-CN"/>
        </w:rPr>
      </w:pPr>
      <w:r>
        <w:rPr>
          <w:rFonts w:hint="eastAsia" w:ascii="宋体" w:hAnsi="宋体" w:cs="宋体"/>
          <w:spacing w:val="0"/>
          <w:w w:val="100"/>
          <w:position w:val="0"/>
          <w:sz w:val="24"/>
          <w:szCs w:val="24"/>
          <w:u w:val="none"/>
          <w:lang w:val="en-US" w:eastAsia="zh-CN"/>
        </w:rPr>
        <w:t>（3）如成交候选供应商中总得分相同，以其中响应报价低的优先；响应报价也相同的话，由磋商小组确定先后顺序。</w:t>
      </w:r>
    </w:p>
    <w:p w14:paraId="5740CC51">
      <w:pPr>
        <w:rPr>
          <w:rFonts w:hint="eastAsia" w:ascii="宋体" w:hAnsi="宋体" w:eastAsia="宋体" w:cs="宋体"/>
          <w:sz w:val="28"/>
          <w:szCs w:val="28"/>
        </w:rPr>
      </w:pPr>
    </w:p>
    <w:p w14:paraId="4C24F986">
      <w:pPr>
        <w:rPr>
          <w:rFonts w:hint="eastAsia" w:ascii="宋体" w:hAnsi="宋体" w:eastAsia="宋体" w:cs="宋体"/>
          <w:sz w:val="28"/>
          <w:szCs w:val="28"/>
          <w:lang w:eastAsia="zh-CN"/>
        </w:rPr>
      </w:pPr>
      <w:bookmarkStart w:id="88" w:name="_Toc10062"/>
      <w:r>
        <w:rPr>
          <w:rFonts w:hint="eastAsia" w:ascii="宋体" w:hAnsi="宋体" w:eastAsia="宋体" w:cs="宋体"/>
          <w:sz w:val="28"/>
          <w:szCs w:val="28"/>
          <w:lang w:eastAsia="zh-CN"/>
        </w:rPr>
        <w:br w:type="page"/>
      </w:r>
    </w:p>
    <w:bookmarkEnd w:id="83"/>
    <w:bookmarkEnd w:id="88"/>
    <w:p w14:paraId="5925772C">
      <w:pPr>
        <w:pStyle w:val="4"/>
        <w:spacing w:before="156" w:beforeLines="50" w:after="156" w:afterLines="50" w:line="560" w:lineRule="exact"/>
        <w:jc w:val="center"/>
        <w:rPr>
          <w:rFonts w:ascii="宋体" w:hAnsi="宋体" w:eastAsia="宋体" w:cs="宋体"/>
          <w:sz w:val="28"/>
          <w:szCs w:val="28"/>
        </w:rPr>
      </w:pPr>
      <w:bookmarkStart w:id="89" w:name="_Toc8088"/>
      <w:r>
        <w:rPr>
          <w:rFonts w:hint="eastAsia" w:ascii="宋体" w:hAnsi="宋体" w:eastAsia="宋体" w:cs="宋体"/>
          <w:sz w:val="28"/>
          <w:szCs w:val="28"/>
        </w:rPr>
        <w:t>五、响应文件格式</w:t>
      </w:r>
      <w:bookmarkEnd w:id="89"/>
    </w:p>
    <w:p w14:paraId="14AE198F">
      <w:pPr>
        <w:spacing w:line="500" w:lineRule="exact"/>
        <w:jc w:val="center"/>
        <w:rPr>
          <w:rFonts w:ascii="宋体" w:hAnsi="宋体" w:cs="宋体"/>
          <w:b/>
          <w:sz w:val="32"/>
        </w:rPr>
      </w:pPr>
    </w:p>
    <w:p w14:paraId="54CB4792">
      <w:pPr>
        <w:spacing w:line="500" w:lineRule="exact"/>
        <w:jc w:val="center"/>
        <w:outlineLvl w:val="0"/>
        <w:rPr>
          <w:rFonts w:ascii="宋体" w:hAnsi="宋体" w:cs="宋体"/>
          <w:b/>
          <w:sz w:val="32"/>
        </w:rPr>
      </w:pPr>
      <w:r>
        <w:rPr>
          <w:rFonts w:hint="eastAsia" w:ascii="宋体" w:hAnsi="宋体" w:cs="宋体"/>
          <w:b/>
          <w:sz w:val="32"/>
          <w:u w:val="single"/>
        </w:rPr>
        <w:t>　　　　　　　　　</w:t>
      </w:r>
      <w:bookmarkStart w:id="90" w:name="_Toc22685"/>
      <w:bookmarkStart w:id="91" w:name="_Toc4448"/>
      <w:r>
        <w:rPr>
          <w:rFonts w:hint="eastAsia" w:ascii="宋体" w:hAnsi="宋体" w:cs="宋体"/>
          <w:b/>
          <w:sz w:val="32"/>
        </w:rPr>
        <w:t>项目</w:t>
      </w:r>
      <w:bookmarkEnd w:id="90"/>
      <w:bookmarkEnd w:id="91"/>
    </w:p>
    <w:p w14:paraId="3F76E224">
      <w:pPr>
        <w:spacing w:line="900" w:lineRule="exact"/>
        <w:rPr>
          <w:rFonts w:ascii="宋体" w:hAnsi="宋体" w:cs="宋体"/>
          <w:b/>
          <w:sz w:val="72"/>
        </w:rPr>
      </w:pPr>
    </w:p>
    <w:p w14:paraId="32165110">
      <w:pPr>
        <w:spacing w:line="900" w:lineRule="exact"/>
        <w:jc w:val="center"/>
        <w:rPr>
          <w:rFonts w:ascii="宋体" w:hAnsi="宋体" w:cs="宋体"/>
          <w:b/>
          <w:sz w:val="72"/>
        </w:rPr>
      </w:pPr>
      <w:r>
        <w:rPr>
          <w:rFonts w:hint="eastAsia" w:ascii="宋体" w:hAnsi="宋体" w:cs="宋体"/>
          <w:b/>
          <w:sz w:val="72"/>
        </w:rPr>
        <w:t>响</w:t>
      </w:r>
    </w:p>
    <w:p w14:paraId="5075BA9E">
      <w:pPr>
        <w:spacing w:line="900" w:lineRule="exact"/>
        <w:jc w:val="center"/>
        <w:rPr>
          <w:rFonts w:ascii="宋体" w:hAnsi="宋体" w:cs="宋体"/>
          <w:b/>
          <w:sz w:val="72"/>
        </w:rPr>
      </w:pPr>
    </w:p>
    <w:p w14:paraId="11488BA3">
      <w:pPr>
        <w:spacing w:line="900" w:lineRule="exact"/>
        <w:jc w:val="center"/>
        <w:rPr>
          <w:rFonts w:ascii="宋体" w:hAnsi="宋体" w:cs="宋体"/>
          <w:b/>
          <w:sz w:val="72"/>
        </w:rPr>
      </w:pPr>
      <w:r>
        <w:rPr>
          <w:rFonts w:hint="eastAsia" w:ascii="宋体" w:hAnsi="宋体" w:cs="宋体"/>
          <w:b/>
          <w:sz w:val="72"/>
        </w:rPr>
        <w:t>应</w:t>
      </w:r>
    </w:p>
    <w:p w14:paraId="7BDE0DC1">
      <w:pPr>
        <w:spacing w:line="900" w:lineRule="exact"/>
        <w:jc w:val="center"/>
        <w:rPr>
          <w:rFonts w:ascii="宋体" w:hAnsi="宋体" w:cs="宋体"/>
          <w:b/>
          <w:sz w:val="72"/>
        </w:rPr>
      </w:pPr>
    </w:p>
    <w:p w14:paraId="10D7C9A4">
      <w:pPr>
        <w:spacing w:line="900" w:lineRule="exact"/>
        <w:jc w:val="center"/>
        <w:rPr>
          <w:rFonts w:ascii="宋体" w:hAnsi="宋体" w:cs="宋体"/>
          <w:b/>
          <w:sz w:val="72"/>
        </w:rPr>
      </w:pPr>
      <w:r>
        <w:rPr>
          <w:rFonts w:hint="eastAsia" w:ascii="宋体" w:hAnsi="宋体" w:cs="宋体"/>
          <w:b/>
          <w:sz w:val="72"/>
        </w:rPr>
        <w:t>文</w:t>
      </w:r>
    </w:p>
    <w:p w14:paraId="2A39E7A0">
      <w:pPr>
        <w:spacing w:line="900" w:lineRule="exact"/>
        <w:jc w:val="center"/>
        <w:rPr>
          <w:rFonts w:ascii="宋体" w:hAnsi="宋体" w:cs="宋体"/>
          <w:b/>
          <w:sz w:val="72"/>
        </w:rPr>
      </w:pPr>
    </w:p>
    <w:p w14:paraId="57FF96FA">
      <w:pPr>
        <w:jc w:val="center"/>
        <w:rPr>
          <w:rFonts w:ascii="宋体" w:hAnsi="宋体" w:cs="宋体"/>
          <w:b/>
          <w:sz w:val="72"/>
        </w:rPr>
      </w:pPr>
      <w:r>
        <w:rPr>
          <w:rFonts w:hint="eastAsia" w:ascii="宋体" w:hAnsi="宋体" w:cs="宋体"/>
          <w:b/>
          <w:sz w:val="72"/>
        </w:rPr>
        <w:t>件</w:t>
      </w:r>
    </w:p>
    <w:p w14:paraId="0EEDC076">
      <w:pPr>
        <w:spacing w:after="156" w:afterLines="50"/>
        <w:jc w:val="center"/>
        <w:rPr>
          <w:rFonts w:ascii="宋体" w:hAnsi="宋体" w:cs="宋体"/>
          <w:b/>
          <w:sz w:val="72"/>
        </w:rPr>
      </w:pPr>
    </w:p>
    <w:p w14:paraId="028EDBAD">
      <w:pPr>
        <w:spacing w:after="156" w:afterLines="50" w:line="500" w:lineRule="exact"/>
        <w:jc w:val="center"/>
        <w:rPr>
          <w:rFonts w:ascii="宋体" w:hAnsi="宋体" w:cs="宋体"/>
          <w:b/>
          <w:sz w:val="30"/>
          <w:szCs w:val="30"/>
        </w:rPr>
      </w:pPr>
      <w:r>
        <w:rPr>
          <w:rFonts w:hint="eastAsia" w:ascii="宋体" w:hAnsi="宋体" w:cs="宋体"/>
          <w:b/>
          <w:sz w:val="30"/>
          <w:szCs w:val="30"/>
        </w:rPr>
        <w:t>第</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w:t>
      </w:r>
      <w:r>
        <w:rPr>
          <w:rFonts w:hint="eastAsia" w:ascii="宋体" w:hAnsi="宋体" w:cs="宋体"/>
          <w:b/>
          <w:sz w:val="30"/>
          <w:szCs w:val="30"/>
          <w:u w:val="single"/>
        </w:rPr>
        <w:t xml:space="preserve"> </w:t>
      </w:r>
      <w:r>
        <w:rPr>
          <w:rFonts w:hint="eastAsia" w:ascii="宋体" w:hAnsi="宋体" w:cs="宋体"/>
          <w:b/>
          <w:sz w:val="30"/>
          <w:szCs w:val="30"/>
        </w:rPr>
        <w:t>包</w:t>
      </w:r>
    </w:p>
    <w:p w14:paraId="5357B5DC">
      <w:pPr>
        <w:spacing w:after="156" w:afterLines="50" w:line="500" w:lineRule="exact"/>
        <w:jc w:val="center"/>
        <w:rPr>
          <w:rFonts w:ascii="宋体" w:hAnsi="宋体" w:cs="宋体"/>
          <w:b/>
          <w:sz w:val="72"/>
        </w:rPr>
      </w:pPr>
    </w:p>
    <w:p w14:paraId="62445D68">
      <w:pPr>
        <w:spacing w:after="156" w:afterLines="50" w:line="500" w:lineRule="exact"/>
        <w:ind w:firstLine="2088" w:firstLineChars="650"/>
        <w:rPr>
          <w:rFonts w:ascii="宋体" w:hAnsi="宋体" w:cs="宋体"/>
          <w:b/>
          <w:sz w:val="32"/>
          <w:u w:val="single"/>
        </w:rPr>
      </w:pPr>
      <w:r>
        <w:rPr>
          <w:rFonts w:hint="eastAsia" w:ascii="宋体" w:hAnsi="宋体" w:cs="宋体"/>
          <w:b/>
          <w:sz w:val="32"/>
        </w:rPr>
        <w:t>供应商：</w:t>
      </w:r>
    </w:p>
    <w:p w14:paraId="5C49F1E2">
      <w:pPr>
        <w:spacing w:after="156" w:afterLines="50" w:line="500" w:lineRule="exact"/>
        <w:ind w:firstLine="2088" w:firstLineChars="650"/>
        <w:outlineLvl w:val="0"/>
        <w:rPr>
          <w:rFonts w:ascii="宋体" w:hAnsi="宋体" w:cs="宋体"/>
          <w:sz w:val="24"/>
          <w:szCs w:val="28"/>
        </w:rPr>
      </w:pPr>
      <w:bookmarkStart w:id="92" w:name="_Toc4670"/>
      <w:bookmarkStart w:id="93" w:name="_Toc5792"/>
      <w:r>
        <w:rPr>
          <w:rFonts w:hint="eastAsia" w:ascii="宋体" w:hAnsi="宋体" w:cs="宋体"/>
          <w:b/>
          <w:sz w:val="32"/>
        </w:rPr>
        <w:t>年  月  日</w:t>
      </w:r>
      <w:bookmarkEnd w:id="92"/>
      <w:bookmarkEnd w:id="93"/>
    </w:p>
    <w:p w14:paraId="54938AFB">
      <w:pPr>
        <w:pStyle w:val="4"/>
        <w:spacing w:before="156" w:beforeLines="50" w:after="156" w:afterLines="50" w:line="560" w:lineRule="exact"/>
        <w:jc w:val="center"/>
        <w:rPr>
          <w:rFonts w:ascii="宋体" w:hAnsi="宋体" w:eastAsia="宋体" w:cs="宋体"/>
          <w:sz w:val="24"/>
          <w:szCs w:val="24"/>
        </w:rPr>
      </w:pPr>
      <w:bookmarkStart w:id="94" w:name="_Toc20663"/>
      <w:r>
        <w:rPr>
          <w:rFonts w:hint="eastAsia" w:ascii="宋体" w:hAnsi="宋体" w:eastAsia="宋体" w:cs="宋体"/>
          <w:sz w:val="24"/>
          <w:szCs w:val="24"/>
        </w:rPr>
        <w:br w:type="page"/>
      </w:r>
      <w:bookmarkStart w:id="95" w:name="_Toc2602"/>
      <w:r>
        <w:rPr>
          <w:rFonts w:hint="eastAsia" w:ascii="宋体" w:hAnsi="宋体" w:eastAsia="宋体" w:cs="宋体"/>
          <w:sz w:val="24"/>
          <w:szCs w:val="24"/>
        </w:rPr>
        <w:t>响应文件资料清单</w:t>
      </w:r>
      <w:bookmarkEnd w:id="94"/>
      <w:bookmarkEnd w:id="95"/>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BAB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FDA4B05">
            <w:pPr>
              <w:spacing w:line="440" w:lineRule="exact"/>
              <w:jc w:val="center"/>
              <w:rPr>
                <w:rFonts w:ascii="宋体" w:hAnsi="宋体" w:cs="宋体"/>
                <w:b/>
                <w:sz w:val="24"/>
              </w:rPr>
            </w:pPr>
            <w:r>
              <w:rPr>
                <w:rFonts w:hint="eastAsia" w:ascii="宋体" w:hAnsi="宋体" w:cs="宋体"/>
                <w:b/>
                <w:sz w:val="24"/>
              </w:rPr>
              <w:t>序号</w:t>
            </w:r>
          </w:p>
        </w:tc>
        <w:tc>
          <w:tcPr>
            <w:tcW w:w="6038" w:type="dxa"/>
            <w:vAlign w:val="center"/>
          </w:tcPr>
          <w:p w14:paraId="4C57BAF2">
            <w:pPr>
              <w:spacing w:line="440" w:lineRule="exact"/>
              <w:jc w:val="center"/>
              <w:rPr>
                <w:rFonts w:ascii="宋体" w:hAnsi="宋体" w:cs="宋体"/>
                <w:b/>
                <w:sz w:val="24"/>
              </w:rPr>
            </w:pPr>
            <w:r>
              <w:rPr>
                <w:rFonts w:hint="eastAsia" w:ascii="宋体" w:hAnsi="宋体" w:cs="宋体"/>
                <w:b/>
                <w:sz w:val="24"/>
              </w:rPr>
              <w:t>资料名称</w:t>
            </w:r>
          </w:p>
        </w:tc>
        <w:tc>
          <w:tcPr>
            <w:tcW w:w="1417" w:type="dxa"/>
            <w:vAlign w:val="center"/>
          </w:tcPr>
          <w:p w14:paraId="70C13E8C">
            <w:pPr>
              <w:spacing w:line="440" w:lineRule="exact"/>
              <w:jc w:val="center"/>
              <w:rPr>
                <w:rFonts w:ascii="宋体" w:hAnsi="宋体" w:cs="宋体"/>
                <w:b/>
                <w:sz w:val="24"/>
              </w:rPr>
            </w:pPr>
            <w:r>
              <w:rPr>
                <w:rFonts w:hint="eastAsia" w:ascii="宋体" w:hAnsi="宋体" w:cs="宋体"/>
                <w:b/>
                <w:sz w:val="24"/>
              </w:rPr>
              <w:t>备注</w:t>
            </w:r>
          </w:p>
        </w:tc>
      </w:tr>
      <w:tr w14:paraId="7F4E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C3D8FD1">
            <w:pPr>
              <w:spacing w:line="440" w:lineRule="exact"/>
              <w:jc w:val="center"/>
              <w:rPr>
                <w:rFonts w:ascii="宋体" w:hAnsi="宋体" w:cs="宋体"/>
                <w:sz w:val="24"/>
              </w:rPr>
            </w:pPr>
            <w:r>
              <w:rPr>
                <w:rFonts w:hint="eastAsia" w:ascii="宋体" w:hAnsi="宋体" w:cs="宋体"/>
                <w:sz w:val="24"/>
              </w:rPr>
              <w:t>一</w:t>
            </w:r>
          </w:p>
        </w:tc>
        <w:tc>
          <w:tcPr>
            <w:tcW w:w="6038" w:type="dxa"/>
            <w:vAlign w:val="center"/>
          </w:tcPr>
          <w:p w14:paraId="6C3B8A96">
            <w:pPr>
              <w:spacing w:line="440" w:lineRule="exact"/>
              <w:rPr>
                <w:rFonts w:ascii="宋体" w:hAnsi="宋体" w:cs="宋体"/>
                <w:sz w:val="24"/>
              </w:rPr>
            </w:pPr>
            <w:r>
              <w:rPr>
                <w:rFonts w:hint="eastAsia" w:ascii="宋体" w:hAnsi="宋体" w:cs="宋体"/>
                <w:sz w:val="24"/>
                <w:szCs w:val="24"/>
              </w:rPr>
              <w:t>报价单</w:t>
            </w:r>
          </w:p>
        </w:tc>
        <w:tc>
          <w:tcPr>
            <w:tcW w:w="1417" w:type="dxa"/>
            <w:vAlign w:val="center"/>
          </w:tcPr>
          <w:p w14:paraId="177BF046">
            <w:pPr>
              <w:spacing w:line="440" w:lineRule="exact"/>
              <w:jc w:val="center"/>
              <w:rPr>
                <w:rFonts w:ascii="宋体" w:hAnsi="宋体" w:cs="宋体"/>
                <w:b/>
                <w:sz w:val="24"/>
              </w:rPr>
            </w:pPr>
          </w:p>
        </w:tc>
      </w:tr>
      <w:tr w14:paraId="4D11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5737C1F">
            <w:pPr>
              <w:spacing w:line="440" w:lineRule="exact"/>
              <w:jc w:val="center"/>
              <w:rPr>
                <w:rFonts w:ascii="宋体" w:hAnsi="宋体" w:cs="宋体"/>
                <w:sz w:val="24"/>
              </w:rPr>
            </w:pPr>
            <w:r>
              <w:rPr>
                <w:rFonts w:hint="eastAsia" w:ascii="宋体" w:hAnsi="宋体" w:cs="宋体"/>
                <w:sz w:val="24"/>
              </w:rPr>
              <w:t>二</w:t>
            </w:r>
          </w:p>
        </w:tc>
        <w:tc>
          <w:tcPr>
            <w:tcW w:w="6038" w:type="dxa"/>
            <w:vAlign w:val="center"/>
          </w:tcPr>
          <w:p w14:paraId="75F2B594">
            <w:pPr>
              <w:spacing w:line="440" w:lineRule="exact"/>
              <w:rPr>
                <w:rFonts w:ascii="宋体" w:hAnsi="宋体" w:cs="宋体"/>
                <w:sz w:val="24"/>
              </w:rPr>
            </w:pPr>
            <w:r>
              <w:rPr>
                <w:rFonts w:hint="eastAsia" w:ascii="宋体" w:hAnsi="宋体" w:cs="宋体"/>
                <w:sz w:val="24"/>
              </w:rPr>
              <w:t>供应商基本信息</w:t>
            </w:r>
          </w:p>
        </w:tc>
        <w:tc>
          <w:tcPr>
            <w:tcW w:w="1417" w:type="dxa"/>
            <w:vAlign w:val="center"/>
          </w:tcPr>
          <w:p w14:paraId="0913662D">
            <w:pPr>
              <w:spacing w:line="440" w:lineRule="exact"/>
              <w:jc w:val="center"/>
              <w:rPr>
                <w:rFonts w:ascii="宋体" w:hAnsi="宋体" w:cs="宋体"/>
                <w:b/>
                <w:sz w:val="24"/>
              </w:rPr>
            </w:pPr>
          </w:p>
        </w:tc>
      </w:tr>
      <w:tr w14:paraId="0B8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80BD484">
            <w:pPr>
              <w:spacing w:line="440" w:lineRule="exact"/>
              <w:jc w:val="center"/>
              <w:rPr>
                <w:rFonts w:ascii="宋体" w:hAnsi="宋体" w:cs="宋体"/>
                <w:sz w:val="24"/>
              </w:rPr>
            </w:pPr>
            <w:r>
              <w:rPr>
                <w:rFonts w:hint="eastAsia" w:ascii="宋体" w:hAnsi="宋体" w:cs="宋体"/>
                <w:sz w:val="24"/>
              </w:rPr>
              <w:t>三</w:t>
            </w:r>
          </w:p>
        </w:tc>
        <w:tc>
          <w:tcPr>
            <w:tcW w:w="6038" w:type="dxa"/>
            <w:vAlign w:val="center"/>
          </w:tcPr>
          <w:p w14:paraId="1D6D979A">
            <w:pPr>
              <w:pStyle w:val="64"/>
              <w:spacing w:line="440" w:lineRule="exact"/>
              <w:rPr>
                <w:rFonts w:ascii="宋体" w:hAnsi="宋体" w:cs="宋体"/>
              </w:rPr>
            </w:pPr>
            <w:r>
              <w:rPr>
                <w:rFonts w:hint="eastAsia" w:ascii="宋体" w:hAnsi="宋体" w:cs="宋体"/>
                <w:szCs w:val="24"/>
              </w:rPr>
              <w:t>磋商授权书</w:t>
            </w:r>
          </w:p>
        </w:tc>
        <w:tc>
          <w:tcPr>
            <w:tcW w:w="1417" w:type="dxa"/>
            <w:vAlign w:val="center"/>
          </w:tcPr>
          <w:p w14:paraId="164716F5">
            <w:pPr>
              <w:spacing w:line="440" w:lineRule="exact"/>
              <w:jc w:val="center"/>
              <w:rPr>
                <w:rFonts w:ascii="宋体" w:hAnsi="宋体" w:cs="宋体"/>
                <w:b/>
                <w:sz w:val="24"/>
              </w:rPr>
            </w:pPr>
          </w:p>
        </w:tc>
      </w:tr>
      <w:tr w14:paraId="323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D11D893">
            <w:pPr>
              <w:spacing w:line="440" w:lineRule="exact"/>
              <w:jc w:val="center"/>
              <w:rPr>
                <w:rFonts w:ascii="宋体" w:hAnsi="宋体" w:cs="宋体"/>
                <w:sz w:val="24"/>
              </w:rPr>
            </w:pPr>
            <w:r>
              <w:rPr>
                <w:rFonts w:hint="eastAsia" w:ascii="宋体" w:hAnsi="宋体" w:cs="宋体"/>
                <w:sz w:val="24"/>
              </w:rPr>
              <w:t>四</w:t>
            </w:r>
          </w:p>
        </w:tc>
        <w:tc>
          <w:tcPr>
            <w:tcW w:w="6038" w:type="dxa"/>
            <w:vAlign w:val="center"/>
          </w:tcPr>
          <w:p w14:paraId="00AF5A31">
            <w:pPr>
              <w:pStyle w:val="64"/>
              <w:spacing w:line="440" w:lineRule="exact"/>
              <w:rPr>
                <w:rFonts w:ascii="宋体" w:hAnsi="宋体" w:cs="宋体"/>
              </w:rPr>
            </w:pPr>
            <w:r>
              <w:rPr>
                <w:rFonts w:hint="eastAsia" w:ascii="宋体" w:hAnsi="宋体" w:cs="宋体"/>
                <w:szCs w:val="24"/>
              </w:rPr>
              <w:t>磋商响应函</w:t>
            </w:r>
          </w:p>
        </w:tc>
        <w:tc>
          <w:tcPr>
            <w:tcW w:w="1417" w:type="dxa"/>
            <w:vAlign w:val="center"/>
          </w:tcPr>
          <w:p w14:paraId="5A9B4C79">
            <w:pPr>
              <w:spacing w:line="440" w:lineRule="exact"/>
              <w:jc w:val="center"/>
              <w:rPr>
                <w:rFonts w:ascii="宋体" w:hAnsi="宋体" w:cs="宋体"/>
                <w:b/>
                <w:sz w:val="24"/>
              </w:rPr>
            </w:pPr>
          </w:p>
        </w:tc>
      </w:tr>
      <w:tr w14:paraId="7ED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D8C478D">
            <w:pPr>
              <w:spacing w:line="440" w:lineRule="exact"/>
              <w:jc w:val="center"/>
              <w:rPr>
                <w:rFonts w:ascii="宋体" w:hAnsi="宋体" w:cs="宋体"/>
                <w:sz w:val="24"/>
              </w:rPr>
            </w:pPr>
            <w:r>
              <w:rPr>
                <w:rFonts w:hint="eastAsia" w:ascii="宋体" w:hAnsi="宋体" w:cs="宋体"/>
                <w:sz w:val="24"/>
              </w:rPr>
              <w:t>五</w:t>
            </w:r>
          </w:p>
        </w:tc>
        <w:tc>
          <w:tcPr>
            <w:tcW w:w="6038" w:type="dxa"/>
            <w:vAlign w:val="center"/>
          </w:tcPr>
          <w:p w14:paraId="4766C53A">
            <w:pPr>
              <w:spacing w:line="44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9F35AF3">
            <w:pPr>
              <w:spacing w:line="440" w:lineRule="exact"/>
              <w:jc w:val="center"/>
              <w:rPr>
                <w:rFonts w:ascii="宋体" w:hAnsi="宋体" w:cs="宋体"/>
                <w:b/>
                <w:sz w:val="24"/>
              </w:rPr>
            </w:pPr>
          </w:p>
        </w:tc>
      </w:tr>
      <w:tr w14:paraId="6BC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381CF995">
            <w:pPr>
              <w:spacing w:line="440" w:lineRule="exact"/>
              <w:jc w:val="center"/>
              <w:rPr>
                <w:rFonts w:ascii="宋体" w:hAnsi="宋体" w:cs="宋体"/>
                <w:sz w:val="24"/>
              </w:rPr>
            </w:pPr>
            <w:r>
              <w:rPr>
                <w:rFonts w:hint="eastAsia" w:ascii="宋体" w:hAnsi="宋体" w:cs="宋体"/>
                <w:sz w:val="24"/>
              </w:rPr>
              <w:t>六</w:t>
            </w:r>
          </w:p>
        </w:tc>
        <w:tc>
          <w:tcPr>
            <w:tcW w:w="6038" w:type="dxa"/>
            <w:vAlign w:val="center"/>
          </w:tcPr>
          <w:p w14:paraId="26CF96C6">
            <w:pPr>
              <w:spacing w:line="44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04486CE3">
            <w:pPr>
              <w:spacing w:line="440" w:lineRule="exact"/>
              <w:rPr>
                <w:rFonts w:ascii="宋体" w:hAnsi="宋体" w:cs="宋体"/>
                <w:b/>
                <w:sz w:val="24"/>
              </w:rPr>
            </w:pPr>
          </w:p>
        </w:tc>
      </w:tr>
      <w:tr w14:paraId="118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72229AB4">
            <w:pPr>
              <w:spacing w:line="440" w:lineRule="exact"/>
              <w:jc w:val="center"/>
              <w:rPr>
                <w:rFonts w:ascii="宋体" w:hAnsi="宋体" w:cs="宋体"/>
                <w:sz w:val="24"/>
              </w:rPr>
            </w:pPr>
            <w:r>
              <w:rPr>
                <w:rFonts w:hint="eastAsia" w:ascii="宋体" w:hAnsi="宋体" w:cs="宋体"/>
                <w:sz w:val="24"/>
              </w:rPr>
              <w:t>七</w:t>
            </w:r>
          </w:p>
        </w:tc>
        <w:tc>
          <w:tcPr>
            <w:tcW w:w="6038" w:type="dxa"/>
            <w:vAlign w:val="center"/>
          </w:tcPr>
          <w:p w14:paraId="7E78D04E">
            <w:pPr>
              <w:spacing w:line="440" w:lineRule="exact"/>
              <w:rPr>
                <w:rFonts w:ascii="宋体" w:hAnsi="宋体" w:cs="宋体"/>
                <w:sz w:val="24"/>
              </w:rPr>
            </w:pPr>
            <w:r>
              <w:rPr>
                <w:rFonts w:hint="eastAsia" w:ascii="宋体" w:hAnsi="宋体" w:cs="宋体"/>
                <w:sz w:val="24"/>
                <w:szCs w:val="24"/>
              </w:rPr>
              <w:t>相关服务承诺函</w:t>
            </w:r>
          </w:p>
        </w:tc>
        <w:tc>
          <w:tcPr>
            <w:tcW w:w="1417" w:type="dxa"/>
            <w:vAlign w:val="center"/>
          </w:tcPr>
          <w:p w14:paraId="5F1FC3F1">
            <w:pPr>
              <w:spacing w:line="440" w:lineRule="exact"/>
              <w:rPr>
                <w:rFonts w:ascii="宋体" w:hAnsi="宋体" w:cs="宋体"/>
                <w:b/>
                <w:sz w:val="24"/>
              </w:rPr>
            </w:pPr>
          </w:p>
        </w:tc>
      </w:tr>
      <w:tr w14:paraId="0B06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29355343">
            <w:pPr>
              <w:spacing w:line="440" w:lineRule="exact"/>
              <w:jc w:val="center"/>
              <w:rPr>
                <w:rFonts w:ascii="宋体" w:hAnsi="宋体" w:cs="宋体"/>
                <w:sz w:val="24"/>
              </w:rPr>
            </w:pPr>
            <w:r>
              <w:rPr>
                <w:rFonts w:hint="eastAsia" w:ascii="宋体" w:hAnsi="宋体" w:cs="宋体"/>
                <w:sz w:val="24"/>
              </w:rPr>
              <w:t>八</w:t>
            </w:r>
          </w:p>
        </w:tc>
        <w:tc>
          <w:tcPr>
            <w:tcW w:w="6038" w:type="dxa"/>
            <w:vAlign w:val="center"/>
          </w:tcPr>
          <w:p w14:paraId="3D75FE88">
            <w:pPr>
              <w:spacing w:line="440" w:lineRule="exact"/>
              <w:rPr>
                <w:rFonts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096B5925">
            <w:pPr>
              <w:spacing w:line="440" w:lineRule="exact"/>
              <w:rPr>
                <w:rFonts w:ascii="宋体" w:hAnsi="宋体" w:cs="宋体"/>
                <w:b/>
                <w:sz w:val="24"/>
              </w:rPr>
            </w:pPr>
          </w:p>
        </w:tc>
      </w:tr>
      <w:tr w14:paraId="33CE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5083EB63">
            <w:pPr>
              <w:spacing w:line="440" w:lineRule="exact"/>
              <w:jc w:val="center"/>
              <w:rPr>
                <w:rFonts w:ascii="宋体" w:hAnsi="宋体" w:cs="宋体"/>
                <w:sz w:val="24"/>
              </w:rPr>
            </w:pPr>
          </w:p>
        </w:tc>
        <w:tc>
          <w:tcPr>
            <w:tcW w:w="6038" w:type="dxa"/>
            <w:vAlign w:val="center"/>
          </w:tcPr>
          <w:p w14:paraId="4B579036">
            <w:pPr>
              <w:spacing w:line="440" w:lineRule="exact"/>
              <w:rPr>
                <w:rFonts w:ascii="宋体" w:hAnsi="宋体" w:cs="宋体"/>
                <w:sz w:val="24"/>
              </w:rPr>
            </w:pPr>
          </w:p>
        </w:tc>
        <w:tc>
          <w:tcPr>
            <w:tcW w:w="1417" w:type="dxa"/>
            <w:vAlign w:val="center"/>
          </w:tcPr>
          <w:p w14:paraId="61D2341C">
            <w:pPr>
              <w:spacing w:line="440" w:lineRule="exact"/>
              <w:rPr>
                <w:rFonts w:ascii="宋体" w:hAnsi="宋体" w:cs="宋体"/>
                <w:b/>
                <w:sz w:val="24"/>
              </w:rPr>
            </w:pPr>
          </w:p>
        </w:tc>
      </w:tr>
      <w:tr w14:paraId="0440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110D23E0">
            <w:pPr>
              <w:spacing w:line="440" w:lineRule="exact"/>
              <w:jc w:val="center"/>
              <w:rPr>
                <w:rFonts w:ascii="宋体" w:hAnsi="宋体" w:cs="宋体"/>
                <w:sz w:val="24"/>
              </w:rPr>
            </w:pPr>
          </w:p>
        </w:tc>
        <w:tc>
          <w:tcPr>
            <w:tcW w:w="6038" w:type="dxa"/>
            <w:vAlign w:val="center"/>
          </w:tcPr>
          <w:p w14:paraId="3333CD5E">
            <w:pPr>
              <w:spacing w:line="440" w:lineRule="exact"/>
              <w:rPr>
                <w:rFonts w:ascii="宋体" w:hAnsi="宋体" w:cs="宋体"/>
                <w:sz w:val="24"/>
              </w:rPr>
            </w:pPr>
          </w:p>
        </w:tc>
        <w:tc>
          <w:tcPr>
            <w:tcW w:w="1417" w:type="dxa"/>
            <w:vAlign w:val="center"/>
          </w:tcPr>
          <w:p w14:paraId="46E47A43">
            <w:pPr>
              <w:spacing w:line="440" w:lineRule="exact"/>
              <w:rPr>
                <w:rFonts w:ascii="宋体" w:hAnsi="宋体" w:cs="宋体"/>
                <w:b/>
                <w:sz w:val="24"/>
              </w:rPr>
            </w:pPr>
          </w:p>
        </w:tc>
      </w:tr>
      <w:tr w14:paraId="28BB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0E7FA262">
            <w:pPr>
              <w:spacing w:line="440" w:lineRule="exact"/>
              <w:jc w:val="center"/>
              <w:rPr>
                <w:rFonts w:ascii="宋体" w:hAnsi="宋体" w:cs="宋体"/>
                <w:sz w:val="24"/>
              </w:rPr>
            </w:pPr>
          </w:p>
        </w:tc>
        <w:tc>
          <w:tcPr>
            <w:tcW w:w="6038" w:type="dxa"/>
            <w:vAlign w:val="center"/>
          </w:tcPr>
          <w:p w14:paraId="27BD5067">
            <w:pPr>
              <w:spacing w:line="440" w:lineRule="exact"/>
              <w:rPr>
                <w:rFonts w:ascii="宋体" w:hAnsi="宋体" w:cs="宋体"/>
                <w:sz w:val="24"/>
              </w:rPr>
            </w:pPr>
          </w:p>
        </w:tc>
        <w:tc>
          <w:tcPr>
            <w:tcW w:w="1417" w:type="dxa"/>
            <w:vAlign w:val="center"/>
          </w:tcPr>
          <w:p w14:paraId="2AF99447">
            <w:pPr>
              <w:spacing w:line="440" w:lineRule="exact"/>
              <w:rPr>
                <w:rFonts w:ascii="宋体" w:hAnsi="宋体" w:cs="宋体"/>
                <w:b/>
                <w:sz w:val="24"/>
              </w:rPr>
            </w:pPr>
          </w:p>
        </w:tc>
      </w:tr>
      <w:tr w14:paraId="7F04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3C03147E">
            <w:pPr>
              <w:spacing w:line="440" w:lineRule="exact"/>
              <w:jc w:val="center"/>
              <w:rPr>
                <w:rFonts w:ascii="宋体" w:hAnsi="宋体" w:cs="宋体"/>
                <w:sz w:val="24"/>
              </w:rPr>
            </w:pPr>
          </w:p>
        </w:tc>
        <w:tc>
          <w:tcPr>
            <w:tcW w:w="6038" w:type="dxa"/>
            <w:vAlign w:val="center"/>
          </w:tcPr>
          <w:p w14:paraId="11330354">
            <w:pPr>
              <w:spacing w:line="440" w:lineRule="exact"/>
              <w:rPr>
                <w:rFonts w:ascii="宋体" w:hAnsi="宋体" w:cs="宋体"/>
                <w:sz w:val="24"/>
              </w:rPr>
            </w:pPr>
          </w:p>
        </w:tc>
        <w:tc>
          <w:tcPr>
            <w:tcW w:w="1417" w:type="dxa"/>
            <w:vAlign w:val="center"/>
          </w:tcPr>
          <w:p w14:paraId="43096DFE">
            <w:pPr>
              <w:spacing w:line="440" w:lineRule="exact"/>
              <w:rPr>
                <w:rFonts w:ascii="宋体" w:hAnsi="宋体" w:cs="宋体"/>
                <w:b/>
                <w:sz w:val="24"/>
              </w:rPr>
            </w:pPr>
          </w:p>
        </w:tc>
      </w:tr>
      <w:tr w14:paraId="301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2FE02FE">
            <w:pPr>
              <w:spacing w:line="440" w:lineRule="exact"/>
              <w:jc w:val="center"/>
              <w:rPr>
                <w:rFonts w:ascii="宋体" w:hAnsi="宋体" w:cs="宋体"/>
                <w:sz w:val="24"/>
              </w:rPr>
            </w:pPr>
          </w:p>
        </w:tc>
        <w:tc>
          <w:tcPr>
            <w:tcW w:w="6038" w:type="dxa"/>
            <w:vAlign w:val="center"/>
          </w:tcPr>
          <w:p w14:paraId="7F8888CA">
            <w:pPr>
              <w:spacing w:line="440" w:lineRule="exact"/>
              <w:rPr>
                <w:rFonts w:ascii="宋体" w:hAnsi="宋体" w:cs="宋体"/>
                <w:sz w:val="24"/>
              </w:rPr>
            </w:pPr>
          </w:p>
        </w:tc>
        <w:tc>
          <w:tcPr>
            <w:tcW w:w="1417" w:type="dxa"/>
            <w:vAlign w:val="center"/>
          </w:tcPr>
          <w:p w14:paraId="0ADE34DD">
            <w:pPr>
              <w:spacing w:line="440" w:lineRule="exact"/>
              <w:rPr>
                <w:rFonts w:ascii="宋体" w:hAnsi="宋体" w:cs="宋体"/>
                <w:b/>
                <w:sz w:val="24"/>
              </w:rPr>
            </w:pPr>
          </w:p>
        </w:tc>
      </w:tr>
      <w:tr w14:paraId="638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15D9363">
            <w:pPr>
              <w:spacing w:line="440" w:lineRule="exact"/>
              <w:jc w:val="center"/>
              <w:rPr>
                <w:rFonts w:ascii="宋体" w:hAnsi="宋体" w:cs="宋体"/>
                <w:sz w:val="24"/>
              </w:rPr>
            </w:pPr>
          </w:p>
        </w:tc>
        <w:tc>
          <w:tcPr>
            <w:tcW w:w="6038" w:type="dxa"/>
            <w:vAlign w:val="center"/>
          </w:tcPr>
          <w:p w14:paraId="4D8DE9E0">
            <w:pPr>
              <w:spacing w:line="440" w:lineRule="exact"/>
              <w:rPr>
                <w:rFonts w:ascii="宋体" w:hAnsi="宋体" w:cs="宋体"/>
                <w:sz w:val="24"/>
              </w:rPr>
            </w:pPr>
          </w:p>
        </w:tc>
        <w:tc>
          <w:tcPr>
            <w:tcW w:w="1417" w:type="dxa"/>
            <w:vAlign w:val="center"/>
          </w:tcPr>
          <w:p w14:paraId="5F234D83">
            <w:pPr>
              <w:spacing w:line="440" w:lineRule="exact"/>
              <w:rPr>
                <w:rFonts w:ascii="宋体" w:hAnsi="宋体" w:cs="宋体"/>
                <w:b/>
                <w:sz w:val="24"/>
              </w:rPr>
            </w:pPr>
          </w:p>
        </w:tc>
      </w:tr>
    </w:tbl>
    <w:p w14:paraId="6CBD28FC">
      <w:pPr>
        <w:spacing w:line="360" w:lineRule="auto"/>
        <w:jc w:val="center"/>
        <w:rPr>
          <w:rFonts w:ascii="宋体" w:hAnsi="宋体" w:cs="宋体"/>
          <w:b/>
          <w:sz w:val="24"/>
        </w:rPr>
      </w:pPr>
    </w:p>
    <w:p w14:paraId="0C673E34">
      <w:pPr>
        <w:spacing w:line="360" w:lineRule="auto"/>
        <w:jc w:val="center"/>
        <w:rPr>
          <w:rFonts w:ascii="宋体" w:hAnsi="宋体" w:cs="宋体"/>
          <w:b/>
          <w:sz w:val="24"/>
        </w:rPr>
      </w:pPr>
    </w:p>
    <w:p w14:paraId="05C7A2D6">
      <w:pPr>
        <w:spacing w:line="360" w:lineRule="auto"/>
        <w:jc w:val="center"/>
        <w:rPr>
          <w:rFonts w:ascii="宋体" w:hAnsi="宋体" w:cs="宋体"/>
          <w:b/>
          <w:sz w:val="24"/>
        </w:rPr>
      </w:pPr>
    </w:p>
    <w:p w14:paraId="06814540">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96" w:name="_Toc21309"/>
      <w:bookmarkStart w:id="97" w:name="_Toc10603"/>
      <w:bookmarkStart w:id="98" w:name="_Toc8158"/>
      <w:r>
        <w:rPr>
          <w:rFonts w:hint="eastAsia" w:ascii="宋体" w:hAnsi="宋体" w:eastAsia="宋体" w:cs="宋体"/>
          <w:sz w:val="24"/>
          <w:szCs w:val="24"/>
        </w:rPr>
        <w:t>附件一</w:t>
      </w:r>
      <w:bookmarkEnd w:id="96"/>
      <w:bookmarkEnd w:id="97"/>
      <w:bookmarkEnd w:id="98"/>
    </w:p>
    <w:p w14:paraId="62C8A651">
      <w:pPr>
        <w:pStyle w:val="4"/>
        <w:spacing w:before="0" w:after="0" w:line="560" w:lineRule="exact"/>
        <w:jc w:val="center"/>
        <w:rPr>
          <w:rFonts w:ascii="宋体" w:hAnsi="宋体" w:eastAsia="宋体" w:cs="宋体"/>
          <w:sz w:val="24"/>
          <w:szCs w:val="24"/>
        </w:rPr>
      </w:pPr>
      <w:bookmarkStart w:id="99" w:name="_Toc5601"/>
      <w:bookmarkStart w:id="100" w:name="_Toc10816"/>
      <w:bookmarkStart w:id="101" w:name="_Toc9181"/>
      <w:r>
        <w:rPr>
          <w:rFonts w:hint="eastAsia" w:ascii="宋体" w:hAnsi="宋体" w:eastAsia="宋体" w:cs="宋体"/>
          <w:sz w:val="24"/>
          <w:szCs w:val="24"/>
        </w:rPr>
        <w:t>报价单</w:t>
      </w:r>
      <w:bookmarkEnd w:id="99"/>
      <w:bookmarkEnd w:id="100"/>
      <w:bookmarkEnd w:id="101"/>
    </w:p>
    <w:p w14:paraId="5C9F7B94">
      <w:pPr>
        <w:rPr>
          <w:rFonts w:ascii="宋体" w:hAnsi="宋体" w:cs="宋体"/>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6E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92AAAEC">
            <w:pPr>
              <w:jc w:val="center"/>
              <w:rPr>
                <w:rFonts w:ascii="宋体" w:hAnsi="宋体" w:cs="宋体"/>
                <w:b/>
                <w:sz w:val="24"/>
                <w:szCs w:val="24"/>
              </w:rPr>
            </w:pPr>
            <w:r>
              <w:rPr>
                <w:rFonts w:hint="eastAsia" w:ascii="宋体" w:hAnsi="宋体" w:cs="宋体"/>
                <w:b/>
                <w:sz w:val="24"/>
                <w:szCs w:val="24"/>
              </w:rPr>
              <w:t>序号</w:t>
            </w:r>
          </w:p>
        </w:tc>
        <w:tc>
          <w:tcPr>
            <w:tcW w:w="4078" w:type="dxa"/>
            <w:vAlign w:val="center"/>
          </w:tcPr>
          <w:p w14:paraId="19ED525D">
            <w:pPr>
              <w:jc w:val="center"/>
              <w:rPr>
                <w:rFonts w:ascii="宋体" w:hAnsi="宋体" w:cs="宋体"/>
                <w:b/>
                <w:sz w:val="24"/>
                <w:szCs w:val="24"/>
              </w:rPr>
            </w:pPr>
            <w:r>
              <w:rPr>
                <w:rFonts w:hint="eastAsia" w:ascii="宋体" w:hAnsi="宋体" w:cs="宋体"/>
                <w:b/>
                <w:sz w:val="24"/>
                <w:szCs w:val="24"/>
              </w:rPr>
              <w:t>服务内容</w:t>
            </w:r>
          </w:p>
        </w:tc>
        <w:tc>
          <w:tcPr>
            <w:tcW w:w="1214" w:type="dxa"/>
            <w:vAlign w:val="center"/>
          </w:tcPr>
          <w:p w14:paraId="154AB0D9">
            <w:pPr>
              <w:jc w:val="center"/>
              <w:rPr>
                <w:rFonts w:ascii="宋体" w:hAnsi="宋体" w:cs="宋体"/>
                <w:b/>
                <w:sz w:val="24"/>
                <w:szCs w:val="24"/>
              </w:rPr>
            </w:pPr>
            <w:r>
              <w:rPr>
                <w:rFonts w:hint="eastAsia" w:ascii="宋体" w:hAnsi="宋体" w:cs="宋体"/>
                <w:b/>
                <w:sz w:val="24"/>
                <w:szCs w:val="24"/>
              </w:rPr>
              <w:t>项</w:t>
            </w:r>
          </w:p>
        </w:tc>
        <w:tc>
          <w:tcPr>
            <w:tcW w:w="1091" w:type="dxa"/>
            <w:vAlign w:val="center"/>
          </w:tcPr>
          <w:p w14:paraId="487AF640">
            <w:pPr>
              <w:jc w:val="center"/>
              <w:rPr>
                <w:rFonts w:ascii="宋体" w:hAnsi="宋体" w:cs="宋体"/>
                <w:b/>
                <w:sz w:val="24"/>
                <w:szCs w:val="24"/>
              </w:rPr>
            </w:pPr>
            <w:r>
              <w:rPr>
                <w:rFonts w:hint="eastAsia" w:ascii="宋体" w:hAnsi="宋体" w:cs="宋体"/>
                <w:b/>
                <w:sz w:val="24"/>
                <w:szCs w:val="24"/>
              </w:rPr>
              <w:t>单价</w:t>
            </w:r>
          </w:p>
        </w:tc>
        <w:tc>
          <w:tcPr>
            <w:tcW w:w="1821" w:type="dxa"/>
            <w:vAlign w:val="center"/>
          </w:tcPr>
          <w:p w14:paraId="5189F8C9">
            <w:pPr>
              <w:jc w:val="center"/>
              <w:rPr>
                <w:rFonts w:ascii="宋体" w:hAnsi="宋体" w:cs="宋体"/>
                <w:b/>
                <w:sz w:val="24"/>
                <w:szCs w:val="24"/>
              </w:rPr>
            </w:pPr>
            <w:r>
              <w:rPr>
                <w:rFonts w:hint="eastAsia" w:ascii="宋体" w:hAnsi="宋体" w:cs="宋体"/>
                <w:b/>
                <w:sz w:val="24"/>
                <w:szCs w:val="24"/>
              </w:rPr>
              <w:t>小计金额（元）</w:t>
            </w:r>
          </w:p>
        </w:tc>
      </w:tr>
      <w:tr w14:paraId="260F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703241F0">
            <w:pPr>
              <w:jc w:val="center"/>
              <w:rPr>
                <w:rFonts w:ascii="宋体" w:hAnsi="宋体" w:cs="宋体"/>
                <w:bCs/>
                <w:sz w:val="24"/>
                <w:szCs w:val="24"/>
              </w:rPr>
            </w:pPr>
            <w:r>
              <w:rPr>
                <w:rFonts w:hint="eastAsia" w:ascii="宋体" w:hAnsi="宋体" w:cs="宋体"/>
                <w:bCs/>
                <w:sz w:val="24"/>
                <w:szCs w:val="24"/>
              </w:rPr>
              <w:t>1</w:t>
            </w:r>
          </w:p>
        </w:tc>
        <w:tc>
          <w:tcPr>
            <w:tcW w:w="4078" w:type="dxa"/>
            <w:vAlign w:val="center"/>
          </w:tcPr>
          <w:p w14:paraId="12012475">
            <w:pPr>
              <w:jc w:val="center"/>
              <w:rPr>
                <w:rFonts w:ascii="宋体" w:hAnsi="宋体" w:cs="宋体"/>
                <w:bCs/>
                <w:sz w:val="24"/>
                <w:szCs w:val="24"/>
              </w:rPr>
            </w:pPr>
          </w:p>
        </w:tc>
        <w:tc>
          <w:tcPr>
            <w:tcW w:w="1214" w:type="dxa"/>
            <w:vAlign w:val="center"/>
          </w:tcPr>
          <w:p w14:paraId="31D26BB3">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091" w:type="dxa"/>
            <w:vAlign w:val="center"/>
          </w:tcPr>
          <w:p w14:paraId="241A5987">
            <w:pPr>
              <w:jc w:val="center"/>
              <w:rPr>
                <w:rFonts w:ascii="宋体" w:hAnsi="宋体" w:cs="宋体"/>
                <w:bCs/>
                <w:sz w:val="24"/>
                <w:szCs w:val="24"/>
              </w:rPr>
            </w:pPr>
          </w:p>
        </w:tc>
        <w:tc>
          <w:tcPr>
            <w:tcW w:w="1821" w:type="dxa"/>
            <w:vAlign w:val="center"/>
          </w:tcPr>
          <w:p w14:paraId="5D584689">
            <w:pPr>
              <w:jc w:val="center"/>
              <w:rPr>
                <w:rFonts w:ascii="宋体" w:hAnsi="宋体" w:cs="宋体"/>
                <w:bCs/>
                <w:sz w:val="24"/>
                <w:szCs w:val="24"/>
              </w:rPr>
            </w:pPr>
          </w:p>
        </w:tc>
      </w:tr>
      <w:tr w14:paraId="1DE0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83827FA">
            <w:pPr>
              <w:jc w:val="center"/>
              <w:rPr>
                <w:rFonts w:ascii="宋体" w:hAnsi="宋体" w:cs="宋体"/>
                <w:bCs/>
                <w:sz w:val="24"/>
                <w:szCs w:val="24"/>
              </w:rPr>
            </w:pPr>
            <w:r>
              <w:rPr>
                <w:rFonts w:hint="eastAsia" w:ascii="宋体" w:hAnsi="宋体" w:cs="宋体"/>
                <w:bCs/>
                <w:sz w:val="24"/>
                <w:szCs w:val="24"/>
              </w:rPr>
              <w:t>2</w:t>
            </w:r>
          </w:p>
        </w:tc>
        <w:tc>
          <w:tcPr>
            <w:tcW w:w="4078" w:type="dxa"/>
            <w:vAlign w:val="center"/>
          </w:tcPr>
          <w:p w14:paraId="3207D943">
            <w:pPr>
              <w:jc w:val="center"/>
              <w:rPr>
                <w:rFonts w:ascii="宋体" w:hAnsi="宋体" w:cs="宋体"/>
                <w:bCs/>
                <w:sz w:val="24"/>
                <w:szCs w:val="24"/>
              </w:rPr>
            </w:pPr>
          </w:p>
        </w:tc>
        <w:tc>
          <w:tcPr>
            <w:tcW w:w="1214" w:type="dxa"/>
            <w:vAlign w:val="center"/>
          </w:tcPr>
          <w:p w14:paraId="226E9689">
            <w:pPr>
              <w:jc w:val="center"/>
              <w:rPr>
                <w:rFonts w:ascii="宋体" w:hAnsi="宋体" w:cs="宋体"/>
                <w:bCs/>
                <w:sz w:val="24"/>
                <w:szCs w:val="24"/>
              </w:rPr>
            </w:pPr>
          </w:p>
        </w:tc>
        <w:tc>
          <w:tcPr>
            <w:tcW w:w="1091" w:type="dxa"/>
            <w:vAlign w:val="center"/>
          </w:tcPr>
          <w:p w14:paraId="3322E740">
            <w:pPr>
              <w:jc w:val="center"/>
              <w:rPr>
                <w:rFonts w:ascii="宋体" w:hAnsi="宋体" w:cs="宋体"/>
                <w:bCs/>
                <w:sz w:val="24"/>
                <w:szCs w:val="24"/>
              </w:rPr>
            </w:pPr>
          </w:p>
        </w:tc>
        <w:tc>
          <w:tcPr>
            <w:tcW w:w="1821" w:type="dxa"/>
            <w:vAlign w:val="center"/>
          </w:tcPr>
          <w:p w14:paraId="0FD678A7">
            <w:pPr>
              <w:jc w:val="center"/>
              <w:rPr>
                <w:rFonts w:ascii="宋体" w:hAnsi="宋体" w:cs="宋体"/>
                <w:bCs/>
                <w:sz w:val="24"/>
                <w:szCs w:val="24"/>
              </w:rPr>
            </w:pPr>
          </w:p>
        </w:tc>
      </w:tr>
      <w:tr w14:paraId="100D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8036A7F">
            <w:pPr>
              <w:jc w:val="center"/>
              <w:rPr>
                <w:rFonts w:ascii="宋体" w:hAnsi="宋体" w:cs="宋体"/>
                <w:bCs/>
                <w:sz w:val="24"/>
                <w:szCs w:val="24"/>
              </w:rPr>
            </w:pPr>
            <w:r>
              <w:rPr>
                <w:rFonts w:hint="eastAsia" w:ascii="宋体" w:hAnsi="宋体" w:cs="宋体"/>
                <w:bCs/>
                <w:sz w:val="24"/>
                <w:szCs w:val="24"/>
              </w:rPr>
              <w:t>3</w:t>
            </w:r>
          </w:p>
        </w:tc>
        <w:tc>
          <w:tcPr>
            <w:tcW w:w="4078" w:type="dxa"/>
            <w:vAlign w:val="center"/>
          </w:tcPr>
          <w:p w14:paraId="779A58BE">
            <w:pPr>
              <w:jc w:val="center"/>
              <w:rPr>
                <w:rFonts w:ascii="宋体" w:hAnsi="宋体" w:cs="宋体"/>
                <w:bCs/>
                <w:sz w:val="24"/>
                <w:szCs w:val="24"/>
              </w:rPr>
            </w:pPr>
          </w:p>
        </w:tc>
        <w:tc>
          <w:tcPr>
            <w:tcW w:w="1214" w:type="dxa"/>
            <w:vAlign w:val="center"/>
          </w:tcPr>
          <w:p w14:paraId="5D59EF67">
            <w:pPr>
              <w:jc w:val="center"/>
              <w:rPr>
                <w:rFonts w:ascii="宋体" w:hAnsi="宋体" w:cs="宋体"/>
                <w:bCs/>
                <w:sz w:val="24"/>
                <w:szCs w:val="24"/>
              </w:rPr>
            </w:pPr>
          </w:p>
        </w:tc>
        <w:tc>
          <w:tcPr>
            <w:tcW w:w="1091" w:type="dxa"/>
            <w:vAlign w:val="center"/>
          </w:tcPr>
          <w:p w14:paraId="7192AFB3">
            <w:pPr>
              <w:jc w:val="center"/>
              <w:rPr>
                <w:rFonts w:ascii="宋体" w:hAnsi="宋体" w:cs="宋体"/>
                <w:bCs/>
                <w:sz w:val="24"/>
                <w:szCs w:val="24"/>
              </w:rPr>
            </w:pPr>
          </w:p>
        </w:tc>
        <w:tc>
          <w:tcPr>
            <w:tcW w:w="1821" w:type="dxa"/>
            <w:vAlign w:val="center"/>
          </w:tcPr>
          <w:p w14:paraId="17D948AC">
            <w:pPr>
              <w:jc w:val="center"/>
              <w:rPr>
                <w:rFonts w:ascii="宋体" w:hAnsi="宋体" w:cs="宋体"/>
                <w:bCs/>
                <w:sz w:val="24"/>
                <w:szCs w:val="24"/>
              </w:rPr>
            </w:pPr>
          </w:p>
        </w:tc>
      </w:tr>
      <w:tr w14:paraId="79BA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1AD7698">
            <w:pPr>
              <w:jc w:val="center"/>
              <w:rPr>
                <w:rFonts w:ascii="宋体" w:hAnsi="宋体" w:cs="宋体"/>
                <w:bCs/>
                <w:sz w:val="24"/>
                <w:szCs w:val="24"/>
              </w:rPr>
            </w:pPr>
            <w:r>
              <w:rPr>
                <w:rFonts w:hint="eastAsia" w:ascii="宋体" w:hAnsi="宋体" w:cs="宋体"/>
                <w:bCs/>
                <w:sz w:val="24"/>
                <w:szCs w:val="24"/>
              </w:rPr>
              <w:t>…</w:t>
            </w:r>
          </w:p>
        </w:tc>
        <w:tc>
          <w:tcPr>
            <w:tcW w:w="4078" w:type="dxa"/>
            <w:vAlign w:val="center"/>
          </w:tcPr>
          <w:p w14:paraId="0213E9E7">
            <w:pPr>
              <w:jc w:val="center"/>
              <w:rPr>
                <w:rFonts w:ascii="宋体" w:hAnsi="宋体" w:cs="宋体"/>
                <w:bCs/>
                <w:sz w:val="24"/>
                <w:szCs w:val="24"/>
              </w:rPr>
            </w:pPr>
          </w:p>
        </w:tc>
        <w:tc>
          <w:tcPr>
            <w:tcW w:w="1214" w:type="dxa"/>
            <w:vAlign w:val="center"/>
          </w:tcPr>
          <w:p w14:paraId="757F9613">
            <w:pPr>
              <w:jc w:val="center"/>
              <w:rPr>
                <w:rFonts w:ascii="宋体" w:hAnsi="宋体" w:cs="宋体"/>
                <w:bCs/>
                <w:sz w:val="24"/>
                <w:szCs w:val="24"/>
              </w:rPr>
            </w:pPr>
          </w:p>
        </w:tc>
        <w:tc>
          <w:tcPr>
            <w:tcW w:w="1091" w:type="dxa"/>
            <w:vAlign w:val="center"/>
          </w:tcPr>
          <w:p w14:paraId="5649018E">
            <w:pPr>
              <w:jc w:val="center"/>
              <w:rPr>
                <w:rFonts w:ascii="宋体" w:hAnsi="宋体" w:cs="宋体"/>
                <w:bCs/>
                <w:sz w:val="24"/>
                <w:szCs w:val="24"/>
              </w:rPr>
            </w:pPr>
          </w:p>
        </w:tc>
        <w:tc>
          <w:tcPr>
            <w:tcW w:w="1821" w:type="dxa"/>
            <w:vAlign w:val="center"/>
          </w:tcPr>
          <w:p w14:paraId="2DA52DBA">
            <w:pPr>
              <w:jc w:val="center"/>
              <w:rPr>
                <w:rFonts w:ascii="宋体" w:hAnsi="宋体" w:cs="宋体"/>
                <w:bCs/>
                <w:sz w:val="24"/>
                <w:szCs w:val="24"/>
              </w:rPr>
            </w:pPr>
          </w:p>
        </w:tc>
      </w:tr>
      <w:tr w14:paraId="39E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358D25A">
            <w:pPr>
              <w:jc w:val="center"/>
              <w:rPr>
                <w:rFonts w:ascii="宋体" w:hAnsi="宋体" w:cs="宋体"/>
                <w:bCs/>
                <w:sz w:val="24"/>
                <w:szCs w:val="24"/>
              </w:rPr>
            </w:pPr>
          </w:p>
        </w:tc>
        <w:tc>
          <w:tcPr>
            <w:tcW w:w="4078" w:type="dxa"/>
            <w:vAlign w:val="center"/>
          </w:tcPr>
          <w:p w14:paraId="658F8805">
            <w:pPr>
              <w:pStyle w:val="64"/>
              <w:ind w:left="-108"/>
              <w:jc w:val="center"/>
              <w:rPr>
                <w:rFonts w:ascii="宋体" w:hAnsi="宋体" w:cs="宋体"/>
                <w:bCs/>
                <w:szCs w:val="24"/>
              </w:rPr>
            </w:pPr>
            <w:r>
              <w:rPr>
                <w:rFonts w:hint="eastAsia" w:ascii="宋体" w:hAnsi="宋体" w:cs="宋体"/>
                <w:bCs/>
                <w:szCs w:val="24"/>
              </w:rPr>
              <w:t>其他费用</w:t>
            </w:r>
          </w:p>
        </w:tc>
        <w:tc>
          <w:tcPr>
            <w:tcW w:w="1214" w:type="dxa"/>
            <w:vAlign w:val="center"/>
          </w:tcPr>
          <w:p w14:paraId="23D2544F">
            <w:pPr>
              <w:jc w:val="center"/>
              <w:rPr>
                <w:rFonts w:ascii="宋体" w:hAnsi="宋体" w:cs="宋体"/>
                <w:bCs/>
                <w:sz w:val="24"/>
                <w:szCs w:val="24"/>
              </w:rPr>
            </w:pPr>
          </w:p>
        </w:tc>
        <w:tc>
          <w:tcPr>
            <w:tcW w:w="1091" w:type="dxa"/>
            <w:vAlign w:val="center"/>
          </w:tcPr>
          <w:p w14:paraId="2FBDD931">
            <w:pPr>
              <w:jc w:val="center"/>
              <w:rPr>
                <w:rFonts w:ascii="宋体" w:hAnsi="宋体" w:cs="宋体"/>
                <w:bCs/>
                <w:sz w:val="24"/>
                <w:szCs w:val="24"/>
              </w:rPr>
            </w:pPr>
          </w:p>
        </w:tc>
        <w:tc>
          <w:tcPr>
            <w:tcW w:w="1821" w:type="dxa"/>
            <w:vAlign w:val="center"/>
          </w:tcPr>
          <w:p w14:paraId="79ABB781">
            <w:pPr>
              <w:jc w:val="center"/>
              <w:rPr>
                <w:rFonts w:ascii="宋体" w:hAnsi="宋体" w:cs="宋体"/>
                <w:bCs/>
                <w:sz w:val="24"/>
                <w:szCs w:val="24"/>
              </w:rPr>
            </w:pPr>
          </w:p>
        </w:tc>
      </w:tr>
      <w:tr w14:paraId="7CE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6D40E05">
            <w:pPr>
              <w:jc w:val="center"/>
              <w:rPr>
                <w:rFonts w:ascii="宋体" w:hAnsi="宋体" w:cs="宋体"/>
                <w:bCs/>
                <w:sz w:val="24"/>
                <w:szCs w:val="24"/>
              </w:rPr>
            </w:pPr>
          </w:p>
        </w:tc>
        <w:tc>
          <w:tcPr>
            <w:tcW w:w="4078" w:type="dxa"/>
            <w:vAlign w:val="center"/>
          </w:tcPr>
          <w:p w14:paraId="10503687">
            <w:pPr>
              <w:jc w:val="center"/>
              <w:rPr>
                <w:rFonts w:ascii="宋体" w:hAnsi="宋体" w:cs="宋体"/>
                <w:bCs/>
                <w:sz w:val="24"/>
                <w:szCs w:val="24"/>
              </w:rPr>
            </w:pPr>
            <w:r>
              <w:rPr>
                <w:rFonts w:hint="eastAsia" w:ascii="宋体" w:hAnsi="宋体" w:cs="宋体"/>
                <w:bCs/>
                <w:sz w:val="24"/>
                <w:szCs w:val="24"/>
              </w:rPr>
              <w:t>……</w:t>
            </w:r>
          </w:p>
        </w:tc>
        <w:tc>
          <w:tcPr>
            <w:tcW w:w="1214" w:type="dxa"/>
            <w:vAlign w:val="center"/>
          </w:tcPr>
          <w:p w14:paraId="7D019976">
            <w:pPr>
              <w:jc w:val="center"/>
              <w:rPr>
                <w:rFonts w:ascii="宋体" w:hAnsi="宋体" w:cs="宋体"/>
                <w:bCs/>
                <w:sz w:val="24"/>
                <w:szCs w:val="24"/>
              </w:rPr>
            </w:pPr>
          </w:p>
        </w:tc>
        <w:tc>
          <w:tcPr>
            <w:tcW w:w="1091" w:type="dxa"/>
            <w:vAlign w:val="center"/>
          </w:tcPr>
          <w:p w14:paraId="773670D9">
            <w:pPr>
              <w:jc w:val="center"/>
              <w:rPr>
                <w:rFonts w:ascii="宋体" w:hAnsi="宋体" w:cs="宋体"/>
                <w:bCs/>
                <w:sz w:val="24"/>
                <w:szCs w:val="24"/>
              </w:rPr>
            </w:pPr>
          </w:p>
        </w:tc>
        <w:tc>
          <w:tcPr>
            <w:tcW w:w="1821" w:type="dxa"/>
            <w:vAlign w:val="center"/>
          </w:tcPr>
          <w:p w14:paraId="2DE56E33">
            <w:pPr>
              <w:jc w:val="center"/>
              <w:rPr>
                <w:rFonts w:ascii="宋体" w:hAnsi="宋体" w:cs="宋体"/>
                <w:bCs/>
                <w:sz w:val="24"/>
                <w:szCs w:val="24"/>
              </w:rPr>
            </w:pPr>
          </w:p>
        </w:tc>
      </w:tr>
      <w:tr w14:paraId="34FC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3DAB3D78">
            <w:pPr>
              <w:jc w:val="center"/>
              <w:rPr>
                <w:rFonts w:ascii="宋体" w:hAnsi="宋体" w:cs="宋体"/>
                <w:bCs/>
                <w:sz w:val="24"/>
                <w:szCs w:val="24"/>
              </w:rPr>
            </w:pPr>
            <w:r>
              <w:rPr>
                <w:rFonts w:hint="eastAsia" w:ascii="宋体" w:hAnsi="宋体" w:cs="宋体"/>
                <w:b/>
                <w:sz w:val="24"/>
                <w:szCs w:val="24"/>
              </w:rPr>
              <w:t>合计金额（元）</w:t>
            </w:r>
          </w:p>
        </w:tc>
        <w:tc>
          <w:tcPr>
            <w:tcW w:w="1821" w:type="dxa"/>
            <w:vAlign w:val="center"/>
          </w:tcPr>
          <w:p w14:paraId="610C1069">
            <w:pPr>
              <w:jc w:val="center"/>
              <w:rPr>
                <w:rFonts w:ascii="宋体" w:hAnsi="宋体" w:cs="宋体"/>
                <w:bCs/>
                <w:sz w:val="24"/>
                <w:szCs w:val="24"/>
              </w:rPr>
            </w:pPr>
          </w:p>
        </w:tc>
      </w:tr>
    </w:tbl>
    <w:p w14:paraId="1FC9AF0F">
      <w:pPr>
        <w:pStyle w:val="18"/>
        <w:spacing w:line="360" w:lineRule="auto"/>
        <w:rPr>
          <w:rFonts w:ascii="宋体" w:hAnsi="宋体" w:eastAsia="宋体" w:cs="宋体"/>
          <w:b/>
          <w:bCs/>
          <w:sz w:val="24"/>
        </w:rPr>
      </w:pPr>
    </w:p>
    <w:p w14:paraId="3CEB032C">
      <w:pPr>
        <w:pStyle w:val="18"/>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eastAsia="zh-CN"/>
        </w:rPr>
        <w:t>盖章</w:t>
      </w:r>
      <w:r>
        <w:rPr>
          <w:rFonts w:hint="eastAsia" w:ascii="宋体" w:hAnsi="宋体" w:eastAsia="宋体" w:cs="宋体"/>
          <w:b/>
          <w:bCs/>
          <w:sz w:val="24"/>
        </w:rPr>
        <w:t>：</w:t>
      </w:r>
    </w:p>
    <w:p w14:paraId="4E47D1E3">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5195E0D2">
      <w:pPr>
        <w:adjustRightInd w:val="0"/>
        <w:snapToGrid w:val="0"/>
        <w:spacing w:line="360" w:lineRule="auto"/>
        <w:rPr>
          <w:rFonts w:ascii="宋体" w:hAnsi="宋体" w:cs="宋体"/>
          <w:b/>
          <w:bCs/>
          <w:sz w:val="24"/>
          <w:szCs w:val="28"/>
        </w:rPr>
      </w:pPr>
    </w:p>
    <w:p w14:paraId="0EDC57E3">
      <w:pPr>
        <w:adjustRightInd w:val="0"/>
        <w:snapToGrid w:val="0"/>
        <w:spacing w:line="360" w:lineRule="auto"/>
        <w:rPr>
          <w:rFonts w:ascii="宋体" w:hAnsi="宋体" w:cs="宋体"/>
          <w:b/>
          <w:sz w:val="24"/>
          <w:szCs w:val="24"/>
        </w:rPr>
      </w:pPr>
      <w:bookmarkStart w:id="102" w:name="_Toc2007"/>
      <w:bookmarkStart w:id="103" w:name="_Toc16998"/>
    </w:p>
    <w:p w14:paraId="30041443">
      <w:pPr>
        <w:adjustRightInd w:val="0"/>
        <w:snapToGrid w:val="0"/>
        <w:spacing w:line="360" w:lineRule="auto"/>
        <w:rPr>
          <w:rFonts w:hint="eastAsia" w:ascii="宋体" w:hAnsi="宋体" w:eastAsia="宋体" w:cs="宋体"/>
          <w:b/>
          <w:sz w:val="24"/>
          <w:szCs w:val="24"/>
          <w:lang w:eastAsia="zh-CN"/>
        </w:rPr>
      </w:pPr>
      <w:r>
        <w:rPr>
          <w:rFonts w:hint="eastAsia" w:ascii="宋体" w:hAnsi="宋体" w:cs="宋体"/>
          <w:b/>
          <w:sz w:val="24"/>
          <w:szCs w:val="24"/>
        </w:rPr>
        <w:t>注：表中所列服务为对应本项目需求的全部服务内容。如有漏项或缺项，供应商承担全部责任。</w:t>
      </w:r>
    </w:p>
    <w:p w14:paraId="06D5A699">
      <w:pPr>
        <w:pStyle w:val="4"/>
        <w:wordWrap w:val="0"/>
        <w:spacing w:before="0" w:after="0" w:line="520" w:lineRule="exact"/>
        <w:rPr>
          <w:rFonts w:ascii="宋体" w:hAnsi="宋体" w:eastAsia="宋体" w:cs="宋体"/>
          <w:sz w:val="24"/>
          <w:szCs w:val="24"/>
        </w:rPr>
      </w:pPr>
    </w:p>
    <w:p w14:paraId="4F8A03FA">
      <w:pPr>
        <w:pStyle w:val="4"/>
        <w:wordWrap w:val="0"/>
        <w:spacing w:before="0" w:after="0" w:line="520" w:lineRule="exact"/>
        <w:rPr>
          <w:rFonts w:ascii="宋体" w:hAnsi="宋体" w:eastAsia="宋体" w:cs="宋体"/>
          <w:sz w:val="24"/>
          <w:szCs w:val="24"/>
        </w:rPr>
      </w:pPr>
    </w:p>
    <w:p w14:paraId="50747950">
      <w:pPr>
        <w:pStyle w:val="4"/>
        <w:wordWrap w:val="0"/>
        <w:spacing w:before="0" w:after="0" w:line="520" w:lineRule="exact"/>
        <w:rPr>
          <w:rFonts w:ascii="宋体" w:hAnsi="宋体" w:eastAsia="宋体" w:cs="宋体"/>
          <w:sz w:val="24"/>
          <w:szCs w:val="24"/>
        </w:rPr>
      </w:pPr>
    </w:p>
    <w:p w14:paraId="5097D4CC">
      <w:pPr>
        <w:pStyle w:val="4"/>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104" w:name="_Toc22855"/>
      <w:r>
        <w:rPr>
          <w:rFonts w:hint="eastAsia" w:ascii="宋体" w:hAnsi="宋体" w:eastAsia="宋体" w:cs="宋体"/>
          <w:sz w:val="24"/>
          <w:szCs w:val="24"/>
        </w:rPr>
        <w:t>附件二</w:t>
      </w:r>
      <w:bookmarkEnd w:id="102"/>
      <w:bookmarkEnd w:id="103"/>
      <w:bookmarkEnd w:id="104"/>
    </w:p>
    <w:p w14:paraId="23A0AA71">
      <w:pPr>
        <w:pStyle w:val="4"/>
        <w:spacing w:before="0" w:after="0" w:line="520" w:lineRule="exact"/>
        <w:jc w:val="center"/>
        <w:rPr>
          <w:rFonts w:ascii="宋体" w:hAnsi="宋体" w:eastAsia="宋体" w:cs="宋体"/>
          <w:sz w:val="24"/>
          <w:szCs w:val="24"/>
        </w:rPr>
      </w:pPr>
      <w:bookmarkStart w:id="105" w:name="_Toc3262"/>
      <w:bookmarkStart w:id="106" w:name="_Toc29464"/>
      <w:bookmarkStart w:id="107" w:name="_Toc17280"/>
      <w:r>
        <w:rPr>
          <w:rFonts w:hint="eastAsia" w:ascii="宋体" w:hAnsi="宋体" w:eastAsia="宋体" w:cs="宋体"/>
          <w:sz w:val="24"/>
          <w:szCs w:val="24"/>
        </w:rPr>
        <w:t>供应商基本信息</w:t>
      </w:r>
      <w:bookmarkEnd w:id="105"/>
      <w:bookmarkEnd w:id="106"/>
      <w:bookmarkEnd w:id="107"/>
    </w:p>
    <w:p w14:paraId="150BB98C">
      <w:pPr>
        <w:pStyle w:val="33"/>
        <w:spacing w:after="0" w:line="520" w:lineRule="exact"/>
        <w:ind w:firstLine="0"/>
        <w:jc w:val="center"/>
        <w:rPr>
          <w:rFonts w:ascii="宋体" w:hAnsi="宋体" w:cs="宋体"/>
        </w:rPr>
      </w:pPr>
      <w:r>
        <w:rPr>
          <w:rFonts w:hint="eastAsia" w:ascii="宋体" w:hAnsi="宋体" w:cs="宋体"/>
        </w:rPr>
        <w:t>（</w:t>
      </w:r>
      <w:r>
        <w:rPr>
          <w:rFonts w:hint="eastAsia" w:ascii="宋体" w:hAnsi="宋体" w:cs="宋体"/>
          <w:lang w:val="en-US" w:eastAsia="zh-CN"/>
        </w:rPr>
        <w:t>营业执照等</w:t>
      </w:r>
      <w:r>
        <w:rPr>
          <w:rFonts w:hint="eastAsia" w:ascii="宋体" w:hAnsi="宋体" w:cs="宋体"/>
        </w:rPr>
        <w:t>）</w:t>
      </w:r>
    </w:p>
    <w:p w14:paraId="1C693F45">
      <w:pPr>
        <w:pStyle w:val="4"/>
        <w:wordWrap w:val="0"/>
        <w:spacing w:before="0" w:after="0" w:line="520" w:lineRule="exact"/>
        <w:rPr>
          <w:rFonts w:ascii="宋体" w:hAnsi="宋体" w:eastAsia="宋体" w:cs="宋体"/>
          <w:sz w:val="24"/>
          <w:szCs w:val="24"/>
        </w:rPr>
      </w:pPr>
      <w:bookmarkStart w:id="108" w:name="_Toc10154"/>
      <w:bookmarkStart w:id="109" w:name="_Toc18369"/>
      <w:bookmarkStart w:id="110" w:name="_Toc11062"/>
      <w:r>
        <w:rPr>
          <w:rFonts w:hint="eastAsia" w:ascii="宋体" w:hAnsi="宋体" w:eastAsia="宋体" w:cs="宋体"/>
          <w:sz w:val="24"/>
          <w:szCs w:val="24"/>
        </w:rPr>
        <w:t>附件三</w:t>
      </w:r>
      <w:bookmarkEnd w:id="108"/>
      <w:bookmarkEnd w:id="109"/>
      <w:bookmarkEnd w:id="110"/>
    </w:p>
    <w:p w14:paraId="612B7F36">
      <w:pPr>
        <w:pStyle w:val="4"/>
        <w:spacing w:before="0" w:after="0" w:line="520" w:lineRule="exact"/>
        <w:jc w:val="center"/>
        <w:rPr>
          <w:rFonts w:ascii="宋体" w:hAnsi="宋体" w:eastAsia="宋体" w:cs="宋体"/>
          <w:sz w:val="24"/>
          <w:szCs w:val="24"/>
        </w:rPr>
      </w:pPr>
      <w:bookmarkStart w:id="111" w:name="_Toc10696"/>
      <w:bookmarkStart w:id="112" w:name="_Toc13141"/>
      <w:bookmarkStart w:id="113" w:name="_Toc30135"/>
      <w:r>
        <w:rPr>
          <w:rFonts w:hint="eastAsia" w:ascii="宋体" w:hAnsi="宋体" w:eastAsia="宋体" w:cs="宋体"/>
          <w:sz w:val="24"/>
          <w:szCs w:val="24"/>
        </w:rPr>
        <w:t>磋商授权书</w:t>
      </w:r>
      <w:bookmarkEnd w:id="111"/>
      <w:bookmarkEnd w:id="112"/>
      <w:bookmarkEnd w:id="113"/>
    </w:p>
    <w:p w14:paraId="721EDA6A">
      <w:pPr>
        <w:spacing w:line="520" w:lineRule="exact"/>
        <w:rPr>
          <w:rFonts w:ascii="宋体" w:hAnsi="宋体" w:cs="宋体"/>
          <w:sz w:val="24"/>
          <w:szCs w:val="24"/>
        </w:rPr>
      </w:pPr>
    </w:p>
    <w:p w14:paraId="56120768">
      <w:pPr>
        <w:spacing w:line="520" w:lineRule="exact"/>
        <w:jc w:val="left"/>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4B98CE6F">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73BA18BB">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7D0FBA4C">
      <w:pPr>
        <w:spacing w:line="520" w:lineRule="exact"/>
        <w:jc w:val="left"/>
        <w:rPr>
          <w:rFonts w:ascii="宋体" w:hAnsi="宋体" w:cs="宋体"/>
          <w:sz w:val="24"/>
          <w:szCs w:val="24"/>
        </w:rPr>
      </w:pPr>
    </w:p>
    <w:p w14:paraId="22916FD6">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sz w:val="24"/>
          <w:szCs w:val="24"/>
          <w:u w:val="single"/>
        </w:rPr>
        <w:t xml:space="preserve">                            </w:t>
      </w:r>
    </w:p>
    <w:p w14:paraId="6B1AC1C9">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6FAD35B3">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198E09C3">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717186D3">
      <w:pPr>
        <w:spacing w:line="520" w:lineRule="exact"/>
        <w:ind w:firstLine="1084" w:firstLineChars="450"/>
        <w:jc w:val="left"/>
        <w:rPr>
          <w:rFonts w:ascii="宋体" w:hAnsi="宋体" w:cs="宋体"/>
          <w:b/>
          <w:bCs/>
          <w:sz w:val="24"/>
          <w:szCs w:val="24"/>
        </w:rPr>
      </w:pPr>
    </w:p>
    <w:p w14:paraId="32174177">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sz w:val="24"/>
          <w:szCs w:val="24"/>
          <w:u w:val="single"/>
        </w:rPr>
        <w:t xml:space="preserve">                     </w:t>
      </w:r>
    </w:p>
    <w:p w14:paraId="20594805">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42E35A24">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C92B64A">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7A7734EE">
      <w:pPr>
        <w:spacing w:line="520" w:lineRule="exact"/>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后附</w:t>
      </w:r>
      <w:r>
        <w:rPr>
          <w:rFonts w:hint="eastAsia" w:ascii="宋体" w:hAnsi="宋体" w:cs="宋体"/>
          <w:b/>
          <w:bCs/>
          <w:sz w:val="24"/>
          <w:szCs w:val="24"/>
        </w:rPr>
        <w:t>法定代表人</w:t>
      </w:r>
      <w:r>
        <w:rPr>
          <w:rFonts w:hint="eastAsia" w:ascii="宋体" w:hAnsi="宋体" w:cs="宋体"/>
          <w:b/>
          <w:bCs/>
          <w:sz w:val="24"/>
          <w:szCs w:val="24"/>
          <w:lang w:val="en-US" w:eastAsia="zh-CN"/>
        </w:rPr>
        <w:t>及</w:t>
      </w:r>
      <w:r>
        <w:rPr>
          <w:rFonts w:hint="eastAsia" w:ascii="宋体" w:hAnsi="宋体" w:cs="宋体"/>
          <w:b/>
          <w:bCs/>
          <w:sz w:val="24"/>
          <w:szCs w:val="24"/>
        </w:rPr>
        <w:t>代理人（被授权人）</w:t>
      </w:r>
      <w:r>
        <w:rPr>
          <w:rFonts w:hint="eastAsia" w:ascii="宋体" w:hAnsi="宋体" w:cs="宋体"/>
          <w:b/>
          <w:bCs/>
          <w:sz w:val="24"/>
          <w:szCs w:val="24"/>
          <w:lang w:val="en-US" w:eastAsia="zh-CN"/>
        </w:rPr>
        <w:t>个人身份证件扫描件。</w:t>
      </w:r>
    </w:p>
    <w:p w14:paraId="11D51461">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2C870D2B">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26498D18">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2A688231">
      <w:pPr>
        <w:pStyle w:val="4"/>
        <w:adjustRightInd w:val="0"/>
        <w:spacing w:before="0" w:after="0" w:line="520" w:lineRule="exact"/>
        <w:jc w:val="center"/>
        <w:textAlignment w:val="baseline"/>
        <w:rPr>
          <w:rFonts w:hint="eastAsia" w:ascii="宋体" w:hAnsi="宋体" w:eastAsia="宋体" w:cs="宋体"/>
          <w:sz w:val="24"/>
          <w:szCs w:val="24"/>
        </w:rPr>
      </w:pPr>
      <w:bookmarkStart w:id="114" w:name="_Toc17226"/>
      <w:bookmarkStart w:id="115" w:name="_Toc23589"/>
      <w:r>
        <w:rPr>
          <w:rFonts w:hint="eastAsia" w:ascii="宋体" w:hAnsi="宋体" w:eastAsia="宋体" w:cs="宋体"/>
          <w:sz w:val="24"/>
          <w:szCs w:val="24"/>
        </w:rPr>
        <w:br w:type="page"/>
      </w:r>
      <w:bookmarkStart w:id="116" w:name="_Toc17888"/>
    </w:p>
    <w:p w14:paraId="5F5EE815">
      <w:pPr>
        <w:pStyle w:val="4"/>
        <w:adjustRightInd w:val="0"/>
        <w:spacing w:before="0" w:after="0" w:line="520" w:lineRule="exact"/>
        <w:jc w:val="center"/>
        <w:textAlignment w:val="baseline"/>
        <w:rPr>
          <w:rFonts w:ascii="宋体" w:hAnsi="宋体" w:eastAsia="宋体" w:cs="宋体"/>
          <w:sz w:val="24"/>
          <w:szCs w:val="24"/>
        </w:rPr>
      </w:pPr>
      <w:r>
        <w:rPr>
          <w:rFonts w:hint="eastAsia" w:ascii="宋体" w:hAnsi="宋体" w:eastAsia="宋体" w:cs="宋体"/>
          <w:sz w:val="24"/>
          <w:szCs w:val="24"/>
          <w:lang w:val="en-US" w:eastAsia="zh-CN"/>
        </w:rPr>
        <w:t>法定代表人身份证明</w:t>
      </w:r>
      <w:r>
        <w:rPr>
          <w:rFonts w:hint="eastAsia" w:ascii="宋体" w:hAnsi="宋体" w:eastAsia="宋体" w:cs="宋体"/>
          <w:sz w:val="24"/>
          <w:szCs w:val="24"/>
        </w:rPr>
        <w:t>书</w:t>
      </w:r>
    </w:p>
    <w:p w14:paraId="72B7F15E">
      <w:pPr>
        <w:spacing w:line="520" w:lineRule="exact"/>
        <w:rPr>
          <w:rFonts w:ascii="宋体" w:hAnsi="宋体"/>
          <w:sz w:val="24"/>
          <w:szCs w:val="24"/>
        </w:rPr>
      </w:pPr>
    </w:p>
    <w:p w14:paraId="79453236">
      <w:pPr>
        <w:spacing w:line="520" w:lineRule="exact"/>
        <w:jc w:val="left"/>
        <w:rPr>
          <w:rFonts w:ascii="宋体" w:hAnsi="宋体"/>
          <w:sz w:val="24"/>
          <w:szCs w:val="24"/>
        </w:rPr>
      </w:pPr>
      <w:r>
        <w:rPr>
          <w:rFonts w:hint="eastAsia" w:ascii="宋体" w:hAnsi="宋体"/>
          <w:sz w:val="24"/>
          <w:szCs w:val="24"/>
        </w:rPr>
        <w:t>致：</w:t>
      </w:r>
      <w:r>
        <w:rPr>
          <w:rFonts w:hint="eastAsia" w:ascii="宋体" w:hAnsi="宋体" w:cs="宋体"/>
          <w:sz w:val="24"/>
          <w:szCs w:val="24"/>
        </w:rPr>
        <w:t>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4727A799">
      <w:pPr>
        <w:spacing w:line="520" w:lineRule="exact"/>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u w:val="single"/>
          <w:lang w:val="en-US" w:eastAsia="zh-CN"/>
        </w:rPr>
        <w:t>是</w:t>
      </w:r>
      <w:r>
        <w:rPr>
          <w:rFonts w:hint="eastAsia" w:ascii="宋体" w:hAnsi="宋体"/>
          <w:sz w:val="24"/>
          <w:szCs w:val="24"/>
          <w:u w:val="none"/>
          <w:lang w:val="en-US" w:eastAsia="zh-CN"/>
        </w:rPr>
        <w:t>我公司的法定代表人，</w:t>
      </w:r>
      <w:r>
        <w:rPr>
          <w:rFonts w:hint="eastAsia" w:ascii="宋体" w:hAnsi="宋体"/>
          <w:sz w:val="24"/>
          <w:szCs w:val="24"/>
        </w:rPr>
        <w:t>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）项目磋商活动的合法代理人，以我方名义全权处理与该项目磋商、签订合同以及合同执行有关的一切事务。</w:t>
      </w:r>
    </w:p>
    <w:p w14:paraId="2094FC01">
      <w:pPr>
        <w:spacing w:line="520" w:lineRule="exact"/>
        <w:ind w:firstLine="480" w:firstLineChars="200"/>
        <w:jc w:val="left"/>
        <w:rPr>
          <w:rFonts w:ascii="宋体" w:hAnsi="宋体"/>
          <w:sz w:val="24"/>
          <w:szCs w:val="24"/>
        </w:rPr>
      </w:pPr>
      <w:r>
        <w:rPr>
          <w:rFonts w:hint="eastAsia" w:ascii="宋体" w:hAnsi="宋体"/>
          <w:sz w:val="24"/>
          <w:szCs w:val="24"/>
        </w:rPr>
        <w:t>特此声明。</w:t>
      </w:r>
    </w:p>
    <w:p w14:paraId="0BEAF011">
      <w:pPr>
        <w:spacing w:line="520" w:lineRule="exact"/>
        <w:jc w:val="left"/>
        <w:rPr>
          <w:rFonts w:ascii="宋体" w:hAnsi="宋体"/>
          <w:sz w:val="24"/>
          <w:szCs w:val="24"/>
        </w:rPr>
      </w:pPr>
    </w:p>
    <w:p w14:paraId="6F3B23B9">
      <w:pPr>
        <w:spacing w:line="520" w:lineRule="exact"/>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0104AF6">
      <w:pPr>
        <w:spacing w:line="520" w:lineRule="exact"/>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5C2CADF3">
      <w:pPr>
        <w:spacing w:line="52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0396932">
      <w:pPr>
        <w:spacing w:line="52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7C6F28DA">
      <w:pPr>
        <w:spacing w:line="520" w:lineRule="exact"/>
        <w:jc w:val="left"/>
        <w:rPr>
          <w:rFonts w:ascii="宋体" w:hAnsi="宋体"/>
          <w:sz w:val="24"/>
          <w:szCs w:val="24"/>
        </w:rPr>
      </w:pPr>
    </w:p>
    <w:p w14:paraId="57BA0AE5">
      <w:pPr>
        <w:wordWrap w:val="0"/>
        <w:spacing w:line="520" w:lineRule="exact"/>
        <w:jc w:val="right"/>
        <w:rPr>
          <w:rFonts w:ascii="宋体" w:hAnsi="宋体"/>
          <w:sz w:val="24"/>
          <w:szCs w:val="24"/>
        </w:rPr>
      </w:pPr>
      <w:r>
        <w:rPr>
          <w:rFonts w:hint="eastAsia" w:ascii="宋体" w:hAnsi="宋体"/>
          <w:sz w:val="24"/>
          <w:szCs w:val="24"/>
        </w:rPr>
        <w:t xml:space="preserve">                                                      </w:t>
      </w:r>
    </w:p>
    <w:p w14:paraId="46EDFBEA">
      <w:pPr>
        <w:spacing w:line="520" w:lineRule="exact"/>
        <w:jc w:val="center"/>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盖章</w:t>
      </w:r>
      <w:r>
        <w:rPr>
          <w:rFonts w:hint="eastAsia" w:ascii="宋体" w:hAnsi="宋体"/>
          <w:b/>
          <w:bCs/>
          <w:sz w:val="24"/>
          <w:szCs w:val="24"/>
        </w:rPr>
        <w:t>：</w:t>
      </w:r>
    </w:p>
    <w:p w14:paraId="6CAB5CB1">
      <w:pPr>
        <w:ind w:firstLine="3855" w:firstLineChars="1600"/>
        <w:jc w:val="both"/>
        <w:rPr>
          <w:rFonts w:hint="eastAsia" w:ascii="宋体" w:hAnsi="宋体" w:eastAsia="宋体" w:cs="宋体"/>
          <w:sz w:val="24"/>
          <w:szCs w:val="24"/>
        </w:rPr>
      </w:pPr>
      <w:r>
        <w:rPr>
          <w:rFonts w:hint="eastAsia" w:ascii="宋体" w:hAnsi="宋体"/>
          <w:b/>
          <w:bCs/>
          <w:sz w:val="24"/>
          <w:szCs w:val="24"/>
        </w:rPr>
        <w:t>日期：</w:t>
      </w:r>
      <w:r>
        <w:rPr>
          <w:rFonts w:hint="eastAsia" w:ascii="宋体" w:hAnsi="宋体" w:eastAsia="宋体" w:cs="宋体"/>
          <w:sz w:val="24"/>
          <w:szCs w:val="24"/>
        </w:rPr>
        <w:br w:type="page"/>
      </w:r>
    </w:p>
    <w:p w14:paraId="2371230C">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t>附件四</w:t>
      </w:r>
      <w:bookmarkEnd w:id="114"/>
      <w:bookmarkEnd w:id="115"/>
      <w:bookmarkEnd w:id="116"/>
    </w:p>
    <w:p w14:paraId="42F0EB73">
      <w:pPr>
        <w:pStyle w:val="4"/>
        <w:spacing w:before="0" w:after="156" w:afterLines="50" w:line="560" w:lineRule="exact"/>
        <w:jc w:val="center"/>
        <w:rPr>
          <w:rFonts w:ascii="宋体" w:hAnsi="宋体" w:eastAsia="宋体" w:cs="宋体"/>
          <w:sz w:val="24"/>
          <w:szCs w:val="24"/>
        </w:rPr>
      </w:pPr>
      <w:bookmarkStart w:id="117" w:name="_Toc28665"/>
      <w:bookmarkStart w:id="118" w:name="_Toc29263"/>
      <w:bookmarkStart w:id="119" w:name="_Toc6278"/>
      <w:bookmarkStart w:id="120" w:name="_Toc417045478"/>
      <w:r>
        <w:rPr>
          <w:rFonts w:hint="eastAsia" w:ascii="宋体" w:hAnsi="宋体" w:eastAsia="宋体" w:cs="宋体"/>
          <w:sz w:val="24"/>
          <w:szCs w:val="24"/>
        </w:rPr>
        <w:t>磋商响应函</w:t>
      </w:r>
      <w:bookmarkEnd w:id="117"/>
      <w:bookmarkEnd w:id="118"/>
      <w:bookmarkEnd w:id="119"/>
    </w:p>
    <w:p w14:paraId="63030F58">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val="en-US" w:eastAsia="zh-CN"/>
        </w:rPr>
        <w:t>采购人、</w:t>
      </w:r>
      <w:r>
        <w:rPr>
          <w:rFonts w:hint="eastAsia" w:ascii="宋体" w:hAnsi="宋体" w:cs="宋体"/>
          <w:sz w:val="24"/>
          <w:szCs w:val="24"/>
        </w:rPr>
        <w:t>代理机构名称）</w:t>
      </w:r>
    </w:p>
    <w:p w14:paraId="3D958D32">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0DAC3795">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5597C06F">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366931B2">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12B9B19F">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5BC95C3D">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2A7B5F67">
      <w:pPr>
        <w:tabs>
          <w:tab w:val="left" w:pos="0"/>
          <w:tab w:val="left" w:pos="840"/>
        </w:tabs>
        <w:spacing w:line="360" w:lineRule="auto"/>
        <w:jc w:val="left"/>
        <w:rPr>
          <w:rFonts w:ascii="宋体" w:hAnsi="宋体" w:cs="宋体"/>
          <w:sz w:val="24"/>
          <w:szCs w:val="24"/>
        </w:rPr>
      </w:pPr>
    </w:p>
    <w:p w14:paraId="4560936A">
      <w:pPr>
        <w:tabs>
          <w:tab w:val="left" w:pos="0"/>
          <w:tab w:val="left" w:pos="840"/>
        </w:tabs>
        <w:rPr>
          <w:rFonts w:ascii="宋体" w:hAnsi="宋体" w:cs="宋体"/>
          <w:sz w:val="24"/>
          <w:szCs w:val="24"/>
        </w:rPr>
      </w:pPr>
    </w:p>
    <w:p w14:paraId="38CCEEEF">
      <w:pPr>
        <w:tabs>
          <w:tab w:val="left" w:pos="0"/>
          <w:tab w:val="left" w:pos="840"/>
        </w:tabs>
        <w:rPr>
          <w:rFonts w:ascii="宋体" w:hAnsi="宋体" w:cs="宋体"/>
          <w:sz w:val="24"/>
          <w:szCs w:val="24"/>
        </w:rPr>
      </w:pPr>
    </w:p>
    <w:p w14:paraId="11277A47">
      <w:pPr>
        <w:tabs>
          <w:tab w:val="left" w:pos="0"/>
          <w:tab w:val="left" w:pos="840"/>
        </w:tabs>
        <w:rPr>
          <w:rFonts w:ascii="宋体" w:hAnsi="宋体" w:cs="宋体"/>
          <w:sz w:val="24"/>
          <w:szCs w:val="24"/>
        </w:rPr>
      </w:pPr>
    </w:p>
    <w:p w14:paraId="637051F2">
      <w:pPr>
        <w:tabs>
          <w:tab w:val="left" w:pos="0"/>
          <w:tab w:val="left" w:pos="840"/>
        </w:tabs>
        <w:rPr>
          <w:rFonts w:ascii="宋体" w:hAnsi="宋体" w:cs="宋体"/>
          <w:sz w:val="24"/>
          <w:szCs w:val="24"/>
        </w:rPr>
      </w:pPr>
    </w:p>
    <w:p w14:paraId="6F7D975A">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603EB702">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48250177">
      <w:pPr>
        <w:pStyle w:val="4"/>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121" w:name="_Toc21593"/>
      <w:bookmarkStart w:id="122" w:name="_Toc16627"/>
      <w:bookmarkStart w:id="123" w:name="_Toc30354"/>
      <w:r>
        <w:rPr>
          <w:rFonts w:hint="eastAsia" w:ascii="宋体" w:hAnsi="宋体" w:eastAsia="宋体" w:cs="宋体"/>
          <w:sz w:val="24"/>
          <w:szCs w:val="24"/>
        </w:rPr>
        <w:t>附件</w:t>
      </w:r>
      <w:bookmarkEnd w:id="120"/>
      <w:r>
        <w:rPr>
          <w:rFonts w:hint="eastAsia" w:ascii="宋体" w:hAnsi="宋体" w:eastAsia="宋体" w:cs="宋体"/>
          <w:sz w:val="24"/>
          <w:szCs w:val="24"/>
        </w:rPr>
        <w:t>五</w:t>
      </w:r>
      <w:bookmarkEnd w:id="121"/>
      <w:bookmarkEnd w:id="122"/>
      <w:bookmarkEnd w:id="123"/>
    </w:p>
    <w:p w14:paraId="4CB0E18A">
      <w:pPr>
        <w:pStyle w:val="33"/>
        <w:ind w:firstLine="281"/>
        <w:rPr>
          <w:b/>
          <w:sz w:val="28"/>
          <w:szCs w:val="28"/>
        </w:rPr>
      </w:pPr>
      <w:bookmarkStart w:id="124" w:name="_Toc10256"/>
      <w:bookmarkStart w:id="125" w:name="_Toc26881"/>
      <w:bookmarkStart w:id="126" w:name="_Toc26949"/>
    </w:p>
    <w:p w14:paraId="4E650D3A">
      <w:pPr>
        <w:pStyle w:val="33"/>
        <w:ind w:firstLine="2891" w:firstLineChars="1200"/>
        <w:rPr>
          <w:rFonts w:ascii="宋体" w:hAnsi="宋体" w:cs="宋体"/>
          <w:b/>
          <w:szCs w:val="24"/>
          <w:lang w:val="zh-CN"/>
        </w:rPr>
      </w:pPr>
      <w:bookmarkStart w:id="127" w:name="_Hlk77793942"/>
      <w:r>
        <w:rPr>
          <w:rFonts w:hint="eastAsia" w:ascii="宋体" w:hAnsi="宋体" w:cs="宋体"/>
          <w:b/>
          <w:szCs w:val="24"/>
          <w:lang w:val="zh-CN"/>
        </w:rPr>
        <w:t>无重大违法记录声明函</w:t>
      </w:r>
    </w:p>
    <w:p w14:paraId="10184F71">
      <w:pPr>
        <w:pStyle w:val="33"/>
        <w:ind w:firstLine="480" w:firstLineChars="200"/>
        <w:rPr>
          <w:rFonts w:ascii="宋体" w:hAnsi="宋体"/>
          <w:szCs w:val="24"/>
        </w:rPr>
      </w:pPr>
      <w:bookmarkStart w:id="12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0BB4914">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F0319E2">
      <w:pPr>
        <w:spacing w:line="360" w:lineRule="auto"/>
        <w:ind w:firstLine="435"/>
        <w:rPr>
          <w:rFonts w:ascii="宋体" w:hAnsi="宋体"/>
          <w:sz w:val="24"/>
          <w:szCs w:val="24"/>
        </w:rPr>
      </w:pPr>
    </w:p>
    <w:p w14:paraId="6A88DB69">
      <w:pPr>
        <w:spacing w:line="360" w:lineRule="auto"/>
        <w:ind w:firstLine="5450" w:firstLineChars="2262"/>
        <w:rPr>
          <w:rFonts w:ascii="宋体" w:hAnsi="宋体"/>
          <w:b/>
          <w:bCs w:val="0"/>
          <w:sz w:val="24"/>
          <w:szCs w:val="24"/>
          <w:u w:val="single"/>
        </w:rPr>
      </w:pPr>
      <w:r>
        <w:rPr>
          <w:rFonts w:hint="eastAsia" w:ascii="宋体" w:hAnsi="宋体"/>
          <w:b/>
          <w:bCs w:val="0"/>
          <w:sz w:val="24"/>
          <w:szCs w:val="24"/>
        </w:rPr>
        <w:t>供应商</w:t>
      </w:r>
      <w:r>
        <w:rPr>
          <w:rFonts w:hint="eastAsia" w:ascii="宋体" w:hAnsi="宋体"/>
          <w:b/>
          <w:bCs w:val="0"/>
          <w:sz w:val="24"/>
          <w:szCs w:val="24"/>
          <w:lang w:eastAsia="zh-CN"/>
        </w:rPr>
        <w:t>盖章</w:t>
      </w:r>
      <w:r>
        <w:rPr>
          <w:rFonts w:hint="eastAsia" w:ascii="宋体" w:hAnsi="宋体"/>
          <w:b/>
          <w:bCs w:val="0"/>
          <w:sz w:val="24"/>
          <w:szCs w:val="24"/>
        </w:rPr>
        <w:t>：</w:t>
      </w:r>
    </w:p>
    <w:p w14:paraId="051BA269">
      <w:pPr>
        <w:tabs>
          <w:tab w:val="left" w:pos="630"/>
        </w:tabs>
        <w:spacing w:line="360" w:lineRule="auto"/>
        <w:ind w:firstLine="5450" w:firstLineChars="2262"/>
        <w:rPr>
          <w:rFonts w:ascii="宋体" w:hAnsi="宋体"/>
          <w:b/>
          <w:bCs w:val="0"/>
          <w:sz w:val="24"/>
          <w:szCs w:val="24"/>
          <w:lang w:val="zh-CN"/>
        </w:rPr>
      </w:pPr>
      <w:r>
        <w:rPr>
          <w:rFonts w:hint="eastAsia" w:ascii="宋体" w:hAnsi="宋体"/>
          <w:b/>
          <w:bCs w:val="0"/>
          <w:sz w:val="24"/>
          <w:szCs w:val="24"/>
        </w:rPr>
        <w:t>日期：</w:t>
      </w:r>
    </w:p>
    <w:bookmarkEnd w:id="128"/>
    <w:p w14:paraId="2802BE37">
      <w:pPr>
        <w:pStyle w:val="33"/>
        <w:ind w:firstLine="210"/>
      </w:pPr>
    </w:p>
    <w:p w14:paraId="7D4B74F0">
      <w:pPr>
        <w:pStyle w:val="33"/>
        <w:ind w:firstLine="210"/>
      </w:pPr>
    </w:p>
    <w:p w14:paraId="2662ADF2">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C88829B">
      <w:pPr>
        <w:spacing w:line="360" w:lineRule="auto"/>
        <w:ind w:firstLine="435"/>
        <w:rPr>
          <w:rFonts w:ascii="宋体" w:hAnsi="宋体"/>
          <w:sz w:val="24"/>
          <w:szCs w:val="24"/>
        </w:rPr>
      </w:pPr>
      <w:bookmarkStart w:id="129" w:name="_Hlk77794010"/>
      <w:r>
        <w:rPr>
          <w:rFonts w:hint="eastAsia" w:ascii="宋体" w:hAnsi="宋体"/>
          <w:sz w:val="24"/>
          <w:szCs w:val="24"/>
        </w:rPr>
        <w:t>本公司郑重承诺，我公司无以下不良信用记录情形：</w:t>
      </w:r>
    </w:p>
    <w:p w14:paraId="6C59DA9A">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8CE4D63">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2FB5CDE8">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19FFA6C5">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3999ABE8">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0E7CBD8D">
      <w:pPr>
        <w:tabs>
          <w:tab w:val="left" w:pos="630"/>
        </w:tabs>
        <w:spacing w:line="360" w:lineRule="auto"/>
        <w:ind w:firstLine="630"/>
        <w:rPr>
          <w:rFonts w:ascii="宋体" w:hAnsi="宋体"/>
          <w:sz w:val="24"/>
          <w:szCs w:val="24"/>
        </w:rPr>
      </w:pPr>
    </w:p>
    <w:p w14:paraId="2F093764">
      <w:pPr>
        <w:spacing w:line="360" w:lineRule="auto"/>
        <w:ind w:firstLine="5450" w:firstLineChars="2262"/>
        <w:rPr>
          <w:rFonts w:ascii="宋体" w:hAnsi="宋体"/>
          <w:b/>
          <w:bCs w:val="0"/>
          <w:sz w:val="24"/>
          <w:szCs w:val="24"/>
          <w:u w:val="single"/>
        </w:rPr>
      </w:pPr>
      <w:r>
        <w:rPr>
          <w:rFonts w:hint="eastAsia" w:ascii="宋体" w:hAnsi="宋体"/>
          <w:b/>
          <w:bCs w:val="0"/>
          <w:sz w:val="24"/>
          <w:szCs w:val="24"/>
        </w:rPr>
        <w:t>供应商</w:t>
      </w:r>
      <w:r>
        <w:rPr>
          <w:rFonts w:hint="eastAsia" w:ascii="宋体" w:hAnsi="宋体"/>
          <w:b/>
          <w:bCs w:val="0"/>
          <w:sz w:val="24"/>
          <w:szCs w:val="24"/>
          <w:lang w:eastAsia="zh-CN"/>
        </w:rPr>
        <w:t>盖章</w:t>
      </w:r>
      <w:r>
        <w:rPr>
          <w:rFonts w:hint="eastAsia" w:ascii="宋体" w:hAnsi="宋体"/>
          <w:b/>
          <w:bCs w:val="0"/>
          <w:sz w:val="24"/>
          <w:szCs w:val="24"/>
        </w:rPr>
        <w:t>：</w:t>
      </w:r>
    </w:p>
    <w:p w14:paraId="0B0C92BA">
      <w:pPr>
        <w:tabs>
          <w:tab w:val="left" w:pos="630"/>
        </w:tabs>
        <w:spacing w:line="360" w:lineRule="auto"/>
        <w:ind w:firstLine="5450" w:firstLineChars="2262"/>
        <w:rPr>
          <w:rFonts w:ascii="宋体" w:hAnsi="宋体"/>
          <w:bCs/>
          <w:sz w:val="24"/>
          <w:szCs w:val="24"/>
          <w:u w:val="single"/>
        </w:rPr>
      </w:pPr>
      <w:r>
        <w:rPr>
          <w:rFonts w:hint="eastAsia" w:ascii="宋体" w:hAnsi="宋体"/>
          <w:b/>
          <w:bCs w:val="0"/>
          <w:sz w:val="24"/>
          <w:szCs w:val="24"/>
        </w:rPr>
        <w:t>日期：</w:t>
      </w:r>
      <w:bookmarkEnd w:id="124"/>
      <w:bookmarkEnd w:id="125"/>
      <w:bookmarkEnd w:id="126"/>
      <w:bookmarkEnd w:id="127"/>
      <w:bookmarkEnd w:id="129"/>
      <w:bookmarkStart w:id="130" w:name="_Toc363199274"/>
      <w:r>
        <w:rPr>
          <w:rFonts w:hint="eastAsia" w:ascii="宋体" w:hAnsi="宋体" w:cs="宋体"/>
          <w:sz w:val="24"/>
          <w:szCs w:val="24"/>
        </w:rPr>
        <w:br w:type="page"/>
      </w:r>
      <w:bookmarkStart w:id="131" w:name="_Toc17797"/>
      <w:bookmarkStart w:id="132" w:name="_Toc18709"/>
      <w:bookmarkStart w:id="133" w:name="_Toc20743"/>
      <w:r>
        <w:rPr>
          <w:rFonts w:hint="eastAsia" w:ascii="宋体" w:hAnsi="宋体" w:cs="宋体"/>
          <w:b/>
          <w:bCs/>
          <w:sz w:val="24"/>
          <w:szCs w:val="24"/>
        </w:rPr>
        <w:t>附件</w:t>
      </w:r>
      <w:bookmarkEnd w:id="130"/>
      <w:r>
        <w:rPr>
          <w:rFonts w:hint="eastAsia" w:ascii="宋体" w:hAnsi="宋体" w:cs="宋体"/>
          <w:b/>
          <w:bCs/>
          <w:sz w:val="24"/>
          <w:szCs w:val="24"/>
        </w:rPr>
        <w:t>六</w:t>
      </w:r>
      <w:bookmarkEnd w:id="131"/>
      <w:bookmarkEnd w:id="132"/>
      <w:bookmarkEnd w:id="133"/>
    </w:p>
    <w:p w14:paraId="6104D697">
      <w:pPr>
        <w:pStyle w:val="4"/>
        <w:spacing w:before="0" w:after="0" w:line="560" w:lineRule="exact"/>
        <w:jc w:val="center"/>
        <w:rPr>
          <w:rFonts w:ascii="宋体" w:hAnsi="宋体" w:eastAsia="宋体" w:cs="宋体"/>
          <w:sz w:val="24"/>
          <w:szCs w:val="24"/>
          <w:lang w:val="zh-CN"/>
        </w:rPr>
      </w:pPr>
      <w:bookmarkStart w:id="134" w:name="_Toc30075"/>
      <w:bookmarkStart w:id="135" w:name="_Toc18402"/>
      <w:bookmarkStart w:id="136" w:name="_Toc25238"/>
      <w:r>
        <w:rPr>
          <w:rFonts w:hint="eastAsia" w:ascii="宋体" w:hAnsi="宋体" w:eastAsia="宋体" w:cs="宋体"/>
          <w:sz w:val="24"/>
          <w:szCs w:val="24"/>
          <w:lang w:val="zh-CN"/>
        </w:rPr>
        <w:t>响应情况表</w:t>
      </w:r>
      <w:bookmarkEnd w:id="134"/>
      <w:bookmarkEnd w:id="135"/>
      <w:bookmarkEnd w:id="136"/>
    </w:p>
    <w:p w14:paraId="4A283FB4">
      <w:pPr>
        <w:jc w:val="center"/>
        <w:rPr>
          <w:rFonts w:ascii="宋体" w:hAnsi="宋体" w:cs="宋体"/>
          <w:bCs/>
          <w:sz w:val="24"/>
          <w:szCs w:val="24"/>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271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BC74533">
            <w:pPr>
              <w:jc w:val="center"/>
              <w:rPr>
                <w:rFonts w:ascii="宋体" w:hAnsi="宋体" w:cs="宋体"/>
                <w:b/>
                <w:sz w:val="24"/>
                <w:szCs w:val="21"/>
              </w:rPr>
            </w:pPr>
            <w:bookmarkStart w:id="137" w:name="_Toc471299110"/>
            <w:r>
              <w:rPr>
                <w:rFonts w:hint="eastAsia" w:ascii="宋体" w:hAnsi="宋体" w:cs="宋体"/>
                <w:b/>
                <w:sz w:val="24"/>
                <w:szCs w:val="21"/>
              </w:rPr>
              <w:t>按磋商文件规定填写</w:t>
            </w:r>
          </w:p>
        </w:tc>
        <w:tc>
          <w:tcPr>
            <w:tcW w:w="4200" w:type="dxa"/>
            <w:gridSpan w:val="2"/>
            <w:vAlign w:val="center"/>
          </w:tcPr>
          <w:p w14:paraId="44BAC396">
            <w:pPr>
              <w:jc w:val="center"/>
              <w:rPr>
                <w:rFonts w:ascii="宋体" w:hAnsi="宋体" w:cs="宋体"/>
                <w:b/>
                <w:sz w:val="24"/>
                <w:szCs w:val="21"/>
              </w:rPr>
            </w:pPr>
            <w:r>
              <w:rPr>
                <w:rFonts w:hint="eastAsia" w:ascii="宋体" w:hAnsi="宋体" w:cs="宋体"/>
                <w:b/>
                <w:sz w:val="24"/>
                <w:szCs w:val="21"/>
              </w:rPr>
              <w:t>按供应商所投内容填写</w:t>
            </w:r>
          </w:p>
        </w:tc>
      </w:tr>
      <w:tr w14:paraId="21F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6CD4312">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070D047C">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13CBADD3">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43574891">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5025CCAF">
            <w:pPr>
              <w:jc w:val="center"/>
              <w:rPr>
                <w:rFonts w:ascii="宋体" w:hAnsi="宋体" w:cs="宋体"/>
                <w:b/>
                <w:sz w:val="24"/>
                <w:szCs w:val="21"/>
              </w:rPr>
            </w:pPr>
            <w:r>
              <w:rPr>
                <w:rFonts w:hint="eastAsia" w:ascii="宋体" w:hAnsi="宋体" w:cs="宋体"/>
                <w:b/>
                <w:sz w:val="24"/>
                <w:szCs w:val="21"/>
              </w:rPr>
              <w:t>偏离说明</w:t>
            </w:r>
          </w:p>
        </w:tc>
      </w:tr>
      <w:tr w14:paraId="7C7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7C78846">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608AF38D">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3D8FBEAF">
            <w:pPr>
              <w:rPr>
                <w:rFonts w:ascii="宋体" w:hAnsi="宋体" w:cs="宋体"/>
                <w:sz w:val="24"/>
                <w:szCs w:val="24"/>
              </w:rPr>
            </w:pPr>
          </w:p>
        </w:tc>
        <w:tc>
          <w:tcPr>
            <w:tcW w:w="2222" w:type="dxa"/>
            <w:vAlign w:val="center"/>
          </w:tcPr>
          <w:p w14:paraId="0757B62B">
            <w:pPr>
              <w:rPr>
                <w:rFonts w:ascii="宋体" w:hAnsi="宋体" w:cs="宋体"/>
                <w:sz w:val="24"/>
                <w:szCs w:val="24"/>
              </w:rPr>
            </w:pPr>
          </w:p>
        </w:tc>
        <w:tc>
          <w:tcPr>
            <w:tcW w:w="1978" w:type="dxa"/>
            <w:vAlign w:val="center"/>
          </w:tcPr>
          <w:p w14:paraId="3D4728D4">
            <w:pPr>
              <w:rPr>
                <w:rFonts w:ascii="宋体" w:hAnsi="宋体" w:cs="宋体"/>
                <w:sz w:val="24"/>
                <w:szCs w:val="24"/>
              </w:rPr>
            </w:pPr>
          </w:p>
        </w:tc>
      </w:tr>
      <w:tr w14:paraId="24B6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A26FD06">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011C21A0">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39942FB5">
            <w:pPr>
              <w:rPr>
                <w:rFonts w:ascii="宋体" w:hAnsi="宋体" w:cs="宋体"/>
                <w:sz w:val="24"/>
                <w:szCs w:val="24"/>
              </w:rPr>
            </w:pPr>
          </w:p>
        </w:tc>
        <w:tc>
          <w:tcPr>
            <w:tcW w:w="2222" w:type="dxa"/>
            <w:vAlign w:val="center"/>
          </w:tcPr>
          <w:p w14:paraId="189C0D56">
            <w:pPr>
              <w:rPr>
                <w:rFonts w:ascii="宋体" w:hAnsi="宋体" w:cs="宋体"/>
                <w:sz w:val="24"/>
                <w:szCs w:val="24"/>
              </w:rPr>
            </w:pPr>
          </w:p>
        </w:tc>
        <w:tc>
          <w:tcPr>
            <w:tcW w:w="1978" w:type="dxa"/>
            <w:vAlign w:val="center"/>
          </w:tcPr>
          <w:p w14:paraId="7E82BC22">
            <w:pPr>
              <w:rPr>
                <w:rFonts w:ascii="宋体" w:hAnsi="宋体" w:cs="宋体"/>
                <w:sz w:val="24"/>
                <w:szCs w:val="24"/>
              </w:rPr>
            </w:pPr>
          </w:p>
        </w:tc>
      </w:tr>
      <w:tr w14:paraId="46EC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35C6E3C">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01A198B4">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3B0C87D6">
            <w:pPr>
              <w:rPr>
                <w:rFonts w:ascii="宋体" w:hAnsi="宋体" w:cs="宋体"/>
                <w:sz w:val="24"/>
                <w:szCs w:val="24"/>
              </w:rPr>
            </w:pPr>
          </w:p>
        </w:tc>
        <w:tc>
          <w:tcPr>
            <w:tcW w:w="2222" w:type="dxa"/>
            <w:vAlign w:val="center"/>
          </w:tcPr>
          <w:p w14:paraId="4FEFA2A8">
            <w:pPr>
              <w:rPr>
                <w:rFonts w:ascii="宋体" w:hAnsi="宋体" w:cs="宋体"/>
                <w:sz w:val="24"/>
                <w:szCs w:val="24"/>
              </w:rPr>
            </w:pPr>
          </w:p>
        </w:tc>
        <w:tc>
          <w:tcPr>
            <w:tcW w:w="1978" w:type="dxa"/>
            <w:vAlign w:val="center"/>
          </w:tcPr>
          <w:p w14:paraId="294CC70E">
            <w:pPr>
              <w:rPr>
                <w:rFonts w:ascii="宋体" w:hAnsi="宋体" w:cs="宋体"/>
                <w:sz w:val="24"/>
                <w:szCs w:val="24"/>
              </w:rPr>
            </w:pPr>
          </w:p>
        </w:tc>
      </w:tr>
      <w:tr w14:paraId="6B1E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D99B640">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0AACB6D6">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5819B445">
            <w:pPr>
              <w:rPr>
                <w:rFonts w:ascii="宋体" w:hAnsi="宋体" w:cs="宋体"/>
                <w:sz w:val="24"/>
                <w:szCs w:val="24"/>
              </w:rPr>
            </w:pPr>
          </w:p>
        </w:tc>
        <w:tc>
          <w:tcPr>
            <w:tcW w:w="2222" w:type="dxa"/>
            <w:vAlign w:val="center"/>
          </w:tcPr>
          <w:p w14:paraId="4C3C9502">
            <w:pPr>
              <w:rPr>
                <w:rFonts w:ascii="宋体" w:hAnsi="宋体" w:cs="宋体"/>
                <w:sz w:val="24"/>
                <w:szCs w:val="24"/>
              </w:rPr>
            </w:pPr>
          </w:p>
        </w:tc>
        <w:tc>
          <w:tcPr>
            <w:tcW w:w="1978" w:type="dxa"/>
            <w:vAlign w:val="center"/>
          </w:tcPr>
          <w:p w14:paraId="02046A42">
            <w:pPr>
              <w:rPr>
                <w:rFonts w:ascii="宋体" w:hAnsi="宋体" w:cs="宋体"/>
                <w:sz w:val="24"/>
                <w:szCs w:val="24"/>
              </w:rPr>
            </w:pPr>
          </w:p>
        </w:tc>
      </w:tr>
    </w:tbl>
    <w:p w14:paraId="6535C364">
      <w:pPr>
        <w:snapToGrid w:val="0"/>
        <w:spacing w:line="360" w:lineRule="auto"/>
        <w:rPr>
          <w:rFonts w:ascii="宋体" w:hAnsi="宋体" w:cs="宋体"/>
          <w:sz w:val="24"/>
          <w:szCs w:val="24"/>
        </w:rPr>
      </w:pPr>
    </w:p>
    <w:p w14:paraId="24A049FF">
      <w:pPr>
        <w:snapToGrid w:val="0"/>
        <w:spacing w:line="460" w:lineRule="exact"/>
        <w:rPr>
          <w:rFonts w:ascii="宋体" w:hAnsi="宋体" w:cs="宋体"/>
          <w:b/>
          <w:bCs/>
          <w:sz w:val="24"/>
          <w:szCs w:val="24"/>
        </w:rPr>
      </w:pPr>
    </w:p>
    <w:p w14:paraId="603D8D39">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eastAsia="zh-CN"/>
        </w:rPr>
        <w:t>盖章</w:t>
      </w:r>
      <w:r>
        <w:rPr>
          <w:rFonts w:hint="eastAsia" w:ascii="宋体" w:hAnsi="宋体" w:cs="宋体"/>
          <w:b/>
          <w:bCs/>
          <w:sz w:val="24"/>
          <w:szCs w:val="24"/>
        </w:rPr>
        <w:t>：</w:t>
      </w:r>
    </w:p>
    <w:p w14:paraId="5362DD19">
      <w:pPr>
        <w:spacing w:line="460" w:lineRule="exact"/>
        <w:jc w:val="left"/>
        <w:rPr>
          <w:rFonts w:ascii="宋体" w:hAnsi="宋体" w:cs="宋体"/>
          <w:sz w:val="24"/>
          <w:szCs w:val="24"/>
        </w:rPr>
      </w:pPr>
      <w:r>
        <w:rPr>
          <w:rFonts w:hint="eastAsia" w:ascii="宋体" w:hAnsi="宋体" w:cs="宋体"/>
          <w:b/>
          <w:bCs/>
          <w:sz w:val="24"/>
          <w:szCs w:val="24"/>
        </w:rPr>
        <w:t>日期：   年   月   日</w:t>
      </w:r>
    </w:p>
    <w:p w14:paraId="176F35D7">
      <w:pPr>
        <w:spacing w:line="460" w:lineRule="exact"/>
        <w:rPr>
          <w:rFonts w:ascii="宋体" w:hAnsi="宋体" w:cs="宋体"/>
          <w:sz w:val="24"/>
          <w:szCs w:val="24"/>
        </w:rPr>
      </w:pPr>
    </w:p>
    <w:p w14:paraId="72D4CDFA">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138" w:name="_Toc22037"/>
      <w:bookmarkStart w:id="139" w:name="_Toc29422"/>
      <w:r>
        <w:rPr>
          <w:rStyle w:val="101"/>
          <w:rFonts w:hint="eastAsia" w:ascii="宋体" w:hAnsi="宋体" w:eastAsia="宋体" w:cs="宋体"/>
          <w:sz w:val="24"/>
          <w:szCs w:val="24"/>
        </w:rPr>
        <w:t>附件</w:t>
      </w:r>
      <w:bookmarkEnd w:id="137"/>
      <w:r>
        <w:rPr>
          <w:rStyle w:val="101"/>
          <w:rFonts w:hint="eastAsia" w:ascii="宋体" w:hAnsi="宋体" w:eastAsia="宋体" w:cs="宋体"/>
          <w:sz w:val="24"/>
          <w:szCs w:val="24"/>
        </w:rPr>
        <w:t>七</w:t>
      </w:r>
      <w:bookmarkEnd w:id="138"/>
      <w:bookmarkEnd w:id="139"/>
    </w:p>
    <w:p w14:paraId="28D59FB1">
      <w:pPr>
        <w:pStyle w:val="4"/>
        <w:spacing w:before="0" w:after="0" w:line="560" w:lineRule="exact"/>
        <w:jc w:val="center"/>
        <w:rPr>
          <w:rFonts w:ascii="宋体" w:hAnsi="宋体" w:eastAsia="宋体" w:cs="宋体"/>
          <w:sz w:val="24"/>
          <w:szCs w:val="24"/>
        </w:rPr>
      </w:pPr>
      <w:bookmarkStart w:id="140" w:name="_Toc18625"/>
      <w:bookmarkStart w:id="141" w:name="_Toc1624"/>
      <w:bookmarkStart w:id="142" w:name="_Toc30527"/>
      <w:r>
        <w:rPr>
          <w:rFonts w:hint="eastAsia" w:ascii="宋体" w:hAnsi="宋体" w:eastAsia="宋体" w:cs="宋体"/>
          <w:sz w:val="24"/>
          <w:szCs w:val="24"/>
        </w:rPr>
        <w:t>相关服务承诺函</w:t>
      </w:r>
      <w:bookmarkEnd w:id="140"/>
      <w:bookmarkEnd w:id="141"/>
      <w:bookmarkEnd w:id="142"/>
    </w:p>
    <w:p w14:paraId="4C6F3840">
      <w:pPr>
        <w:jc w:val="center"/>
        <w:rPr>
          <w:rFonts w:ascii="宋体" w:hAnsi="宋体" w:cs="宋体"/>
          <w:sz w:val="24"/>
          <w:szCs w:val="28"/>
        </w:rPr>
      </w:pPr>
    </w:p>
    <w:p w14:paraId="28B8C3C1">
      <w:pPr>
        <w:jc w:val="center"/>
        <w:rPr>
          <w:rFonts w:ascii="宋体" w:hAnsi="宋体" w:cs="宋体"/>
          <w:sz w:val="24"/>
          <w:szCs w:val="28"/>
        </w:rPr>
      </w:pPr>
      <w:r>
        <w:rPr>
          <w:rFonts w:hint="eastAsia" w:ascii="宋体" w:hAnsi="宋体" w:cs="宋体"/>
          <w:sz w:val="24"/>
          <w:szCs w:val="28"/>
        </w:rPr>
        <w:t>(供应商可自行制作格式)</w:t>
      </w:r>
    </w:p>
    <w:p w14:paraId="77B5328E">
      <w:pPr>
        <w:rPr>
          <w:rFonts w:ascii="宋体" w:hAnsi="宋体" w:cs="宋体"/>
        </w:rPr>
      </w:pPr>
    </w:p>
    <w:p w14:paraId="18D62B76">
      <w:pPr>
        <w:rPr>
          <w:rFonts w:ascii="宋体" w:hAnsi="宋体" w:cs="宋体"/>
        </w:rPr>
      </w:pPr>
    </w:p>
    <w:p w14:paraId="4A6BAE60">
      <w:pPr>
        <w:rPr>
          <w:rStyle w:val="101"/>
          <w:rFonts w:hint="eastAsia" w:ascii="宋体" w:hAnsi="宋体" w:eastAsia="宋体" w:cs="宋体"/>
          <w:sz w:val="24"/>
          <w:szCs w:val="24"/>
          <w:lang w:val="en-US" w:eastAsia="zh-CN"/>
        </w:rPr>
      </w:pPr>
      <w:bookmarkStart w:id="143" w:name="_Toc3162"/>
      <w:bookmarkStart w:id="144" w:name="_Toc2238"/>
      <w:bookmarkStart w:id="145" w:name="_Toc7571"/>
      <w:r>
        <w:rPr>
          <w:rStyle w:val="101"/>
          <w:rFonts w:hint="eastAsia" w:ascii="宋体" w:hAnsi="宋体" w:eastAsia="宋体" w:cs="宋体"/>
          <w:sz w:val="24"/>
          <w:szCs w:val="24"/>
        </w:rPr>
        <w:t>附件</w:t>
      </w:r>
      <w:bookmarkEnd w:id="143"/>
      <w:bookmarkEnd w:id="144"/>
      <w:r>
        <w:rPr>
          <w:rStyle w:val="101"/>
          <w:rFonts w:hint="eastAsia" w:ascii="宋体" w:hAnsi="宋体" w:cs="宋体"/>
          <w:sz w:val="24"/>
          <w:szCs w:val="24"/>
          <w:lang w:val="en-US" w:eastAsia="zh-CN"/>
        </w:rPr>
        <w:t>八</w:t>
      </w:r>
    </w:p>
    <w:bookmarkEnd w:id="145"/>
    <w:p w14:paraId="4EE82D79">
      <w:pPr>
        <w:spacing w:line="360" w:lineRule="auto"/>
        <w:rPr>
          <w:rFonts w:ascii="宋体" w:hAnsi="宋体" w:cs="宋体"/>
          <w:bCs/>
          <w:sz w:val="24"/>
          <w:szCs w:val="24"/>
        </w:rPr>
      </w:pPr>
      <w:bookmarkStart w:id="146" w:name="_Toc28850"/>
    </w:p>
    <w:p w14:paraId="3E3F9EAE">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46"/>
    </w:p>
    <w:p w14:paraId="7F1CF19E">
      <w:pPr>
        <w:rPr>
          <w:rFonts w:hint="eastAsia"/>
          <w:sz w:val="28"/>
          <w:szCs w:val="28"/>
        </w:rPr>
      </w:pPr>
    </w:p>
    <w:p w14:paraId="18A1AE79">
      <w:pPr>
        <w:rPr>
          <w:rFonts w:hint="eastAsia" w:ascii="黑体" w:hAnsi="黑体" w:eastAsia="黑体"/>
          <w:sz w:val="36"/>
          <w:szCs w:val="36"/>
          <w:u w:val="single"/>
          <w:lang w:val="en-US" w:eastAsia="zh-CN"/>
        </w:rPr>
      </w:pPr>
      <w:r>
        <w:rPr>
          <w:rFonts w:hint="eastAsia" w:ascii="黑体" w:hAnsi="黑体" w:eastAsia="黑体"/>
          <w:sz w:val="36"/>
          <w:szCs w:val="36"/>
          <w:u w:val="single"/>
          <w:lang w:val="en-US" w:eastAsia="zh-CN"/>
        </w:rPr>
        <w:br w:type="page"/>
      </w:r>
    </w:p>
    <w:p w14:paraId="730F5DAE">
      <w:pPr>
        <w:rPr>
          <w:rFonts w:hint="eastAsia" w:ascii="黑体" w:hAnsi="黑体" w:eastAsia="黑体"/>
          <w:color w:val="FF0000"/>
          <w:sz w:val="36"/>
          <w:szCs w:val="36"/>
          <w:u w:val="none"/>
        </w:rPr>
      </w:pPr>
      <w:r>
        <w:rPr>
          <w:rFonts w:hint="eastAsia" w:ascii="黑体" w:hAnsi="黑体" w:eastAsia="黑体"/>
          <w:color w:val="FF0000"/>
          <w:sz w:val="36"/>
          <w:szCs w:val="36"/>
          <w:u w:val="none"/>
          <w:lang w:val="en-US" w:eastAsia="zh-CN"/>
        </w:rPr>
        <w:t>注：手持（供应商自行准备多份由供应商盖章的二轮报价表）</w:t>
      </w:r>
    </w:p>
    <w:p w14:paraId="3B44800B">
      <w:pPr>
        <w:autoSpaceDE w:val="0"/>
        <w:autoSpaceDN w:val="0"/>
        <w:adjustRightInd w:val="0"/>
        <w:snapToGrid w:val="0"/>
        <w:spacing w:line="360" w:lineRule="auto"/>
        <w:jc w:val="center"/>
        <w:rPr>
          <w:rFonts w:hint="eastAsia" w:ascii="黑体" w:hAnsi="黑体" w:eastAsia="黑体"/>
          <w:sz w:val="36"/>
          <w:szCs w:val="36"/>
        </w:rPr>
      </w:pPr>
      <w:r>
        <w:rPr>
          <w:rFonts w:hint="eastAsia" w:ascii="黑体" w:hAnsi="黑体" w:eastAsia="黑体"/>
          <w:sz w:val="36"/>
          <w:szCs w:val="36"/>
          <w:lang w:val="en-US" w:eastAsia="zh-CN"/>
        </w:rPr>
        <w:t>六安市叶集区医共体中心药房追溯码信息系统项目</w:t>
      </w:r>
    </w:p>
    <w:p w14:paraId="3CE91CCC">
      <w:pPr>
        <w:autoSpaceDE w:val="0"/>
        <w:autoSpaceDN w:val="0"/>
        <w:adjustRightInd w:val="0"/>
        <w:snapToGrid w:val="0"/>
        <w:spacing w:line="360" w:lineRule="auto"/>
        <w:jc w:val="center"/>
        <w:rPr>
          <w:rFonts w:ascii="黑体" w:hAnsi="宋体" w:eastAsia="黑体"/>
          <w:sz w:val="36"/>
          <w:szCs w:val="36"/>
        </w:rPr>
      </w:pPr>
      <w:r>
        <w:rPr>
          <w:rFonts w:hint="eastAsia" w:ascii="黑体" w:hAnsi="黑体" w:eastAsia="黑体"/>
          <w:sz w:val="36"/>
          <w:szCs w:val="36"/>
        </w:rPr>
        <w:t>竞争性</w:t>
      </w:r>
      <w:r>
        <w:rPr>
          <w:rFonts w:hint="eastAsia" w:ascii="黑体" w:hAnsi="黑体" w:eastAsia="黑体"/>
          <w:sz w:val="36"/>
          <w:szCs w:val="36"/>
          <w:lang w:val="en-US" w:eastAsia="zh-CN"/>
        </w:rPr>
        <w:t>磋商</w:t>
      </w:r>
      <w:r>
        <w:rPr>
          <w:rFonts w:hint="eastAsia" w:ascii="黑体" w:hAnsi="黑体" w:eastAsia="黑体"/>
          <w:sz w:val="36"/>
          <w:szCs w:val="36"/>
          <w:u w:val="single"/>
          <w:lang w:val="en-US" w:eastAsia="zh-CN"/>
        </w:rPr>
        <w:t xml:space="preserve">   </w:t>
      </w:r>
      <w:r>
        <w:rPr>
          <w:rFonts w:hint="eastAsia" w:ascii="黑体" w:hAnsi="黑体" w:eastAsia="黑体"/>
          <w:sz w:val="36"/>
          <w:szCs w:val="36"/>
        </w:rPr>
        <w:t>轮报价表</w:t>
      </w:r>
    </w:p>
    <w:p w14:paraId="6CCB2D3D">
      <w:pPr>
        <w:spacing w:line="640" w:lineRule="exact"/>
        <w:rPr>
          <w:rFonts w:ascii="宋体" w:hAnsi="宋体"/>
          <w:sz w:val="28"/>
          <w:szCs w:val="28"/>
        </w:rPr>
      </w:pPr>
    </w:p>
    <w:p w14:paraId="2E0D1763">
      <w:pPr>
        <w:spacing w:line="64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lang w:val="en-US" w:eastAsia="zh-CN"/>
        </w:rPr>
        <w:t>六安市叶集区人民医院（六安市叶集区人民医院（市六院））</w:t>
      </w:r>
    </w:p>
    <w:p w14:paraId="750119AC">
      <w:pPr>
        <w:numPr>
          <w:ilvl w:val="0"/>
          <w:numId w:val="4"/>
        </w:numPr>
        <w:spacing w:line="640" w:lineRule="exact"/>
        <w:ind w:firstLine="560" w:firstLineChars="200"/>
        <w:rPr>
          <w:rFonts w:hint="eastAsia" w:ascii="宋体" w:hAnsi="宋体"/>
          <w:sz w:val="28"/>
          <w:szCs w:val="28"/>
        </w:rPr>
      </w:pPr>
      <w:r>
        <w:rPr>
          <w:rFonts w:hint="eastAsia" w:ascii="宋体" w:hAnsi="宋体"/>
          <w:sz w:val="28"/>
          <w:szCs w:val="28"/>
        </w:rPr>
        <w:t>我方愿在前一轮次</w:t>
      </w:r>
      <w:r>
        <w:rPr>
          <w:rFonts w:hint="eastAsia" w:ascii="宋体" w:hAnsi="宋体"/>
          <w:sz w:val="28"/>
          <w:szCs w:val="28"/>
          <w:lang w:val="en-US" w:eastAsia="zh-CN"/>
        </w:rPr>
        <w:t>磋商</w:t>
      </w:r>
      <w:r>
        <w:rPr>
          <w:rFonts w:hint="eastAsia" w:ascii="宋体" w:hAnsi="宋体"/>
          <w:sz w:val="28"/>
          <w:szCs w:val="28"/>
        </w:rPr>
        <w:t>报价的基础上</w:t>
      </w:r>
      <w:r>
        <w:rPr>
          <w:rFonts w:hint="eastAsia" w:ascii="宋体" w:hAnsi="宋体"/>
          <w:sz w:val="28"/>
          <w:szCs w:val="28"/>
          <w:lang w:val="en-US" w:eastAsia="zh-CN"/>
        </w:rPr>
        <w:t>对本项目进行</w:t>
      </w:r>
      <w:r>
        <w:rPr>
          <w:rFonts w:hint="eastAsia" w:ascii="宋体" w:hAnsi="宋体"/>
          <w:sz w:val="28"/>
          <w:szCs w:val="28"/>
          <w:u w:val="single"/>
          <w:lang w:val="en-US" w:eastAsia="zh-CN"/>
        </w:rPr>
        <w:t xml:space="preserve">    </w:t>
      </w:r>
      <w:r>
        <w:rPr>
          <w:rFonts w:hint="eastAsia" w:ascii="宋体" w:hAnsi="宋体"/>
          <w:sz w:val="28"/>
          <w:szCs w:val="28"/>
          <w:lang w:val="en-US" w:eastAsia="zh-CN"/>
        </w:rPr>
        <w:t>轮报价</w:t>
      </w:r>
      <w:r>
        <w:rPr>
          <w:rFonts w:hint="eastAsia" w:ascii="宋体" w:hAnsi="宋体"/>
          <w:sz w:val="28"/>
          <w:szCs w:val="28"/>
        </w:rPr>
        <w:t>：</w:t>
      </w:r>
    </w:p>
    <w:p w14:paraId="4B79BFDA">
      <w:pPr>
        <w:pStyle w:val="33"/>
        <w:numPr>
          <w:ilvl w:val="0"/>
          <w:numId w:val="0"/>
        </w:numPr>
      </w:pPr>
    </w:p>
    <w:tbl>
      <w:tblPr>
        <w:tblStyle w:val="35"/>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755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42EBD7A1">
            <w:pPr>
              <w:jc w:val="center"/>
              <w:rPr>
                <w:rFonts w:ascii="宋体" w:hAnsi="宋体"/>
                <w:b/>
                <w:sz w:val="24"/>
                <w:szCs w:val="24"/>
              </w:rPr>
            </w:pPr>
            <w:r>
              <w:rPr>
                <w:rFonts w:hint="eastAsia" w:ascii="宋体" w:hAnsi="宋体"/>
                <w:b/>
                <w:sz w:val="24"/>
                <w:szCs w:val="24"/>
              </w:rPr>
              <w:t>序号</w:t>
            </w:r>
          </w:p>
        </w:tc>
        <w:tc>
          <w:tcPr>
            <w:tcW w:w="5385" w:type="dxa"/>
            <w:vAlign w:val="center"/>
          </w:tcPr>
          <w:p w14:paraId="74544011">
            <w:pPr>
              <w:jc w:val="center"/>
              <w:rPr>
                <w:rFonts w:ascii="宋体" w:hAnsi="宋体"/>
                <w:b/>
                <w:sz w:val="24"/>
                <w:szCs w:val="24"/>
              </w:rPr>
            </w:pPr>
            <w:r>
              <w:rPr>
                <w:rFonts w:hint="eastAsia" w:ascii="宋体" w:hAnsi="宋体"/>
                <w:b/>
                <w:sz w:val="24"/>
                <w:szCs w:val="24"/>
                <w:lang w:val="en-US" w:eastAsia="zh-CN"/>
              </w:rPr>
              <w:t>项目名称</w:t>
            </w:r>
          </w:p>
        </w:tc>
        <w:tc>
          <w:tcPr>
            <w:tcW w:w="2715" w:type="dxa"/>
            <w:vAlign w:val="center"/>
          </w:tcPr>
          <w:p w14:paraId="5275B507">
            <w:pPr>
              <w:jc w:val="center"/>
              <w:rPr>
                <w:rFonts w:hint="eastAsia" w:ascii="宋体" w:hAnsi="宋体"/>
                <w:b/>
                <w:sz w:val="24"/>
                <w:szCs w:val="24"/>
              </w:rPr>
            </w:pPr>
            <w:r>
              <w:rPr>
                <w:rFonts w:hint="eastAsia" w:ascii="宋体" w:hAnsi="宋体"/>
                <w:b/>
                <w:sz w:val="24"/>
                <w:szCs w:val="24"/>
                <w:lang w:val="en-US" w:eastAsia="zh-CN"/>
              </w:rPr>
              <w:t>响应报</w:t>
            </w:r>
            <w:r>
              <w:rPr>
                <w:rFonts w:hint="eastAsia" w:ascii="宋体" w:hAnsi="宋体"/>
                <w:b/>
                <w:sz w:val="24"/>
                <w:szCs w:val="24"/>
              </w:rPr>
              <w:t>价</w:t>
            </w:r>
          </w:p>
          <w:p w14:paraId="25ACFD33">
            <w:pPr>
              <w:jc w:val="center"/>
              <w:rPr>
                <w:rFonts w:hint="eastAsia" w:ascii="宋体" w:hAnsi="宋体" w:eastAsia="宋体"/>
                <w:b/>
                <w:sz w:val="24"/>
                <w:szCs w:val="24"/>
                <w:lang w:eastAsia="zh-CN"/>
              </w:rPr>
            </w:pPr>
            <w:r>
              <w:rPr>
                <w:rFonts w:hint="eastAsia" w:ascii="宋体" w:hAnsi="宋体"/>
                <w:b/>
                <w:sz w:val="24"/>
                <w:szCs w:val="24"/>
                <w:lang w:eastAsia="zh-CN"/>
              </w:rPr>
              <w:t>（</w:t>
            </w:r>
            <w:r>
              <w:rPr>
                <w:rFonts w:hint="eastAsia" w:ascii="宋体" w:hAnsi="宋体"/>
                <w:b/>
                <w:sz w:val="24"/>
                <w:szCs w:val="24"/>
                <w:lang w:val="en-US" w:eastAsia="zh-CN"/>
              </w:rPr>
              <w:t>元，保留两位小数</w:t>
            </w:r>
            <w:r>
              <w:rPr>
                <w:rFonts w:hint="eastAsia" w:ascii="宋体" w:hAnsi="宋体"/>
                <w:b/>
                <w:sz w:val="24"/>
                <w:szCs w:val="24"/>
                <w:lang w:eastAsia="zh-CN"/>
              </w:rPr>
              <w:t>）</w:t>
            </w:r>
          </w:p>
        </w:tc>
      </w:tr>
      <w:tr w14:paraId="0B14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vAlign w:val="center"/>
          </w:tcPr>
          <w:p w14:paraId="0D3A57C7">
            <w:pPr>
              <w:jc w:val="center"/>
              <w:rPr>
                <w:rFonts w:ascii="宋体" w:hAnsi="宋体"/>
                <w:bCs/>
                <w:sz w:val="24"/>
                <w:szCs w:val="24"/>
              </w:rPr>
            </w:pPr>
            <w:r>
              <w:rPr>
                <w:rFonts w:hint="eastAsia" w:ascii="宋体" w:hAnsi="宋体"/>
                <w:bCs/>
                <w:sz w:val="24"/>
                <w:szCs w:val="24"/>
              </w:rPr>
              <w:t>1</w:t>
            </w:r>
          </w:p>
        </w:tc>
        <w:tc>
          <w:tcPr>
            <w:tcW w:w="5385" w:type="dxa"/>
            <w:vAlign w:val="center"/>
          </w:tcPr>
          <w:p w14:paraId="335F3885">
            <w:pPr>
              <w:jc w:val="center"/>
              <w:rPr>
                <w:rFonts w:ascii="宋体" w:hAnsi="宋体"/>
                <w:bCs/>
                <w:sz w:val="24"/>
                <w:szCs w:val="24"/>
              </w:rPr>
            </w:pPr>
            <w:r>
              <w:rPr>
                <w:rFonts w:hint="eastAsia" w:ascii="宋体" w:hAnsi="宋体"/>
                <w:bCs/>
                <w:sz w:val="24"/>
                <w:szCs w:val="24"/>
              </w:rPr>
              <w:t>六安市叶集区医共体中心药房追溯码信息系统项目</w:t>
            </w:r>
          </w:p>
        </w:tc>
        <w:tc>
          <w:tcPr>
            <w:tcW w:w="2715" w:type="dxa"/>
            <w:vAlign w:val="center"/>
          </w:tcPr>
          <w:p w14:paraId="37334261">
            <w:pPr>
              <w:ind w:firstLine="480" w:firstLineChars="200"/>
              <w:jc w:val="center"/>
              <w:rPr>
                <w:rFonts w:ascii="宋体" w:hAnsi="宋体"/>
                <w:bCs/>
                <w:sz w:val="24"/>
                <w:szCs w:val="24"/>
              </w:rPr>
            </w:pPr>
          </w:p>
        </w:tc>
      </w:tr>
      <w:tr w14:paraId="1999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902" w:type="dxa"/>
            <w:gridSpan w:val="3"/>
            <w:tcBorders>
              <w:bottom w:val="single" w:color="auto" w:sz="4" w:space="0"/>
            </w:tcBorders>
            <w:vAlign w:val="center"/>
          </w:tcPr>
          <w:p w14:paraId="4A75802B">
            <w:pPr>
              <w:ind w:firstLine="480" w:firstLineChars="200"/>
              <w:jc w:val="center"/>
              <w:rPr>
                <w:rFonts w:hint="default" w:ascii="宋体" w:hAnsi="宋体" w:eastAsia="宋体"/>
                <w:bCs/>
                <w:sz w:val="24"/>
                <w:szCs w:val="24"/>
                <w:lang w:val="en-US" w:eastAsia="zh-CN"/>
              </w:rPr>
            </w:pPr>
            <w:r>
              <w:rPr>
                <w:rFonts w:hint="eastAsia" w:ascii="宋体" w:hAnsi="宋体"/>
                <w:bCs/>
                <w:sz w:val="24"/>
                <w:szCs w:val="24"/>
                <w:lang w:val="en-US" w:eastAsia="zh-CN"/>
              </w:rPr>
              <w:t>注：各分项报价同比例下浮。</w:t>
            </w:r>
          </w:p>
        </w:tc>
      </w:tr>
    </w:tbl>
    <w:p w14:paraId="0AC35FFD">
      <w:pPr>
        <w:spacing w:line="640" w:lineRule="exact"/>
        <w:ind w:firstLine="560" w:firstLineChars="200"/>
        <w:rPr>
          <w:rFonts w:hint="eastAsia" w:ascii="宋体" w:hAnsi="宋体"/>
          <w:sz w:val="28"/>
          <w:szCs w:val="28"/>
        </w:rPr>
      </w:pPr>
    </w:p>
    <w:p w14:paraId="6B2AA8DC">
      <w:pPr>
        <w:spacing w:line="640" w:lineRule="exact"/>
        <w:ind w:firstLine="560" w:firstLineChars="200"/>
        <w:rPr>
          <w:rFonts w:ascii="宋体" w:hAnsi="宋体"/>
          <w:sz w:val="28"/>
          <w:szCs w:val="28"/>
        </w:rPr>
      </w:pPr>
      <w:r>
        <w:rPr>
          <w:rFonts w:hint="eastAsia" w:ascii="宋体" w:hAnsi="宋体"/>
          <w:sz w:val="28"/>
          <w:szCs w:val="28"/>
        </w:rPr>
        <w:t>2、其他部分与响应性文件内容一致。</w:t>
      </w:r>
    </w:p>
    <w:p w14:paraId="75212AB6">
      <w:pPr>
        <w:rPr>
          <w:rFonts w:ascii="宋体" w:hAnsi="宋体"/>
          <w:sz w:val="28"/>
          <w:szCs w:val="28"/>
        </w:rPr>
      </w:pPr>
    </w:p>
    <w:p w14:paraId="41D46507">
      <w:pPr>
        <w:ind w:left="5324" w:leftChars="1402" w:hanging="2380" w:hangingChars="850"/>
        <w:rPr>
          <w:rFonts w:ascii="宋体" w:hAnsi="宋体"/>
          <w:sz w:val="28"/>
          <w:szCs w:val="28"/>
        </w:rPr>
      </w:pPr>
      <w:r>
        <w:rPr>
          <w:rFonts w:hint="eastAsia" w:ascii="宋体" w:hAnsi="宋体"/>
          <w:sz w:val="28"/>
          <w:szCs w:val="28"/>
        </w:rPr>
        <w:t xml:space="preserve">供应商： </w:t>
      </w:r>
      <w:r>
        <w:rPr>
          <w:rFonts w:hint="eastAsia" w:ascii="宋体" w:hAnsi="宋体"/>
          <w:sz w:val="28"/>
          <w:szCs w:val="28"/>
          <w:u w:val="single"/>
        </w:rPr>
        <w:t xml:space="preserve">                        （盖章）</w:t>
      </w:r>
    </w:p>
    <w:p w14:paraId="68B58864">
      <w:pPr>
        <w:ind w:firstLine="2940" w:firstLineChars="1050"/>
        <w:rPr>
          <w:rFonts w:ascii="宋体" w:hAnsi="宋体"/>
          <w:sz w:val="28"/>
          <w:szCs w:val="28"/>
        </w:rPr>
      </w:pPr>
      <w:r>
        <w:rPr>
          <w:rFonts w:hint="eastAsia" w:ascii="宋体" w:hAnsi="宋体"/>
          <w:sz w:val="28"/>
          <w:szCs w:val="28"/>
        </w:rPr>
        <w:t>法定代表人或授权代表：</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（签字或盖章）</w:t>
      </w:r>
    </w:p>
    <w:p w14:paraId="6819E55D">
      <w:pPr>
        <w:wordWrap w:val="0"/>
        <w:ind w:right="280"/>
        <w:jc w:val="right"/>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 xml:space="preserve">   </w:t>
      </w:r>
      <w:r>
        <w:rPr>
          <w:rFonts w:hint="eastAsia" w:ascii="宋体" w:hAnsi="宋体"/>
          <w:sz w:val="28"/>
          <w:szCs w:val="28"/>
        </w:rPr>
        <w:t>年   月   日</w:t>
      </w:r>
    </w:p>
    <w:p w14:paraId="15BBFC2C">
      <w:pPr>
        <w:rPr>
          <w:rFonts w:hint="eastAsia" w:ascii="宋体" w:hAnsi="宋体"/>
          <w:b/>
          <w:bCs/>
          <w:sz w:val="28"/>
          <w:szCs w:val="28"/>
          <w:shd w:val="clear" w:color="auto" w:fill="FFFFFF"/>
        </w:rPr>
      </w:pPr>
    </w:p>
    <w:p w14:paraId="60F7C3D8">
      <w:pPr>
        <w:rPr>
          <w:rFonts w:hint="eastAsia" w:ascii="宋体" w:hAnsi="宋体"/>
          <w:b/>
          <w:bCs/>
          <w:sz w:val="28"/>
          <w:szCs w:val="28"/>
          <w:shd w:val="clear" w:color="auto" w:fill="FFFFFF"/>
        </w:rPr>
      </w:pPr>
    </w:p>
    <w:p w14:paraId="20EC4165">
      <w:r>
        <w:rPr>
          <w:rFonts w:hint="eastAsia" w:ascii="宋体" w:hAnsi="宋体"/>
          <w:b/>
          <w:bCs/>
          <w:sz w:val="28"/>
          <w:szCs w:val="28"/>
          <w:shd w:val="clear" w:color="auto" w:fill="FFFFFF"/>
        </w:rPr>
        <w:t>注：只报总价。报价轮次由</w:t>
      </w:r>
      <w:r>
        <w:rPr>
          <w:rFonts w:hint="eastAsia" w:ascii="宋体" w:hAnsi="宋体"/>
          <w:b/>
          <w:bCs/>
          <w:sz w:val="28"/>
          <w:szCs w:val="28"/>
          <w:shd w:val="clear" w:color="auto" w:fill="FFFFFF"/>
          <w:lang w:val="en-US" w:eastAsia="zh-CN"/>
        </w:rPr>
        <w:t>磋商小组</w:t>
      </w:r>
      <w:r>
        <w:rPr>
          <w:rFonts w:hint="eastAsia" w:ascii="宋体" w:hAnsi="宋体"/>
          <w:b/>
          <w:bCs/>
          <w:sz w:val="28"/>
          <w:szCs w:val="28"/>
          <w:shd w:val="clear" w:color="auto" w:fill="FFFFFF"/>
        </w:rPr>
        <w:t>确定，供应商在响应文件中报价即为首轮报价。</w:t>
      </w:r>
    </w:p>
    <w:p w14:paraId="4D988015"/>
    <w:sectPr>
      <w:headerReference r:id="rId3" w:type="default"/>
      <w:footerReference r:id="rId5" w:type="default"/>
      <w:headerReference r:id="rId4" w:type="even"/>
      <w:footerReference r:id="rId6" w:type="even"/>
      <w:pgSz w:w="11906" w:h="16838"/>
      <w:pgMar w:top="1440" w:right="1531" w:bottom="11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BCE10A-B891-4CBE-9BB9-29A845440F3A}"/>
  </w:font>
  <w:font w:name="黑体">
    <w:panose1 w:val="02010609060101010101"/>
    <w:charset w:val="86"/>
    <w:family w:val="auto"/>
    <w:pitch w:val="default"/>
    <w:sig w:usb0="800002BF" w:usb1="38CF7CFA" w:usb2="00000016" w:usb3="00000000" w:csb0="00040001" w:csb1="00000000"/>
    <w:embedRegular r:id="rId2" w:fontKey="{9103173C-6F5B-4AC1-BED7-0FF397E9A4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961BC14-4DD0-40A6-8B56-8810352837BA}"/>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4" w:fontKey="{5D16F589-E8F5-4B28-A8EA-A9327709F31F}"/>
  </w:font>
  <w:font w:name="仿宋">
    <w:panose1 w:val="02010609060101010101"/>
    <w:charset w:val="86"/>
    <w:family w:val="auto"/>
    <w:pitch w:val="default"/>
    <w:sig w:usb0="800002BF" w:usb1="38CF7CFA" w:usb2="00000016" w:usb3="00000000" w:csb0="00040001" w:csb1="00000000"/>
    <w:embedRegular r:id="rId5" w:fontKey="{EF96FC3B-1EE7-4B1A-A53D-8C5A837C755A}"/>
  </w:font>
  <w:font w:name="DotumChe">
    <w:panose1 w:val="020B0609000101010101"/>
    <w:charset w:val="81"/>
    <w:family w:val="modern"/>
    <w:pitch w:val="default"/>
    <w:sig w:usb0="B00002AF" w:usb1="69D77CFB" w:usb2="00000030" w:usb3="00000000" w:csb0="4008009F" w:csb1="DFD70000"/>
    <w:embedRegular r:id="rId6" w:fontKey="{7D178897-832C-4C4D-9CBD-3BAFE81D8DF4}"/>
  </w:font>
  <w:font w:name="WPSEMBED12">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30A0">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p w14:paraId="122D7F7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AD14">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4EB0939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BD6B">
    <w:pPr>
      <w:pStyle w:val="22"/>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01F6">
    <w:pPr>
      <w:pStyle w:val="22"/>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0F573EE0">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A69F08A"/>
    <w:multiLevelType w:val="singleLevel"/>
    <w:tmpl w:val="FA69F08A"/>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002F"/>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A64C4"/>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8F6EB2"/>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39EE"/>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00390C"/>
    <w:rsid w:val="01086C64"/>
    <w:rsid w:val="010A29DC"/>
    <w:rsid w:val="013E2686"/>
    <w:rsid w:val="017B5688"/>
    <w:rsid w:val="017E1B19"/>
    <w:rsid w:val="01D152A8"/>
    <w:rsid w:val="01ED3B47"/>
    <w:rsid w:val="025A34EF"/>
    <w:rsid w:val="027D2D3A"/>
    <w:rsid w:val="029C58B6"/>
    <w:rsid w:val="029E162E"/>
    <w:rsid w:val="02E46D6A"/>
    <w:rsid w:val="02F56D74"/>
    <w:rsid w:val="02F70D3E"/>
    <w:rsid w:val="03062E20"/>
    <w:rsid w:val="0311396F"/>
    <w:rsid w:val="03433F84"/>
    <w:rsid w:val="034D6BB0"/>
    <w:rsid w:val="03604B36"/>
    <w:rsid w:val="038A3960"/>
    <w:rsid w:val="03B22505"/>
    <w:rsid w:val="03D41080"/>
    <w:rsid w:val="03DD6186"/>
    <w:rsid w:val="03F7136D"/>
    <w:rsid w:val="04067181"/>
    <w:rsid w:val="043A5387"/>
    <w:rsid w:val="045F6B9B"/>
    <w:rsid w:val="046D72F7"/>
    <w:rsid w:val="04722D72"/>
    <w:rsid w:val="04CC1D57"/>
    <w:rsid w:val="04EE7346"/>
    <w:rsid w:val="04FC6AE0"/>
    <w:rsid w:val="04FD0162"/>
    <w:rsid w:val="05045387"/>
    <w:rsid w:val="05096B07"/>
    <w:rsid w:val="05104E6D"/>
    <w:rsid w:val="053346E9"/>
    <w:rsid w:val="05340028"/>
    <w:rsid w:val="05371F98"/>
    <w:rsid w:val="05551D4C"/>
    <w:rsid w:val="058C1C12"/>
    <w:rsid w:val="05AA2098"/>
    <w:rsid w:val="05BE1FE7"/>
    <w:rsid w:val="05CD4D4D"/>
    <w:rsid w:val="05ED76CD"/>
    <w:rsid w:val="06262FF6"/>
    <w:rsid w:val="06436049"/>
    <w:rsid w:val="064E336B"/>
    <w:rsid w:val="065F13E0"/>
    <w:rsid w:val="06935222"/>
    <w:rsid w:val="06B324FD"/>
    <w:rsid w:val="06D80E87"/>
    <w:rsid w:val="06E17D3B"/>
    <w:rsid w:val="06E96BF0"/>
    <w:rsid w:val="06EB0BBA"/>
    <w:rsid w:val="06F061D0"/>
    <w:rsid w:val="06F37A6F"/>
    <w:rsid w:val="06F832D7"/>
    <w:rsid w:val="07267565"/>
    <w:rsid w:val="07293490"/>
    <w:rsid w:val="07322345"/>
    <w:rsid w:val="075C73C2"/>
    <w:rsid w:val="0777244E"/>
    <w:rsid w:val="07814D22"/>
    <w:rsid w:val="078C18B4"/>
    <w:rsid w:val="07A20F5E"/>
    <w:rsid w:val="07E35D35"/>
    <w:rsid w:val="0834567D"/>
    <w:rsid w:val="084A5DB4"/>
    <w:rsid w:val="085B3B1D"/>
    <w:rsid w:val="085E5B1B"/>
    <w:rsid w:val="08771B19"/>
    <w:rsid w:val="087921F6"/>
    <w:rsid w:val="088017D6"/>
    <w:rsid w:val="08B17BE1"/>
    <w:rsid w:val="08B35707"/>
    <w:rsid w:val="08DF474E"/>
    <w:rsid w:val="09267C87"/>
    <w:rsid w:val="094620D8"/>
    <w:rsid w:val="095A5B83"/>
    <w:rsid w:val="095F7F4C"/>
    <w:rsid w:val="097A4477"/>
    <w:rsid w:val="09A60123"/>
    <w:rsid w:val="09AE75F4"/>
    <w:rsid w:val="09B13C0D"/>
    <w:rsid w:val="09B95F2A"/>
    <w:rsid w:val="09E07802"/>
    <w:rsid w:val="0A0C7574"/>
    <w:rsid w:val="0A1263F7"/>
    <w:rsid w:val="0A185E82"/>
    <w:rsid w:val="0A424E4D"/>
    <w:rsid w:val="0A6A79B1"/>
    <w:rsid w:val="0A8758AC"/>
    <w:rsid w:val="0A8E01DA"/>
    <w:rsid w:val="0AF82AC1"/>
    <w:rsid w:val="0AFB279E"/>
    <w:rsid w:val="0B5212D7"/>
    <w:rsid w:val="0B66533A"/>
    <w:rsid w:val="0B84414D"/>
    <w:rsid w:val="0B882E7B"/>
    <w:rsid w:val="0B9F02FA"/>
    <w:rsid w:val="0BD46BAD"/>
    <w:rsid w:val="0BE120B2"/>
    <w:rsid w:val="0BE91440"/>
    <w:rsid w:val="0C4D19CF"/>
    <w:rsid w:val="0C760F26"/>
    <w:rsid w:val="0CD45A1D"/>
    <w:rsid w:val="0CEC43CA"/>
    <w:rsid w:val="0D026C5D"/>
    <w:rsid w:val="0D051CD8"/>
    <w:rsid w:val="0D2766C4"/>
    <w:rsid w:val="0D50431A"/>
    <w:rsid w:val="0D553B28"/>
    <w:rsid w:val="0D6921B0"/>
    <w:rsid w:val="0D701E19"/>
    <w:rsid w:val="0DB80E1D"/>
    <w:rsid w:val="0DE325EB"/>
    <w:rsid w:val="0DF624E0"/>
    <w:rsid w:val="0E263BAF"/>
    <w:rsid w:val="0E323572"/>
    <w:rsid w:val="0E346850"/>
    <w:rsid w:val="0E404088"/>
    <w:rsid w:val="0EA113FA"/>
    <w:rsid w:val="0ECA11CC"/>
    <w:rsid w:val="0F2C1D70"/>
    <w:rsid w:val="0F390E8E"/>
    <w:rsid w:val="0F3E3C75"/>
    <w:rsid w:val="0F7A6F7F"/>
    <w:rsid w:val="0F8F57EF"/>
    <w:rsid w:val="0F9A317D"/>
    <w:rsid w:val="0FAB538A"/>
    <w:rsid w:val="0FF97625"/>
    <w:rsid w:val="10044E18"/>
    <w:rsid w:val="10120F66"/>
    <w:rsid w:val="1018304A"/>
    <w:rsid w:val="102325D8"/>
    <w:rsid w:val="10303AE2"/>
    <w:rsid w:val="103F4F35"/>
    <w:rsid w:val="104135F9"/>
    <w:rsid w:val="10722611"/>
    <w:rsid w:val="10914580"/>
    <w:rsid w:val="1097590F"/>
    <w:rsid w:val="10FD4EE8"/>
    <w:rsid w:val="110475FD"/>
    <w:rsid w:val="11200448"/>
    <w:rsid w:val="119066D9"/>
    <w:rsid w:val="11A335B5"/>
    <w:rsid w:val="11AE2F10"/>
    <w:rsid w:val="11D230A2"/>
    <w:rsid w:val="1219428E"/>
    <w:rsid w:val="123C3820"/>
    <w:rsid w:val="12922832"/>
    <w:rsid w:val="1303465D"/>
    <w:rsid w:val="131274CE"/>
    <w:rsid w:val="13160D6D"/>
    <w:rsid w:val="132C7E5D"/>
    <w:rsid w:val="1331553F"/>
    <w:rsid w:val="13490C7D"/>
    <w:rsid w:val="135C3D02"/>
    <w:rsid w:val="13732270"/>
    <w:rsid w:val="13796071"/>
    <w:rsid w:val="139A7BF0"/>
    <w:rsid w:val="13AC7923"/>
    <w:rsid w:val="13D824C6"/>
    <w:rsid w:val="13E1581F"/>
    <w:rsid w:val="14117786"/>
    <w:rsid w:val="141F1EA3"/>
    <w:rsid w:val="142B0848"/>
    <w:rsid w:val="1441159D"/>
    <w:rsid w:val="14665D24"/>
    <w:rsid w:val="14B0592A"/>
    <w:rsid w:val="14B46A8F"/>
    <w:rsid w:val="14BE790E"/>
    <w:rsid w:val="14E27C21"/>
    <w:rsid w:val="14E86739"/>
    <w:rsid w:val="14FA7C6E"/>
    <w:rsid w:val="150D3AA3"/>
    <w:rsid w:val="153B2049"/>
    <w:rsid w:val="154222ED"/>
    <w:rsid w:val="15614DA8"/>
    <w:rsid w:val="158E5532"/>
    <w:rsid w:val="15AC59B8"/>
    <w:rsid w:val="15AD79BC"/>
    <w:rsid w:val="15AF70C3"/>
    <w:rsid w:val="15CC7E09"/>
    <w:rsid w:val="15DD5B72"/>
    <w:rsid w:val="1602382A"/>
    <w:rsid w:val="16066864"/>
    <w:rsid w:val="16135A37"/>
    <w:rsid w:val="162419F3"/>
    <w:rsid w:val="162B2D81"/>
    <w:rsid w:val="163B017B"/>
    <w:rsid w:val="1658169C"/>
    <w:rsid w:val="166B499D"/>
    <w:rsid w:val="16991EF7"/>
    <w:rsid w:val="16A14DF1"/>
    <w:rsid w:val="16C84A74"/>
    <w:rsid w:val="16E178E4"/>
    <w:rsid w:val="17012CAE"/>
    <w:rsid w:val="170535D2"/>
    <w:rsid w:val="170F0CFF"/>
    <w:rsid w:val="171952CF"/>
    <w:rsid w:val="17375756"/>
    <w:rsid w:val="173850A7"/>
    <w:rsid w:val="174C0AC9"/>
    <w:rsid w:val="1763654B"/>
    <w:rsid w:val="177B4CDC"/>
    <w:rsid w:val="17BA7FA6"/>
    <w:rsid w:val="17D15BAA"/>
    <w:rsid w:val="182C1032"/>
    <w:rsid w:val="191A0E8B"/>
    <w:rsid w:val="191E097B"/>
    <w:rsid w:val="192B2CC7"/>
    <w:rsid w:val="198B1495"/>
    <w:rsid w:val="199944A6"/>
    <w:rsid w:val="19A1335A"/>
    <w:rsid w:val="1A0725B2"/>
    <w:rsid w:val="1A165AF6"/>
    <w:rsid w:val="1A1F0E4F"/>
    <w:rsid w:val="1A3B555D"/>
    <w:rsid w:val="1A630ED2"/>
    <w:rsid w:val="1A6C248D"/>
    <w:rsid w:val="1AA42578"/>
    <w:rsid w:val="1AA80E44"/>
    <w:rsid w:val="1AD23FC4"/>
    <w:rsid w:val="1AE4406F"/>
    <w:rsid w:val="1AF45622"/>
    <w:rsid w:val="1B4F12C0"/>
    <w:rsid w:val="1B5A7D5C"/>
    <w:rsid w:val="1B7B26E1"/>
    <w:rsid w:val="1B8C2514"/>
    <w:rsid w:val="1BA86C22"/>
    <w:rsid w:val="1BCC0B62"/>
    <w:rsid w:val="1BFD51C0"/>
    <w:rsid w:val="1C055100"/>
    <w:rsid w:val="1C1147C7"/>
    <w:rsid w:val="1C1A0C17"/>
    <w:rsid w:val="1C2F10F1"/>
    <w:rsid w:val="1C32741A"/>
    <w:rsid w:val="1C405AE5"/>
    <w:rsid w:val="1C4E72BE"/>
    <w:rsid w:val="1C646FED"/>
    <w:rsid w:val="1C6A3ED7"/>
    <w:rsid w:val="1C9F0025"/>
    <w:rsid w:val="1CB3762C"/>
    <w:rsid w:val="1CB66679"/>
    <w:rsid w:val="1CF85987"/>
    <w:rsid w:val="1D0C75F3"/>
    <w:rsid w:val="1D104A7F"/>
    <w:rsid w:val="1D960483"/>
    <w:rsid w:val="1D9751A0"/>
    <w:rsid w:val="1DB23D88"/>
    <w:rsid w:val="1DD8524D"/>
    <w:rsid w:val="1DF15284"/>
    <w:rsid w:val="1E0A2DCB"/>
    <w:rsid w:val="1E4E1D03"/>
    <w:rsid w:val="1E5F77E6"/>
    <w:rsid w:val="1E875215"/>
    <w:rsid w:val="1EB63404"/>
    <w:rsid w:val="1ED33FB6"/>
    <w:rsid w:val="1F171CFB"/>
    <w:rsid w:val="1F2E5690"/>
    <w:rsid w:val="1F3C13B6"/>
    <w:rsid w:val="1F4B49D6"/>
    <w:rsid w:val="1FCB070D"/>
    <w:rsid w:val="1FF85069"/>
    <w:rsid w:val="201605FE"/>
    <w:rsid w:val="207B5B05"/>
    <w:rsid w:val="20803CC9"/>
    <w:rsid w:val="20F41885"/>
    <w:rsid w:val="21022930"/>
    <w:rsid w:val="21090163"/>
    <w:rsid w:val="214C004F"/>
    <w:rsid w:val="2163607F"/>
    <w:rsid w:val="217A696B"/>
    <w:rsid w:val="21804A7C"/>
    <w:rsid w:val="21993B18"/>
    <w:rsid w:val="21A12149"/>
    <w:rsid w:val="21AB746C"/>
    <w:rsid w:val="21C2365D"/>
    <w:rsid w:val="21E9106C"/>
    <w:rsid w:val="21F7620D"/>
    <w:rsid w:val="220B7F0B"/>
    <w:rsid w:val="221B014E"/>
    <w:rsid w:val="221E19EC"/>
    <w:rsid w:val="22250FCC"/>
    <w:rsid w:val="22464B8D"/>
    <w:rsid w:val="22477195"/>
    <w:rsid w:val="226D64CF"/>
    <w:rsid w:val="229A201B"/>
    <w:rsid w:val="22C5455D"/>
    <w:rsid w:val="22CC58EC"/>
    <w:rsid w:val="230010F2"/>
    <w:rsid w:val="23024E6A"/>
    <w:rsid w:val="23105471"/>
    <w:rsid w:val="23906919"/>
    <w:rsid w:val="239974D6"/>
    <w:rsid w:val="23E266D0"/>
    <w:rsid w:val="23E4618A"/>
    <w:rsid w:val="23EB7FF4"/>
    <w:rsid w:val="244E3D8C"/>
    <w:rsid w:val="246B6A3F"/>
    <w:rsid w:val="24B335CE"/>
    <w:rsid w:val="2500187D"/>
    <w:rsid w:val="253B4663"/>
    <w:rsid w:val="2556149D"/>
    <w:rsid w:val="25993DE0"/>
    <w:rsid w:val="25CB59E7"/>
    <w:rsid w:val="25E60C49"/>
    <w:rsid w:val="25E940BF"/>
    <w:rsid w:val="25EF0E4B"/>
    <w:rsid w:val="2601765A"/>
    <w:rsid w:val="264439EB"/>
    <w:rsid w:val="264D0AF2"/>
    <w:rsid w:val="269C26E3"/>
    <w:rsid w:val="26BE72FA"/>
    <w:rsid w:val="26F7280B"/>
    <w:rsid w:val="26F97002"/>
    <w:rsid w:val="26FC7E22"/>
    <w:rsid w:val="272A2BE1"/>
    <w:rsid w:val="272E2D63"/>
    <w:rsid w:val="272E7452"/>
    <w:rsid w:val="273E668C"/>
    <w:rsid w:val="27410CB9"/>
    <w:rsid w:val="27602AA7"/>
    <w:rsid w:val="276D441A"/>
    <w:rsid w:val="27773E68"/>
    <w:rsid w:val="27CB7F20"/>
    <w:rsid w:val="27D23B57"/>
    <w:rsid w:val="27D33279"/>
    <w:rsid w:val="28013942"/>
    <w:rsid w:val="281E299D"/>
    <w:rsid w:val="282B6C11"/>
    <w:rsid w:val="283E4B96"/>
    <w:rsid w:val="2859377E"/>
    <w:rsid w:val="2861396F"/>
    <w:rsid w:val="2886653D"/>
    <w:rsid w:val="28B44010"/>
    <w:rsid w:val="28D22382"/>
    <w:rsid w:val="28EC45F2"/>
    <w:rsid w:val="28EE494D"/>
    <w:rsid w:val="29384EA8"/>
    <w:rsid w:val="299B1B74"/>
    <w:rsid w:val="29CC61D1"/>
    <w:rsid w:val="29E26463"/>
    <w:rsid w:val="2A07065D"/>
    <w:rsid w:val="2A0A08C3"/>
    <w:rsid w:val="2A1060BE"/>
    <w:rsid w:val="2A16744D"/>
    <w:rsid w:val="2A534564"/>
    <w:rsid w:val="2A573A70"/>
    <w:rsid w:val="2A614B6C"/>
    <w:rsid w:val="2AAB5DE7"/>
    <w:rsid w:val="2AB47391"/>
    <w:rsid w:val="2AB56C65"/>
    <w:rsid w:val="2B1440BC"/>
    <w:rsid w:val="2B2A31B0"/>
    <w:rsid w:val="2B342280"/>
    <w:rsid w:val="2B404B09"/>
    <w:rsid w:val="2B45623B"/>
    <w:rsid w:val="2BB46F1D"/>
    <w:rsid w:val="2C101F53"/>
    <w:rsid w:val="2C7F577D"/>
    <w:rsid w:val="2C83526D"/>
    <w:rsid w:val="2C9254B0"/>
    <w:rsid w:val="2CAF6281"/>
    <w:rsid w:val="2CB96F67"/>
    <w:rsid w:val="2CBD48CE"/>
    <w:rsid w:val="2CC3566A"/>
    <w:rsid w:val="2CE211B2"/>
    <w:rsid w:val="2D1A7254"/>
    <w:rsid w:val="2D4F514F"/>
    <w:rsid w:val="2D542766"/>
    <w:rsid w:val="2D6F75A0"/>
    <w:rsid w:val="2D744BB6"/>
    <w:rsid w:val="2D7B7CF2"/>
    <w:rsid w:val="2DA84860"/>
    <w:rsid w:val="2DE0224B"/>
    <w:rsid w:val="2DE7182C"/>
    <w:rsid w:val="2DE75388"/>
    <w:rsid w:val="2E015B36"/>
    <w:rsid w:val="2E275F81"/>
    <w:rsid w:val="2E4E51C2"/>
    <w:rsid w:val="2E520EAC"/>
    <w:rsid w:val="2E5B7B24"/>
    <w:rsid w:val="2E77681E"/>
    <w:rsid w:val="2E9F2106"/>
    <w:rsid w:val="2ED567D0"/>
    <w:rsid w:val="2F1321AD"/>
    <w:rsid w:val="2F1C3757"/>
    <w:rsid w:val="2F260132"/>
    <w:rsid w:val="2F2B5748"/>
    <w:rsid w:val="2F4B2B19"/>
    <w:rsid w:val="2F520F27"/>
    <w:rsid w:val="2F6246CC"/>
    <w:rsid w:val="2FA33530"/>
    <w:rsid w:val="2FB4573E"/>
    <w:rsid w:val="2FB63264"/>
    <w:rsid w:val="2FC53683"/>
    <w:rsid w:val="2FE97A5F"/>
    <w:rsid w:val="2FFE4B1D"/>
    <w:rsid w:val="30006BD5"/>
    <w:rsid w:val="30226B4B"/>
    <w:rsid w:val="305A47DE"/>
    <w:rsid w:val="305D4ED1"/>
    <w:rsid w:val="3062163D"/>
    <w:rsid w:val="307A0735"/>
    <w:rsid w:val="307F7AFA"/>
    <w:rsid w:val="308570DA"/>
    <w:rsid w:val="309E348C"/>
    <w:rsid w:val="30AB642B"/>
    <w:rsid w:val="30BC59A2"/>
    <w:rsid w:val="31394322"/>
    <w:rsid w:val="316A07AA"/>
    <w:rsid w:val="3184082E"/>
    <w:rsid w:val="31FE1CC8"/>
    <w:rsid w:val="32186458"/>
    <w:rsid w:val="32544FB6"/>
    <w:rsid w:val="32617B06"/>
    <w:rsid w:val="328304A8"/>
    <w:rsid w:val="32BC5F4D"/>
    <w:rsid w:val="33154A22"/>
    <w:rsid w:val="335F3C12"/>
    <w:rsid w:val="337771AE"/>
    <w:rsid w:val="33A66585"/>
    <w:rsid w:val="33F42EB5"/>
    <w:rsid w:val="33FE364D"/>
    <w:rsid w:val="3429115A"/>
    <w:rsid w:val="344B1126"/>
    <w:rsid w:val="344F3C87"/>
    <w:rsid w:val="34945B3E"/>
    <w:rsid w:val="34A044E2"/>
    <w:rsid w:val="34C710B5"/>
    <w:rsid w:val="34F2580B"/>
    <w:rsid w:val="34FF745B"/>
    <w:rsid w:val="350A44D8"/>
    <w:rsid w:val="354A5F40"/>
    <w:rsid w:val="354B6B44"/>
    <w:rsid w:val="355E591C"/>
    <w:rsid w:val="3578720D"/>
    <w:rsid w:val="35F42A51"/>
    <w:rsid w:val="35FD75B5"/>
    <w:rsid w:val="35FFEC5E"/>
    <w:rsid w:val="36024564"/>
    <w:rsid w:val="36056CF3"/>
    <w:rsid w:val="36276335"/>
    <w:rsid w:val="36527A5E"/>
    <w:rsid w:val="368045CB"/>
    <w:rsid w:val="36981B5D"/>
    <w:rsid w:val="36A9634B"/>
    <w:rsid w:val="36D079C8"/>
    <w:rsid w:val="36EB7CE0"/>
    <w:rsid w:val="36F34D9D"/>
    <w:rsid w:val="37060F75"/>
    <w:rsid w:val="377D1279"/>
    <w:rsid w:val="37BE184F"/>
    <w:rsid w:val="37D716E7"/>
    <w:rsid w:val="385C2E16"/>
    <w:rsid w:val="386D4BCC"/>
    <w:rsid w:val="386D5472"/>
    <w:rsid w:val="38F82B3F"/>
    <w:rsid w:val="39665CFB"/>
    <w:rsid w:val="39D76BF8"/>
    <w:rsid w:val="3A0E0140"/>
    <w:rsid w:val="3A184B1B"/>
    <w:rsid w:val="3A241712"/>
    <w:rsid w:val="3A257964"/>
    <w:rsid w:val="3A290002"/>
    <w:rsid w:val="3A485400"/>
    <w:rsid w:val="3A7E7074"/>
    <w:rsid w:val="3A83468A"/>
    <w:rsid w:val="3A865F28"/>
    <w:rsid w:val="3A8F3EBA"/>
    <w:rsid w:val="3A9B19D4"/>
    <w:rsid w:val="3AAA7E69"/>
    <w:rsid w:val="3AB10259"/>
    <w:rsid w:val="3ABA6222"/>
    <w:rsid w:val="3AF86E26"/>
    <w:rsid w:val="3B06693A"/>
    <w:rsid w:val="3B0A4DAB"/>
    <w:rsid w:val="3B301F44"/>
    <w:rsid w:val="3B3716DA"/>
    <w:rsid w:val="3B4756B8"/>
    <w:rsid w:val="3B5D137F"/>
    <w:rsid w:val="3BAE4829"/>
    <w:rsid w:val="3BD333EF"/>
    <w:rsid w:val="3BDF73C5"/>
    <w:rsid w:val="3C0D4B53"/>
    <w:rsid w:val="3C2D6FA3"/>
    <w:rsid w:val="3C4C39CC"/>
    <w:rsid w:val="3C61334E"/>
    <w:rsid w:val="3C97266F"/>
    <w:rsid w:val="3CA72347"/>
    <w:rsid w:val="3CB13731"/>
    <w:rsid w:val="3CCF39B2"/>
    <w:rsid w:val="3CDD0F86"/>
    <w:rsid w:val="3CFF4D97"/>
    <w:rsid w:val="3D163594"/>
    <w:rsid w:val="3D4C5207"/>
    <w:rsid w:val="3D6F7148"/>
    <w:rsid w:val="3D902D22"/>
    <w:rsid w:val="3DF4021A"/>
    <w:rsid w:val="3E047963"/>
    <w:rsid w:val="3E1C2E2C"/>
    <w:rsid w:val="3E8E5BBA"/>
    <w:rsid w:val="3E9F580B"/>
    <w:rsid w:val="3EDC10FF"/>
    <w:rsid w:val="3F0A5E23"/>
    <w:rsid w:val="3F2F6B8F"/>
    <w:rsid w:val="3F9803DD"/>
    <w:rsid w:val="3FA4757D"/>
    <w:rsid w:val="3FE263CC"/>
    <w:rsid w:val="402B37FA"/>
    <w:rsid w:val="402E1B38"/>
    <w:rsid w:val="404843AC"/>
    <w:rsid w:val="405A4873"/>
    <w:rsid w:val="406022E2"/>
    <w:rsid w:val="407B3EBF"/>
    <w:rsid w:val="40956EC5"/>
    <w:rsid w:val="40D23C76"/>
    <w:rsid w:val="40DC0F04"/>
    <w:rsid w:val="40DF693D"/>
    <w:rsid w:val="40E340D5"/>
    <w:rsid w:val="40E85247"/>
    <w:rsid w:val="40F16A8E"/>
    <w:rsid w:val="412545BE"/>
    <w:rsid w:val="415C79E3"/>
    <w:rsid w:val="4184340D"/>
    <w:rsid w:val="41854C58"/>
    <w:rsid w:val="41A5138A"/>
    <w:rsid w:val="41D1217F"/>
    <w:rsid w:val="41E21275"/>
    <w:rsid w:val="41FF4F3E"/>
    <w:rsid w:val="42294102"/>
    <w:rsid w:val="423A7D24"/>
    <w:rsid w:val="42C6780A"/>
    <w:rsid w:val="42F6152E"/>
    <w:rsid w:val="42FF6CFF"/>
    <w:rsid w:val="43071CA9"/>
    <w:rsid w:val="43075E6E"/>
    <w:rsid w:val="430F11B1"/>
    <w:rsid w:val="435E20EE"/>
    <w:rsid w:val="43771108"/>
    <w:rsid w:val="438C4E1A"/>
    <w:rsid w:val="446523D2"/>
    <w:rsid w:val="446B68BB"/>
    <w:rsid w:val="449A0F4E"/>
    <w:rsid w:val="44A973E3"/>
    <w:rsid w:val="44DA0696"/>
    <w:rsid w:val="44E45943"/>
    <w:rsid w:val="44EB3558"/>
    <w:rsid w:val="44F22B38"/>
    <w:rsid w:val="451C5E07"/>
    <w:rsid w:val="455E3D2A"/>
    <w:rsid w:val="456D0411"/>
    <w:rsid w:val="4583380E"/>
    <w:rsid w:val="459260C9"/>
    <w:rsid w:val="45993146"/>
    <w:rsid w:val="45C06792"/>
    <w:rsid w:val="45C269AF"/>
    <w:rsid w:val="45CC5137"/>
    <w:rsid w:val="45EB3538"/>
    <w:rsid w:val="45F11042"/>
    <w:rsid w:val="46054AED"/>
    <w:rsid w:val="46440499"/>
    <w:rsid w:val="466B0DF4"/>
    <w:rsid w:val="46771AC0"/>
    <w:rsid w:val="46B34549"/>
    <w:rsid w:val="46DD15C6"/>
    <w:rsid w:val="47046B53"/>
    <w:rsid w:val="4735283D"/>
    <w:rsid w:val="47501D98"/>
    <w:rsid w:val="475A6773"/>
    <w:rsid w:val="477F3AB6"/>
    <w:rsid w:val="47867C8A"/>
    <w:rsid w:val="47981C26"/>
    <w:rsid w:val="479B001B"/>
    <w:rsid w:val="47A70578"/>
    <w:rsid w:val="47AC2E3C"/>
    <w:rsid w:val="47CA56A6"/>
    <w:rsid w:val="47D21CE6"/>
    <w:rsid w:val="47DC187E"/>
    <w:rsid w:val="47E80223"/>
    <w:rsid w:val="48465639"/>
    <w:rsid w:val="48876507"/>
    <w:rsid w:val="48A14890"/>
    <w:rsid w:val="48AA6503"/>
    <w:rsid w:val="48B06F92"/>
    <w:rsid w:val="48BD0CBA"/>
    <w:rsid w:val="48CE1482"/>
    <w:rsid w:val="48EA3B26"/>
    <w:rsid w:val="49184B37"/>
    <w:rsid w:val="49374FBE"/>
    <w:rsid w:val="49465201"/>
    <w:rsid w:val="497C6E74"/>
    <w:rsid w:val="49942410"/>
    <w:rsid w:val="4A162E25"/>
    <w:rsid w:val="4A4C0CEF"/>
    <w:rsid w:val="4A67403B"/>
    <w:rsid w:val="4A6F4C2B"/>
    <w:rsid w:val="4A734E79"/>
    <w:rsid w:val="4A804742"/>
    <w:rsid w:val="4AC24D5B"/>
    <w:rsid w:val="4AC9433B"/>
    <w:rsid w:val="4AD06B4E"/>
    <w:rsid w:val="4AD27698"/>
    <w:rsid w:val="4AFF5FAF"/>
    <w:rsid w:val="4B1B114F"/>
    <w:rsid w:val="4B250368"/>
    <w:rsid w:val="4B313C8F"/>
    <w:rsid w:val="4B503F1A"/>
    <w:rsid w:val="4B5F07FC"/>
    <w:rsid w:val="4B7F6C9B"/>
    <w:rsid w:val="4BB01238"/>
    <w:rsid w:val="4BB70638"/>
    <w:rsid w:val="4BD21CEC"/>
    <w:rsid w:val="4BD44D46"/>
    <w:rsid w:val="4BD905AE"/>
    <w:rsid w:val="4C2F1AF1"/>
    <w:rsid w:val="4C3F1A69"/>
    <w:rsid w:val="4C4C7D4D"/>
    <w:rsid w:val="4C4F2FEF"/>
    <w:rsid w:val="4C692E82"/>
    <w:rsid w:val="4C8229F4"/>
    <w:rsid w:val="4C96024D"/>
    <w:rsid w:val="4C9B795E"/>
    <w:rsid w:val="4CA216B0"/>
    <w:rsid w:val="4CA7336B"/>
    <w:rsid w:val="4CD15729"/>
    <w:rsid w:val="4CFD207A"/>
    <w:rsid w:val="4D001539"/>
    <w:rsid w:val="4D060FF1"/>
    <w:rsid w:val="4D3B2BA3"/>
    <w:rsid w:val="4D44414D"/>
    <w:rsid w:val="4D714797"/>
    <w:rsid w:val="4D77007F"/>
    <w:rsid w:val="4D9F0EEA"/>
    <w:rsid w:val="4DB0533F"/>
    <w:rsid w:val="4DC62DB4"/>
    <w:rsid w:val="4DCD7C9F"/>
    <w:rsid w:val="4DE80F7C"/>
    <w:rsid w:val="4DF07E31"/>
    <w:rsid w:val="4E24401F"/>
    <w:rsid w:val="4E3C703C"/>
    <w:rsid w:val="4E8667A0"/>
    <w:rsid w:val="4EA34EA3"/>
    <w:rsid w:val="4EC51962"/>
    <w:rsid w:val="4EC5306C"/>
    <w:rsid w:val="4ED433F8"/>
    <w:rsid w:val="4EF86F9D"/>
    <w:rsid w:val="4F095D32"/>
    <w:rsid w:val="4F0F42E7"/>
    <w:rsid w:val="4F1A4882"/>
    <w:rsid w:val="4F242357"/>
    <w:rsid w:val="4F3C4DEC"/>
    <w:rsid w:val="4F460DE2"/>
    <w:rsid w:val="4F7C5051"/>
    <w:rsid w:val="4FA233AD"/>
    <w:rsid w:val="4FA709C3"/>
    <w:rsid w:val="4FB54E8E"/>
    <w:rsid w:val="4FDB2778"/>
    <w:rsid w:val="50082A59"/>
    <w:rsid w:val="504900D3"/>
    <w:rsid w:val="50577CF3"/>
    <w:rsid w:val="50821FF5"/>
    <w:rsid w:val="50834F8C"/>
    <w:rsid w:val="50CF1F80"/>
    <w:rsid w:val="51477D68"/>
    <w:rsid w:val="51516E38"/>
    <w:rsid w:val="516620A8"/>
    <w:rsid w:val="5175589A"/>
    <w:rsid w:val="51850890"/>
    <w:rsid w:val="521340EE"/>
    <w:rsid w:val="5248023B"/>
    <w:rsid w:val="52892F5B"/>
    <w:rsid w:val="52A36A33"/>
    <w:rsid w:val="52A5743C"/>
    <w:rsid w:val="52D03D8D"/>
    <w:rsid w:val="52F61709"/>
    <w:rsid w:val="53234805"/>
    <w:rsid w:val="53590226"/>
    <w:rsid w:val="53603363"/>
    <w:rsid w:val="539D6365"/>
    <w:rsid w:val="53B13BBE"/>
    <w:rsid w:val="53C438F2"/>
    <w:rsid w:val="54073585"/>
    <w:rsid w:val="540957A8"/>
    <w:rsid w:val="549F37A5"/>
    <w:rsid w:val="54A6749B"/>
    <w:rsid w:val="54BE6593"/>
    <w:rsid w:val="54D220DA"/>
    <w:rsid w:val="54D275F5"/>
    <w:rsid w:val="54DB7C79"/>
    <w:rsid w:val="54E74E26"/>
    <w:rsid w:val="553C2FE9"/>
    <w:rsid w:val="55502FB2"/>
    <w:rsid w:val="55580A4D"/>
    <w:rsid w:val="556F788D"/>
    <w:rsid w:val="558F6181"/>
    <w:rsid w:val="55A97243"/>
    <w:rsid w:val="55B45B96"/>
    <w:rsid w:val="55C0458D"/>
    <w:rsid w:val="55D41DE6"/>
    <w:rsid w:val="55DC1770"/>
    <w:rsid w:val="55EB22AC"/>
    <w:rsid w:val="561133F2"/>
    <w:rsid w:val="562E599A"/>
    <w:rsid w:val="56312D95"/>
    <w:rsid w:val="56401CD5"/>
    <w:rsid w:val="56571FFA"/>
    <w:rsid w:val="56A92CC7"/>
    <w:rsid w:val="56B85264"/>
    <w:rsid w:val="56B91708"/>
    <w:rsid w:val="56D204E6"/>
    <w:rsid w:val="570861EB"/>
    <w:rsid w:val="575C02E5"/>
    <w:rsid w:val="576158FB"/>
    <w:rsid w:val="57AC6B77"/>
    <w:rsid w:val="581806B0"/>
    <w:rsid w:val="581D5AED"/>
    <w:rsid w:val="583059FA"/>
    <w:rsid w:val="58501BF8"/>
    <w:rsid w:val="58BD10F2"/>
    <w:rsid w:val="58CD33C2"/>
    <w:rsid w:val="58E65BA1"/>
    <w:rsid w:val="59011144"/>
    <w:rsid w:val="59142C25"/>
    <w:rsid w:val="59266DFD"/>
    <w:rsid w:val="594A4899"/>
    <w:rsid w:val="596469D4"/>
    <w:rsid w:val="59AC5554"/>
    <w:rsid w:val="59BD375F"/>
    <w:rsid w:val="59C56616"/>
    <w:rsid w:val="59F111B9"/>
    <w:rsid w:val="5A1B45AE"/>
    <w:rsid w:val="5A272E2C"/>
    <w:rsid w:val="5A435D8A"/>
    <w:rsid w:val="5A7871E4"/>
    <w:rsid w:val="5AC833C4"/>
    <w:rsid w:val="5ACD39D4"/>
    <w:rsid w:val="5B0942E0"/>
    <w:rsid w:val="5B37709F"/>
    <w:rsid w:val="5B647768"/>
    <w:rsid w:val="5B6A2FD1"/>
    <w:rsid w:val="5B726329"/>
    <w:rsid w:val="5B773E2F"/>
    <w:rsid w:val="5BAC183B"/>
    <w:rsid w:val="5BB24978"/>
    <w:rsid w:val="5BBC1D09"/>
    <w:rsid w:val="5C34380B"/>
    <w:rsid w:val="5C441E45"/>
    <w:rsid w:val="5C4A2E02"/>
    <w:rsid w:val="5C9F6CAA"/>
    <w:rsid w:val="5CBA4C19"/>
    <w:rsid w:val="5D086F45"/>
    <w:rsid w:val="5D2E01F2"/>
    <w:rsid w:val="5D3513BC"/>
    <w:rsid w:val="5D564872"/>
    <w:rsid w:val="5D645228"/>
    <w:rsid w:val="5D647EF4"/>
    <w:rsid w:val="5D8B5480"/>
    <w:rsid w:val="5D9A56C3"/>
    <w:rsid w:val="5D9F0F2C"/>
    <w:rsid w:val="5DB91FED"/>
    <w:rsid w:val="5DC56BE4"/>
    <w:rsid w:val="5E402B64"/>
    <w:rsid w:val="5E7D74BF"/>
    <w:rsid w:val="5E94654C"/>
    <w:rsid w:val="5EBD5B0D"/>
    <w:rsid w:val="5EC7698C"/>
    <w:rsid w:val="5ECE3876"/>
    <w:rsid w:val="5ED15115"/>
    <w:rsid w:val="5ED968E5"/>
    <w:rsid w:val="5EE4309A"/>
    <w:rsid w:val="5EFA28BD"/>
    <w:rsid w:val="5EFC4888"/>
    <w:rsid w:val="5F0B0627"/>
    <w:rsid w:val="5F100A56"/>
    <w:rsid w:val="5F1020E1"/>
    <w:rsid w:val="5F245B8C"/>
    <w:rsid w:val="5F8536F5"/>
    <w:rsid w:val="5F912AC4"/>
    <w:rsid w:val="5FD14724"/>
    <w:rsid w:val="5FED2422"/>
    <w:rsid w:val="5FFA069B"/>
    <w:rsid w:val="600C4824"/>
    <w:rsid w:val="60153D3C"/>
    <w:rsid w:val="602776E2"/>
    <w:rsid w:val="6042276E"/>
    <w:rsid w:val="604858AA"/>
    <w:rsid w:val="604A517F"/>
    <w:rsid w:val="60700F30"/>
    <w:rsid w:val="607B7DDA"/>
    <w:rsid w:val="608F075D"/>
    <w:rsid w:val="609B00D0"/>
    <w:rsid w:val="60A70823"/>
    <w:rsid w:val="60BB607C"/>
    <w:rsid w:val="60E2185B"/>
    <w:rsid w:val="60E87B88"/>
    <w:rsid w:val="60F36AC5"/>
    <w:rsid w:val="61023CAB"/>
    <w:rsid w:val="613D1187"/>
    <w:rsid w:val="619F14FA"/>
    <w:rsid w:val="61A76748"/>
    <w:rsid w:val="61B72CE8"/>
    <w:rsid w:val="621822F9"/>
    <w:rsid w:val="625A57A9"/>
    <w:rsid w:val="626A1B08"/>
    <w:rsid w:val="62B611F1"/>
    <w:rsid w:val="62B731FE"/>
    <w:rsid w:val="62D13935"/>
    <w:rsid w:val="63023C80"/>
    <w:rsid w:val="630508F6"/>
    <w:rsid w:val="63065CD5"/>
    <w:rsid w:val="63506F50"/>
    <w:rsid w:val="63570A5E"/>
    <w:rsid w:val="636D3AA1"/>
    <w:rsid w:val="637C7D45"/>
    <w:rsid w:val="63AE011A"/>
    <w:rsid w:val="63E1229E"/>
    <w:rsid w:val="64395C36"/>
    <w:rsid w:val="64542A70"/>
    <w:rsid w:val="647629E6"/>
    <w:rsid w:val="648A0240"/>
    <w:rsid w:val="64966BE4"/>
    <w:rsid w:val="64F22548"/>
    <w:rsid w:val="64FD6C64"/>
    <w:rsid w:val="65000669"/>
    <w:rsid w:val="659106E2"/>
    <w:rsid w:val="65AB236D"/>
    <w:rsid w:val="65B512EC"/>
    <w:rsid w:val="65B8080F"/>
    <w:rsid w:val="65BD4645"/>
    <w:rsid w:val="65E72E4B"/>
    <w:rsid w:val="65E87914"/>
    <w:rsid w:val="662276B1"/>
    <w:rsid w:val="66483EC5"/>
    <w:rsid w:val="665626E0"/>
    <w:rsid w:val="66704DB4"/>
    <w:rsid w:val="66A04F95"/>
    <w:rsid w:val="66FB5425"/>
    <w:rsid w:val="67102453"/>
    <w:rsid w:val="67B83316"/>
    <w:rsid w:val="689478DF"/>
    <w:rsid w:val="68A67F29"/>
    <w:rsid w:val="68C15CCA"/>
    <w:rsid w:val="68D77C59"/>
    <w:rsid w:val="68F62689"/>
    <w:rsid w:val="69110DA4"/>
    <w:rsid w:val="693370F8"/>
    <w:rsid w:val="69472BA3"/>
    <w:rsid w:val="6962178B"/>
    <w:rsid w:val="697D619C"/>
    <w:rsid w:val="697E5CFD"/>
    <w:rsid w:val="69935DE8"/>
    <w:rsid w:val="699F478D"/>
    <w:rsid w:val="69EE3D79"/>
    <w:rsid w:val="69EE5007"/>
    <w:rsid w:val="6A0E091D"/>
    <w:rsid w:val="6A2E78BF"/>
    <w:rsid w:val="6A417ECA"/>
    <w:rsid w:val="6A473754"/>
    <w:rsid w:val="6A5674FB"/>
    <w:rsid w:val="6A845731"/>
    <w:rsid w:val="6ABA50AD"/>
    <w:rsid w:val="6AE6019A"/>
    <w:rsid w:val="6B217424"/>
    <w:rsid w:val="6B58725B"/>
    <w:rsid w:val="6B80414A"/>
    <w:rsid w:val="6B914CBA"/>
    <w:rsid w:val="6BA94127"/>
    <w:rsid w:val="6BC54253"/>
    <w:rsid w:val="6BCA3618"/>
    <w:rsid w:val="6BFE46EA"/>
    <w:rsid w:val="6C2216A6"/>
    <w:rsid w:val="6C4E4249"/>
    <w:rsid w:val="6C6C34BA"/>
    <w:rsid w:val="6C7F53F2"/>
    <w:rsid w:val="6C8B20CC"/>
    <w:rsid w:val="6CB247D7"/>
    <w:rsid w:val="6CD41586"/>
    <w:rsid w:val="6CDF30F3"/>
    <w:rsid w:val="6D9A1A0A"/>
    <w:rsid w:val="6DCF760B"/>
    <w:rsid w:val="6E016CDC"/>
    <w:rsid w:val="6E217E67"/>
    <w:rsid w:val="6E2949AF"/>
    <w:rsid w:val="6E301E58"/>
    <w:rsid w:val="6E4C2A0A"/>
    <w:rsid w:val="6E69536A"/>
    <w:rsid w:val="6EB71B5D"/>
    <w:rsid w:val="6EC151A6"/>
    <w:rsid w:val="6F327E52"/>
    <w:rsid w:val="6F447A17"/>
    <w:rsid w:val="6F773253"/>
    <w:rsid w:val="6FA10B33"/>
    <w:rsid w:val="6FF9271D"/>
    <w:rsid w:val="703025E3"/>
    <w:rsid w:val="7038617B"/>
    <w:rsid w:val="704217E5"/>
    <w:rsid w:val="7076354C"/>
    <w:rsid w:val="707E56F3"/>
    <w:rsid w:val="70983CE4"/>
    <w:rsid w:val="70B7060E"/>
    <w:rsid w:val="70DC0075"/>
    <w:rsid w:val="70F6444B"/>
    <w:rsid w:val="71152000"/>
    <w:rsid w:val="71357785"/>
    <w:rsid w:val="71A768D5"/>
    <w:rsid w:val="71B42DA0"/>
    <w:rsid w:val="71F92EA9"/>
    <w:rsid w:val="720D425E"/>
    <w:rsid w:val="721756F7"/>
    <w:rsid w:val="7231680E"/>
    <w:rsid w:val="723839D1"/>
    <w:rsid w:val="724E4FA2"/>
    <w:rsid w:val="728564EA"/>
    <w:rsid w:val="72BD5AD1"/>
    <w:rsid w:val="72D03C09"/>
    <w:rsid w:val="72D57B9F"/>
    <w:rsid w:val="73027B3B"/>
    <w:rsid w:val="737E18B7"/>
    <w:rsid w:val="73816CB2"/>
    <w:rsid w:val="73A27303"/>
    <w:rsid w:val="73A40AD9"/>
    <w:rsid w:val="73BC3875"/>
    <w:rsid w:val="73CB43D1"/>
    <w:rsid w:val="73EA4857"/>
    <w:rsid w:val="73F97190"/>
    <w:rsid w:val="743E4BA3"/>
    <w:rsid w:val="74406B6D"/>
    <w:rsid w:val="74C96B62"/>
    <w:rsid w:val="74CC6652"/>
    <w:rsid w:val="752F342A"/>
    <w:rsid w:val="758D5CB9"/>
    <w:rsid w:val="75D7719D"/>
    <w:rsid w:val="760065B4"/>
    <w:rsid w:val="762D4ECF"/>
    <w:rsid w:val="76342701"/>
    <w:rsid w:val="76AE6010"/>
    <w:rsid w:val="76C27D0D"/>
    <w:rsid w:val="76CB6D18"/>
    <w:rsid w:val="76D62103"/>
    <w:rsid w:val="76ED37EF"/>
    <w:rsid w:val="76F854DD"/>
    <w:rsid w:val="76FA1255"/>
    <w:rsid w:val="770025E3"/>
    <w:rsid w:val="770F21D1"/>
    <w:rsid w:val="772E0EFE"/>
    <w:rsid w:val="776963DA"/>
    <w:rsid w:val="779571D0"/>
    <w:rsid w:val="7798281C"/>
    <w:rsid w:val="779A47E6"/>
    <w:rsid w:val="77B04009"/>
    <w:rsid w:val="77B238DE"/>
    <w:rsid w:val="77BF7315"/>
    <w:rsid w:val="77E837A3"/>
    <w:rsid w:val="78342545"/>
    <w:rsid w:val="78431599"/>
    <w:rsid w:val="78532959"/>
    <w:rsid w:val="7879264D"/>
    <w:rsid w:val="78A7019A"/>
    <w:rsid w:val="78DF6F7C"/>
    <w:rsid w:val="78F148D9"/>
    <w:rsid w:val="790A6E9A"/>
    <w:rsid w:val="790A700E"/>
    <w:rsid w:val="796D5B63"/>
    <w:rsid w:val="79927E6B"/>
    <w:rsid w:val="79AB11F4"/>
    <w:rsid w:val="79BA3B0E"/>
    <w:rsid w:val="79C618C2"/>
    <w:rsid w:val="7A1649E2"/>
    <w:rsid w:val="7A1A1C0E"/>
    <w:rsid w:val="7A2B5BC9"/>
    <w:rsid w:val="7A344A7E"/>
    <w:rsid w:val="7A376ADB"/>
    <w:rsid w:val="7A4D5B40"/>
    <w:rsid w:val="7A9E45ED"/>
    <w:rsid w:val="7ABB6962"/>
    <w:rsid w:val="7AF4539C"/>
    <w:rsid w:val="7B3F7B7E"/>
    <w:rsid w:val="7BA21EBB"/>
    <w:rsid w:val="7BAE260E"/>
    <w:rsid w:val="7BBFE36C"/>
    <w:rsid w:val="7BE75B20"/>
    <w:rsid w:val="7BE91898"/>
    <w:rsid w:val="7C013D85"/>
    <w:rsid w:val="7C3A6597"/>
    <w:rsid w:val="7C5E7B2A"/>
    <w:rsid w:val="7C662C4B"/>
    <w:rsid w:val="7D080444"/>
    <w:rsid w:val="7D0A7D18"/>
    <w:rsid w:val="7D126BCC"/>
    <w:rsid w:val="7D2232B3"/>
    <w:rsid w:val="7D241628"/>
    <w:rsid w:val="7D621902"/>
    <w:rsid w:val="7DB40A20"/>
    <w:rsid w:val="7DCC321F"/>
    <w:rsid w:val="7DD722F0"/>
    <w:rsid w:val="7E136A50"/>
    <w:rsid w:val="7E2748F9"/>
    <w:rsid w:val="7E49765A"/>
    <w:rsid w:val="7E4C0FEB"/>
    <w:rsid w:val="7EBE0C5A"/>
    <w:rsid w:val="7EFB3C47"/>
    <w:rsid w:val="7F2552DD"/>
    <w:rsid w:val="7F25708B"/>
    <w:rsid w:val="7F6271D2"/>
    <w:rsid w:val="7F850ECB"/>
    <w:rsid w:val="7FF058E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keepNext/>
      <w:outlineLvl w:val="0"/>
    </w:pPr>
    <w:rPr>
      <w:sz w:val="28"/>
      <w:szCs w:val="24"/>
    </w:rPr>
  </w:style>
  <w:style w:type="paragraph" w:styleId="4">
    <w:name w:val="heading 2"/>
    <w:basedOn w:val="1"/>
    <w:next w:val="1"/>
    <w:link w:val="10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2"/>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0"/>
    <w:pPr>
      <w:spacing w:after="120"/>
    </w:pPr>
    <w:rPr>
      <w:szCs w:val="24"/>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firstLineChars="200"/>
    </w:pPr>
  </w:style>
  <w:style w:type="paragraph" w:styleId="9">
    <w:name w:val="Document Map"/>
    <w:basedOn w:val="1"/>
    <w:link w:val="76"/>
    <w:qFormat/>
    <w:uiPriority w:val="0"/>
    <w:pPr>
      <w:shd w:val="clear" w:color="auto" w:fill="000080"/>
    </w:pPr>
  </w:style>
  <w:style w:type="paragraph" w:styleId="10">
    <w:name w:val="annotation text"/>
    <w:basedOn w:val="1"/>
    <w:link w:val="70"/>
    <w:semiHidden/>
    <w:qFormat/>
    <w:uiPriority w:val="99"/>
    <w:pPr>
      <w:jc w:val="left"/>
    </w:pPr>
  </w:style>
  <w:style w:type="paragraph" w:styleId="11">
    <w:name w:val="Body Text 3"/>
    <w:basedOn w:val="1"/>
    <w:link w:val="91"/>
    <w:unhideWhenUsed/>
    <w:qFormat/>
    <w:uiPriority w:val="99"/>
    <w:pPr>
      <w:spacing w:after="120"/>
    </w:pPr>
    <w:rPr>
      <w:rFonts w:ascii="Calibri" w:hAnsi="Calibri"/>
      <w:sz w:val="16"/>
      <w:szCs w:val="16"/>
      <w:lang w:val="zh-CN"/>
    </w:rPr>
  </w:style>
  <w:style w:type="paragraph" w:styleId="12">
    <w:name w:val="Body Text Indent"/>
    <w:basedOn w:val="1"/>
    <w:next w:val="13"/>
    <w:link w:val="54"/>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3"/>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rPr>
      <w:rFonts w:ascii="Arial" w:hAnsi="Arial" w:eastAsia="楷体_GB2312"/>
      <w:sz w:val="28"/>
    </w:rPr>
  </w:style>
  <w:style w:type="paragraph" w:styleId="19">
    <w:name w:val="Body Text Indent 2"/>
    <w:basedOn w:val="1"/>
    <w:link w:val="56"/>
    <w:qFormat/>
    <w:uiPriority w:val="0"/>
    <w:pPr>
      <w:tabs>
        <w:tab w:val="left" w:pos="720"/>
      </w:tabs>
      <w:ind w:right="-506" w:rightChars="-241" w:firstLine="538" w:firstLineChars="192"/>
    </w:pPr>
    <w:rPr>
      <w:rFonts w:eastAsia="仿宋_GB2312"/>
      <w:sz w:val="28"/>
    </w:rPr>
  </w:style>
  <w:style w:type="paragraph" w:styleId="20">
    <w:name w:val="Balloon Text"/>
    <w:basedOn w:val="1"/>
    <w:link w:val="67"/>
    <w:qFormat/>
    <w:uiPriority w:val="0"/>
    <w:rPr>
      <w:sz w:val="18"/>
      <w:szCs w:val="18"/>
    </w:rPr>
  </w:style>
  <w:style w:type="paragraph" w:styleId="21">
    <w:name w:val="footer"/>
    <w:basedOn w:val="1"/>
    <w:link w:val="48"/>
    <w:unhideWhenUsed/>
    <w:qFormat/>
    <w:uiPriority w:val="99"/>
    <w:pPr>
      <w:tabs>
        <w:tab w:val="center" w:pos="4153"/>
        <w:tab w:val="right" w:pos="8306"/>
      </w:tabs>
      <w:snapToGrid w:val="0"/>
      <w:jc w:val="left"/>
    </w:pPr>
    <w:rPr>
      <w:sz w:val="18"/>
      <w:szCs w:val="18"/>
    </w:rPr>
  </w:style>
  <w:style w:type="paragraph" w:styleId="22">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2"/>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1"/>
    <w:semiHidden/>
    <w:qFormat/>
    <w:uiPriority w:val="99"/>
    <w:rPr>
      <w:b/>
      <w:bCs/>
    </w:rPr>
  </w:style>
  <w:style w:type="paragraph" w:styleId="33">
    <w:name w:val="Body Text First Indent"/>
    <w:basedOn w:val="2"/>
    <w:unhideWhenUsed/>
    <w:qFormat/>
    <w:uiPriority w:val="99"/>
    <w:pPr>
      <w:spacing w:line="400" w:lineRule="atLeast"/>
      <w:ind w:firstLine="426"/>
    </w:pPr>
    <w:rPr>
      <w:sz w:val="24"/>
      <w:szCs w:val="20"/>
    </w:rPr>
  </w:style>
  <w:style w:type="paragraph" w:styleId="34">
    <w:name w:val="Body Text First Indent 2"/>
    <w:basedOn w:val="12"/>
    <w:next w:val="8"/>
    <w:unhideWhenUsed/>
    <w:qFormat/>
    <w:uiPriority w:val="99"/>
    <w:pPr>
      <w:ind w:firstLine="420" w:firstLineChars="200"/>
    </w:pPr>
    <w:rPr>
      <w:sz w:val="21"/>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目录 71"/>
    <w:basedOn w:val="1"/>
    <w:next w:val="1"/>
    <w:qFormat/>
    <w:uiPriority w:val="0"/>
    <w:pPr>
      <w:ind w:left="2520"/>
    </w:pPr>
    <w:rPr>
      <w:rFonts w:ascii="Calibri"/>
    </w:rPr>
  </w:style>
  <w:style w:type="paragraph" w:customStyle="1" w:styleId="46">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7">
    <w:name w:val="页眉 Char"/>
    <w:basedOn w:val="37"/>
    <w:link w:val="22"/>
    <w:qFormat/>
    <w:uiPriority w:val="0"/>
    <w:rPr>
      <w:sz w:val="18"/>
      <w:szCs w:val="18"/>
    </w:rPr>
  </w:style>
  <w:style w:type="character" w:customStyle="1" w:styleId="48">
    <w:name w:val="页脚 Char"/>
    <w:basedOn w:val="37"/>
    <w:link w:val="21"/>
    <w:qFormat/>
    <w:uiPriority w:val="0"/>
    <w:rPr>
      <w:sz w:val="18"/>
      <w:szCs w:val="18"/>
    </w:rPr>
  </w:style>
  <w:style w:type="character" w:customStyle="1" w:styleId="49">
    <w:name w:val="标题 1 Char"/>
    <w:basedOn w:val="37"/>
    <w:link w:val="3"/>
    <w:qFormat/>
    <w:uiPriority w:val="0"/>
    <w:rPr>
      <w:rFonts w:ascii="Times New Roman" w:hAnsi="Times New Roman" w:eastAsia="宋体" w:cs="Times New Roman"/>
      <w:sz w:val="28"/>
      <w:szCs w:val="24"/>
    </w:rPr>
  </w:style>
  <w:style w:type="character" w:customStyle="1" w:styleId="50">
    <w:name w:val="标题 2 Char"/>
    <w:basedOn w:val="37"/>
    <w:link w:val="4"/>
    <w:qFormat/>
    <w:uiPriority w:val="0"/>
    <w:rPr>
      <w:rFonts w:ascii="Arial" w:hAnsi="Arial" w:eastAsia="黑体" w:cs="Times New Roman"/>
      <w:b/>
      <w:kern w:val="0"/>
      <w:sz w:val="32"/>
      <w:szCs w:val="20"/>
    </w:rPr>
  </w:style>
  <w:style w:type="character" w:customStyle="1" w:styleId="51">
    <w:name w:val="标题 3 Char"/>
    <w:basedOn w:val="37"/>
    <w:link w:val="5"/>
    <w:qFormat/>
    <w:uiPriority w:val="0"/>
    <w:rPr>
      <w:rFonts w:ascii="Times New Roman" w:hAnsi="Times New Roman" w:eastAsia="宋体" w:cs="Times New Roman"/>
      <w:b/>
      <w:bCs/>
      <w:sz w:val="32"/>
      <w:szCs w:val="32"/>
      <w:lang w:val="zh-CN" w:eastAsia="zh-CN"/>
    </w:rPr>
  </w:style>
  <w:style w:type="character" w:customStyle="1" w:styleId="52">
    <w:name w:val="标题 4 Char"/>
    <w:basedOn w:val="37"/>
    <w:link w:val="6"/>
    <w:qFormat/>
    <w:uiPriority w:val="0"/>
    <w:rPr>
      <w:rFonts w:ascii="Arial" w:hAnsi="Arial" w:eastAsia="黑体" w:cs="Times New Roman"/>
      <w:b/>
      <w:kern w:val="0"/>
      <w:sz w:val="28"/>
      <w:szCs w:val="20"/>
    </w:rPr>
  </w:style>
  <w:style w:type="character" w:customStyle="1" w:styleId="53">
    <w:name w:val="日期 Char"/>
    <w:basedOn w:val="37"/>
    <w:link w:val="18"/>
    <w:qFormat/>
    <w:uiPriority w:val="0"/>
    <w:rPr>
      <w:rFonts w:ascii="Arial" w:hAnsi="Arial" w:eastAsia="楷体_GB2312" w:cs="Times New Roman"/>
      <w:sz w:val="28"/>
      <w:szCs w:val="20"/>
    </w:rPr>
  </w:style>
  <w:style w:type="character" w:customStyle="1" w:styleId="54">
    <w:name w:val="正文文本缩进 Char"/>
    <w:basedOn w:val="37"/>
    <w:link w:val="12"/>
    <w:qFormat/>
    <w:uiPriority w:val="0"/>
    <w:rPr>
      <w:rFonts w:ascii="Times New Roman" w:hAnsi="Times New Roman" w:eastAsia="仿宋_GB2312" w:cs="Times New Roman"/>
      <w:sz w:val="28"/>
      <w:szCs w:val="20"/>
    </w:rPr>
  </w:style>
  <w:style w:type="paragraph" w:customStyle="1" w:styleId="55">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6">
    <w:name w:val="正文文本缩进 2 Char"/>
    <w:basedOn w:val="37"/>
    <w:link w:val="19"/>
    <w:qFormat/>
    <w:uiPriority w:val="0"/>
    <w:rPr>
      <w:rFonts w:ascii="Times New Roman" w:hAnsi="Times New Roman" w:eastAsia="仿宋_GB2312" w:cs="Times New Roman"/>
      <w:sz w:val="28"/>
      <w:szCs w:val="20"/>
    </w:rPr>
  </w:style>
  <w:style w:type="paragraph" w:customStyle="1" w:styleId="57">
    <w:name w:val="样式1"/>
    <w:basedOn w:val="1"/>
    <w:qFormat/>
    <w:uiPriority w:val="0"/>
    <w:pPr>
      <w:numPr>
        <w:ilvl w:val="0"/>
        <w:numId w:val="1"/>
      </w:numPr>
      <w:adjustRightInd w:val="0"/>
      <w:textAlignment w:val="baseline"/>
    </w:pPr>
    <w:rPr>
      <w:rFonts w:ascii="宋体" w:hAnsi="宋体"/>
      <w:kern w:val="0"/>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 标题 2 + 宋体 五号 行距: 单倍行距"/>
    <w:basedOn w:val="4"/>
    <w:qFormat/>
    <w:uiPriority w:val="0"/>
    <w:pPr>
      <w:spacing w:line="240" w:lineRule="auto"/>
    </w:pPr>
    <w:rPr>
      <w:rFonts w:ascii="宋体" w:hAnsi="宋体" w:eastAsia="宋体"/>
      <w:sz w:val="21"/>
    </w:rPr>
  </w:style>
  <w:style w:type="paragraph" w:customStyle="1" w:styleId="60">
    <w:name w:val="Char Char Char Char Char"/>
    <w:basedOn w:val="1"/>
    <w:qFormat/>
    <w:uiPriority w:val="0"/>
    <w:rPr>
      <w:rFonts w:ascii="Tahoma" w:hAnsi="Tahoma"/>
      <w:sz w:val="24"/>
    </w:rPr>
  </w:style>
  <w:style w:type="paragraph" w:customStyle="1" w:styleId="61">
    <w:name w:val="Char"/>
    <w:basedOn w:val="1"/>
    <w:qFormat/>
    <w:uiPriority w:val="0"/>
    <w:rPr>
      <w:rFonts w:ascii="Tahoma" w:hAnsi="Tahoma"/>
      <w:sz w:val="24"/>
    </w:rPr>
  </w:style>
  <w:style w:type="character" w:customStyle="1" w:styleId="62">
    <w:name w:val="正文文本缩进 3 Char"/>
    <w:basedOn w:val="37"/>
    <w:link w:val="26"/>
    <w:qFormat/>
    <w:uiPriority w:val="0"/>
    <w:rPr>
      <w:rFonts w:ascii="仿宋_GB2312" w:hAnsi="Arial" w:eastAsia="仿宋_GB2312" w:cs="Times New Roman"/>
      <w:sz w:val="28"/>
      <w:szCs w:val="24"/>
    </w:rPr>
  </w:style>
  <w:style w:type="paragraph" w:customStyle="1" w:styleId="63">
    <w:name w:val="Char1"/>
    <w:basedOn w:val="1"/>
    <w:qFormat/>
    <w:uiPriority w:val="0"/>
    <w:rPr>
      <w:rFonts w:ascii="Tahoma" w:hAnsi="Tahoma" w:eastAsia="仿宋_GB2312"/>
      <w:sz w:val="24"/>
    </w:rPr>
  </w:style>
  <w:style w:type="paragraph" w:customStyle="1" w:styleId="64">
    <w:name w:val="Char Char Char Char Char Char Char1 Char"/>
    <w:basedOn w:val="1"/>
    <w:qFormat/>
    <w:uiPriority w:val="0"/>
    <w:rPr>
      <w:rFonts w:ascii="Tahoma" w:hAnsi="Tahoma"/>
      <w:sz w:val="24"/>
    </w:rPr>
  </w:style>
  <w:style w:type="character" w:customStyle="1" w:styleId="65">
    <w:name w:val="正文文本 Char"/>
    <w:basedOn w:val="37"/>
    <w:link w:val="2"/>
    <w:qFormat/>
    <w:uiPriority w:val="0"/>
    <w:rPr>
      <w:rFonts w:ascii="Times New Roman" w:hAnsi="Times New Roman" w:eastAsia="宋体" w:cs="Times New Roman"/>
      <w:szCs w:val="24"/>
    </w:rPr>
  </w:style>
  <w:style w:type="paragraph" w:customStyle="1" w:styleId="66">
    <w:name w:val="Char Char Char Char"/>
    <w:basedOn w:val="1"/>
    <w:next w:val="1"/>
    <w:qFormat/>
    <w:uiPriority w:val="0"/>
    <w:pPr>
      <w:widowControl/>
      <w:spacing w:line="360" w:lineRule="auto"/>
      <w:jc w:val="left"/>
    </w:pPr>
  </w:style>
  <w:style w:type="character" w:customStyle="1" w:styleId="67">
    <w:name w:val="批注框文本 Char"/>
    <w:basedOn w:val="37"/>
    <w:link w:val="20"/>
    <w:qFormat/>
    <w:uiPriority w:val="0"/>
    <w:rPr>
      <w:rFonts w:ascii="Times New Roman" w:hAnsi="Times New Roman" w:eastAsia="宋体" w:cs="Times New Roman"/>
      <w:sz w:val="18"/>
      <w:szCs w:val="18"/>
    </w:rPr>
  </w:style>
  <w:style w:type="paragraph" w:customStyle="1" w:styleId="68">
    <w:name w:val="Char Char Char"/>
    <w:basedOn w:val="1"/>
    <w:qFormat/>
    <w:uiPriority w:val="0"/>
    <w:rPr>
      <w:rFonts w:ascii="Tahoma" w:hAnsi="Tahoma"/>
      <w:sz w:val="24"/>
    </w:rPr>
  </w:style>
  <w:style w:type="paragraph" w:customStyle="1" w:styleId="69">
    <w:name w:val="Char Char Char Char Char Char Char Char Char Char"/>
    <w:basedOn w:val="1"/>
    <w:qFormat/>
    <w:uiPriority w:val="0"/>
    <w:rPr>
      <w:rFonts w:ascii="Tahoma" w:hAnsi="Tahoma" w:cs="仿宋_GB2312"/>
      <w:sz w:val="24"/>
    </w:rPr>
  </w:style>
  <w:style w:type="character" w:customStyle="1" w:styleId="70">
    <w:name w:val="批注文字 Char"/>
    <w:basedOn w:val="37"/>
    <w:link w:val="10"/>
    <w:semiHidden/>
    <w:qFormat/>
    <w:uiPriority w:val="99"/>
    <w:rPr>
      <w:rFonts w:ascii="Times New Roman" w:hAnsi="Times New Roman" w:eastAsia="宋体" w:cs="Times New Roman"/>
      <w:szCs w:val="20"/>
    </w:rPr>
  </w:style>
  <w:style w:type="character" w:customStyle="1" w:styleId="71">
    <w:name w:val="批注主题 Char"/>
    <w:basedOn w:val="70"/>
    <w:link w:val="32"/>
    <w:semiHidden/>
    <w:qFormat/>
    <w:uiPriority w:val="99"/>
    <w:rPr>
      <w:rFonts w:ascii="Times New Roman" w:hAnsi="Times New Roman" w:eastAsia="宋体" w:cs="Times New Roman"/>
      <w:b/>
      <w:bCs/>
      <w:szCs w:val="20"/>
    </w:rPr>
  </w:style>
  <w:style w:type="paragraph" w:customStyle="1" w:styleId="72">
    <w:name w:val="Char Char Char Char Char Char"/>
    <w:basedOn w:val="1"/>
    <w:qFormat/>
    <w:uiPriority w:val="0"/>
  </w:style>
  <w:style w:type="character" w:customStyle="1" w:styleId="73">
    <w:name w:val="纯文本 Char"/>
    <w:link w:val="16"/>
    <w:qFormat/>
    <w:uiPriority w:val="0"/>
    <w:rPr>
      <w:rFonts w:ascii="宋体" w:hAnsi="Courier New" w:eastAsia="宋体"/>
    </w:rPr>
  </w:style>
  <w:style w:type="character" w:customStyle="1" w:styleId="74">
    <w:name w:val="纯文本 Char1"/>
    <w:basedOn w:val="37"/>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7">
    <w:name w:val="style29"/>
    <w:qFormat/>
    <w:uiPriority w:val="0"/>
  </w:style>
  <w:style w:type="character" w:customStyle="1" w:styleId="78">
    <w:name w:val="正文1"/>
    <w:qFormat/>
    <w:uiPriority w:val="0"/>
  </w:style>
  <w:style w:type="character" w:customStyle="1" w:styleId="79">
    <w:name w:val="font11"/>
    <w:qFormat/>
    <w:uiPriority w:val="0"/>
    <w:rPr>
      <w:rFonts w:hint="default" w:ascii="Times New Roman" w:hAnsi="Times New Roman" w:cs="Times New Roman"/>
      <w:color w:val="3366FF"/>
      <w:sz w:val="24"/>
      <w:szCs w:val="24"/>
      <w:u w:val="none"/>
    </w:rPr>
  </w:style>
  <w:style w:type="character" w:customStyle="1" w:styleId="80">
    <w:name w:val="font21"/>
    <w:qFormat/>
    <w:uiPriority w:val="0"/>
    <w:rPr>
      <w:rFonts w:hint="eastAsia" w:ascii="宋体" w:hAnsi="宋体" w:eastAsia="宋体"/>
      <w:color w:val="3366FF"/>
      <w:sz w:val="24"/>
      <w:szCs w:val="24"/>
      <w:u w:val="none"/>
    </w:rPr>
  </w:style>
  <w:style w:type="paragraph" w:customStyle="1" w:styleId="81">
    <w:name w:val="Char Char15"/>
    <w:basedOn w:val="1"/>
    <w:qFormat/>
    <w:uiPriority w:val="0"/>
    <w:rPr>
      <w:rFonts w:ascii="Tahoma" w:hAnsi="Tahoma" w:eastAsia="仿宋_GB2312"/>
      <w:sz w:val="24"/>
    </w:rPr>
  </w:style>
  <w:style w:type="paragraph" w:customStyle="1" w:styleId="82">
    <w:name w:val="列出段落1"/>
    <w:basedOn w:val="1"/>
    <w:qFormat/>
    <w:uiPriority w:val="0"/>
    <w:pPr>
      <w:ind w:firstLine="420" w:firstLineChars="200"/>
    </w:pPr>
    <w:rPr>
      <w:rFonts w:ascii="Calibri" w:hAnsi="Calibri"/>
      <w:szCs w:val="22"/>
    </w:rPr>
  </w:style>
  <w:style w:type="paragraph" w:customStyle="1" w:styleId="83">
    <w:name w:val="Char2"/>
    <w:basedOn w:val="1"/>
    <w:qFormat/>
    <w:uiPriority w:val="0"/>
    <w:pPr>
      <w:tabs>
        <w:tab w:val="left" w:pos="360"/>
      </w:tabs>
    </w:pPr>
    <w:rPr>
      <w:sz w:val="24"/>
      <w:szCs w:val="24"/>
    </w:rPr>
  </w:style>
  <w:style w:type="paragraph" w:customStyle="1" w:styleId="84">
    <w:name w:val="Char16"/>
    <w:basedOn w:val="1"/>
    <w:qFormat/>
    <w:uiPriority w:val="0"/>
    <w:rPr>
      <w:rFonts w:ascii="Tahoma" w:hAnsi="Tahoma" w:eastAsia="仿宋_GB2312"/>
      <w:sz w:val="24"/>
    </w:rPr>
  </w:style>
  <w:style w:type="paragraph" w:customStyle="1" w:styleId="85">
    <w:name w:val="Char Char1"/>
    <w:basedOn w:val="1"/>
    <w:qFormat/>
    <w:uiPriority w:val="0"/>
    <w:rPr>
      <w:rFonts w:ascii="Tahoma" w:hAnsi="Tahoma"/>
      <w:sz w:val="24"/>
    </w:rPr>
  </w:style>
  <w:style w:type="paragraph" w:customStyle="1" w:styleId="86">
    <w:name w:val="Char Char Char Char Char Char Char"/>
    <w:basedOn w:val="1"/>
    <w:qFormat/>
    <w:uiPriority w:val="0"/>
    <w:rPr>
      <w:szCs w:val="24"/>
    </w:rPr>
  </w:style>
  <w:style w:type="paragraph" w:customStyle="1" w:styleId="87">
    <w:name w:val="Char Char"/>
    <w:basedOn w:val="1"/>
    <w:qFormat/>
    <w:uiPriority w:val="0"/>
    <w:rPr>
      <w:rFonts w:ascii="Tahoma" w:hAnsi="Tahoma" w:cs="仿宋_GB2312"/>
      <w:sz w:val="24"/>
    </w:rPr>
  </w:style>
  <w:style w:type="paragraph" w:customStyle="1" w:styleId="88">
    <w:name w:val="Char Char2"/>
    <w:basedOn w:val="1"/>
    <w:qFormat/>
    <w:uiPriority w:val="0"/>
    <w:rPr>
      <w:rFonts w:ascii="Tahoma" w:hAnsi="Tahoma" w:cs="仿宋_GB2312"/>
      <w:sz w:val="24"/>
    </w:rPr>
  </w:style>
  <w:style w:type="paragraph" w:customStyle="1" w:styleId="89">
    <w:name w:val="Char Char Char1"/>
    <w:basedOn w:val="1"/>
    <w:qFormat/>
    <w:uiPriority w:val="0"/>
    <w:rPr>
      <w:rFonts w:ascii="Tahoma" w:hAnsi="Tahoma"/>
      <w:sz w:val="24"/>
    </w:rPr>
  </w:style>
  <w:style w:type="paragraph" w:customStyle="1" w:styleId="90">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1">
    <w:name w:val="正文文本 3 Char"/>
    <w:basedOn w:val="37"/>
    <w:link w:val="11"/>
    <w:qFormat/>
    <w:uiPriority w:val="99"/>
    <w:rPr>
      <w:rFonts w:ascii="Calibri" w:hAnsi="Calibri" w:eastAsia="宋体" w:cs="Times New Roman"/>
      <w:sz w:val="16"/>
      <w:szCs w:val="16"/>
      <w:lang w:val="zh-CN" w:eastAsia="zh-CN"/>
    </w:rPr>
  </w:style>
  <w:style w:type="paragraph" w:customStyle="1" w:styleId="9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3">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4">
    <w:name w:val="style23"/>
    <w:qFormat/>
    <w:uiPriority w:val="0"/>
    <w:rPr>
      <w:rFonts w:ascii="Times New Roman" w:hAnsi="Times New Roman" w:eastAsia="宋体"/>
    </w:rPr>
  </w:style>
  <w:style w:type="paragraph" w:customStyle="1" w:styleId="95">
    <w:name w:val="p0"/>
    <w:basedOn w:val="1"/>
    <w:qFormat/>
    <w:uiPriority w:val="0"/>
    <w:pPr>
      <w:widowControl/>
      <w:jc w:val="left"/>
    </w:pPr>
    <w:rPr>
      <w:rFonts w:ascii="等线" w:hAnsi="等线" w:eastAsia="等线" w:cs="等线"/>
      <w:kern w:val="0"/>
      <w:sz w:val="20"/>
      <w:szCs w:val="22"/>
    </w:rPr>
  </w:style>
  <w:style w:type="paragraph" w:customStyle="1" w:styleId="96">
    <w:name w:val="列表段落1"/>
    <w:basedOn w:val="1"/>
    <w:qFormat/>
    <w:uiPriority w:val="34"/>
    <w:pPr>
      <w:ind w:firstLine="420" w:firstLineChars="200"/>
    </w:pPr>
    <w:rPr>
      <w:szCs w:val="24"/>
    </w:rPr>
  </w:style>
  <w:style w:type="paragraph" w:customStyle="1" w:styleId="97">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8">
    <w:name w:val="List Paragraph"/>
    <w:basedOn w:val="1"/>
    <w:qFormat/>
    <w:uiPriority w:val="99"/>
    <w:pPr>
      <w:ind w:firstLine="420" w:firstLineChars="200"/>
    </w:pPr>
  </w:style>
  <w:style w:type="table" w:customStyle="1" w:styleId="9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0">
    <w:name w:val="font41"/>
    <w:basedOn w:val="37"/>
    <w:qFormat/>
    <w:uiPriority w:val="0"/>
    <w:rPr>
      <w:rFonts w:hint="eastAsia" w:ascii="仿宋" w:hAnsi="仿宋" w:eastAsia="仿宋" w:cs="仿宋"/>
      <w:color w:val="000000"/>
      <w:sz w:val="21"/>
      <w:szCs w:val="21"/>
      <w:u w:val="none"/>
    </w:rPr>
  </w:style>
  <w:style w:type="character" w:customStyle="1" w:styleId="101">
    <w:name w:val="标题 2 字符"/>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7029</Words>
  <Characters>7339</Characters>
  <Lines>183</Lines>
  <Paragraphs>51</Paragraphs>
  <TotalTime>75</TotalTime>
  <ScaleCrop>false</ScaleCrop>
  <LinksUpToDate>false</LinksUpToDate>
  <CharactersWithSpaces>7411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2025-03-24T00:34:00Z</cp:lastPrinted>
  <dcterms:modified xsi:type="dcterms:W3CDTF">2025-12-31T08:12:19Z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4DA2706E2F7B43389027FCCFCC2A3A88_13</vt:lpwstr>
  </property>
  <property fmtid="{D5CDD505-2E9C-101B-9397-08002B2CF9AE}" pid="4" name="KSOTemplateDocerSaveRecord">
    <vt:lpwstr>eyJoZGlkIjoiYTJhYjRhNDQ0YmE0YmY2YjRlNWVlMjA5MGM1MDg3YjMiLCJ1c2VySWQiOiI0NzE1ODkwMDUifQ==</vt:lpwstr>
  </property>
</Properties>
</file>