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5B52E">
      <w:pPr>
        <w:keepLines w:val="0"/>
        <w:pageBreakBefore w:val="0"/>
        <w:widowControl w:val="0"/>
        <w:kinsoku/>
        <w:wordWrap/>
        <w:overflowPunct/>
        <w:topLinePunct w:val="0"/>
        <w:autoSpaceDE w:val="0"/>
        <w:autoSpaceDN w:val="0"/>
        <w:bidi w:val="0"/>
        <w:adjustRightInd w:val="0"/>
        <w:snapToGrid/>
        <w:spacing w:line="360" w:lineRule="auto"/>
        <w:ind w:firstLine="3373" w:firstLineChars="1400"/>
        <w:jc w:val="left"/>
        <w:textAlignment w:val="auto"/>
        <w:rPr>
          <w:rFonts w:hint="eastAsia" w:ascii="宋体" w:hAnsi="宋体" w:cs="宋体"/>
          <w:b/>
          <w:bCs/>
          <w:color w:val="auto"/>
          <w:kern w:val="0"/>
          <w:sz w:val="24"/>
          <w:szCs w:val="24"/>
          <w:shd w:val="clear" w:color="auto" w:fill="auto"/>
          <w:lang w:val="en-US" w:eastAsia="zh-CN"/>
        </w:rPr>
      </w:pPr>
      <w:r>
        <w:rPr>
          <w:rFonts w:hint="eastAsia" w:ascii="宋体" w:hAnsi="宋体" w:cs="宋体"/>
          <w:b/>
          <w:bCs/>
          <w:color w:val="auto"/>
          <w:kern w:val="0"/>
          <w:sz w:val="24"/>
          <w:szCs w:val="24"/>
          <w:shd w:val="clear" w:color="auto" w:fill="auto"/>
          <w:lang w:val="en-US" w:eastAsia="zh-CN"/>
        </w:rPr>
        <w:t>项目</w:t>
      </w:r>
      <w:bookmarkStart w:id="1" w:name="_GoBack"/>
      <w:bookmarkEnd w:id="1"/>
      <w:r>
        <w:rPr>
          <w:rFonts w:hint="eastAsia" w:ascii="宋体" w:hAnsi="宋体" w:cs="宋体"/>
          <w:b/>
          <w:bCs/>
          <w:color w:val="auto"/>
          <w:kern w:val="0"/>
          <w:sz w:val="24"/>
          <w:szCs w:val="24"/>
          <w:shd w:val="clear" w:color="auto" w:fill="auto"/>
          <w:lang w:val="en-US" w:eastAsia="zh-CN"/>
        </w:rPr>
        <w:t>基本情况</w:t>
      </w:r>
      <w:r>
        <w:rPr>
          <w:rFonts w:hint="eastAsia" w:ascii="宋体" w:hAnsi="宋体" w:cs="宋体"/>
          <w:b/>
          <w:bCs/>
          <w:color w:val="auto"/>
          <w:kern w:val="0"/>
          <w:sz w:val="24"/>
          <w:szCs w:val="24"/>
          <w:shd w:val="clear" w:color="auto" w:fill="auto"/>
          <w:lang w:val="en-US" w:eastAsia="zh-CN"/>
        </w:rPr>
        <w:br w:type="textWrapping"/>
      </w:r>
      <w:r>
        <w:rPr>
          <w:rFonts w:hint="eastAsia" w:ascii="宋体" w:hAnsi="宋体" w:cs="宋体"/>
          <w:b/>
          <w:bCs/>
          <w:color w:val="auto"/>
          <w:kern w:val="0"/>
          <w:sz w:val="24"/>
          <w:szCs w:val="24"/>
          <w:shd w:val="clear" w:color="auto" w:fill="auto"/>
          <w:lang w:val="en-US" w:eastAsia="zh-CN"/>
        </w:rPr>
        <w:t>1、预算金额：600.00万元</w:t>
      </w:r>
    </w:p>
    <w:p w14:paraId="18726B9B">
      <w:pPr>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b w:val="0"/>
          <w:bCs w:val="0"/>
          <w:color w:val="auto"/>
          <w:kern w:val="0"/>
          <w:sz w:val="24"/>
          <w:szCs w:val="24"/>
          <w:shd w:val="clear" w:color="auto" w:fill="auto"/>
          <w:lang w:val="en-US" w:eastAsia="zh-CN"/>
        </w:rPr>
      </w:pPr>
      <w:r>
        <w:rPr>
          <w:rFonts w:hint="eastAsia" w:ascii="宋体" w:hAnsi="宋体" w:cs="宋体"/>
          <w:b/>
          <w:bCs/>
          <w:color w:val="auto"/>
          <w:kern w:val="0"/>
          <w:sz w:val="24"/>
          <w:szCs w:val="24"/>
          <w:shd w:val="clear" w:color="auto" w:fill="auto"/>
          <w:lang w:val="en-US" w:eastAsia="zh-CN"/>
        </w:rPr>
        <w:t>2、最高限价：费率报价，具体详见采购需求。</w:t>
      </w:r>
      <w:r>
        <w:rPr>
          <w:rFonts w:hint="eastAsia" w:ascii="宋体" w:hAnsi="宋体" w:cs="宋体"/>
          <w:b/>
          <w:bCs/>
          <w:color w:val="auto"/>
          <w:kern w:val="0"/>
          <w:sz w:val="24"/>
          <w:szCs w:val="24"/>
          <w:shd w:val="clear" w:color="auto" w:fill="auto"/>
          <w:lang w:val="en-US" w:eastAsia="zh-CN"/>
        </w:rPr>
        <w:br w:type="textWrapping"/>
      </w:r>
      <w:r>
        <w:rPr>
          <w:rFonts w:hint="eastAsia" w:ascii="宋体" w:hAnsi="宋体" w:cs="宋体"/>
          <w:b/>
          <w:bCs/>
          <w:color w:val="auto"/>
          <w:kern w:val="0"/>
          <w:sz w:val="24"/>
          <w:szCs w:val="24"/>
          <w:shd w:val="clear" w:color="auto" w:fill="auto"/>
          <w:lang w:val="en-US" w:eastAsia="zh-CN"/>
        </w:rPr>
        <w:t>3、合同履行期限：</w:t>
      </w:r>
      <w:r>
        <w:rPr>
          <w:rFonts w:hint="eastAsia" w:ascii="宋体" w:hAnsi="宋体" w:cs="宋体"/>
          <w:b w:val="0"/>
          <w:bCs w:val="0"/>
          <w:color w:val="auto"/>
          <w:kern w:val="0"/>
          <w:sz w:val="24"/>
          <w:szCs w:val="24"/>
          <w:shd w:val="clear" w:color="auto" w:fill="auto"/>
          <w:lang w:val="en-US" w:eastAsia="zh-CN"/>
        </w:rPr>
        <w:t>一年（合同每年一签，次年合同经招标人考核合格后方能续签，最多续签二次）</w:t>
      </w:r>
      <w:r>
        <w:rPr>
          <w:rFonts w:hint="eastAsia" w:ascii="宋体" w:hAnsi="宋体" w:cs="宋体"/>
          <w:b w:val="0"/>
          <w:bCs w:val="0"/>
          <w:color w:val="auto"/>
          <w:kern w:val="0"/>
          <w:sz w:val="24"/>
          <w:szCs w:val="24"/>
          <w:shd w:val="clear" w:color="auto" w:fill="auto"/>
          <w:lang w:val="en-US" w:eastAsia="zh-CN"/>
        </w:rPr>
        <w:br w:type="textWrapping"/>
      </w:r>
      <w:r>
        <w:rPr>
          <w:rFonts w:hint="eastAsia" w:ascii="宋体" w:hAnsi="宋体" w:cs="宋体"/>
          <w:b/>
          <w:bCs/>
          <w:color w:val="auto"/>
          <w:kern w:val="0"/>
          <w:sz w:val="24"/>
          <w:szCs w:val="24"/>
          <w:shd w:val="clear" w:color="auto" w:fill="auto"/>
          <w:lang w:val="en-US" w:eastAsia="zh-CN"/>
        </w:rPr>
        <w:t>4、本项目的特定资格要求:</w:t>
      </w:r>
      <w:r>
        <w:rPr>
          <w:rFonts w:hint="eastAsia" w:ascii="宋体" w:hAnsi="宋体" w:cs="宋体"/>
          <w:b w:val="0"/>
          <w:bCs w:val="0"/>
          <w:color w:val="auto"/>
          <w:kern w:val="0"/>
          <w:sz w:val="24"/>
          <w:szCs w:val="24"/>
          <w:shd w:val="clear" w:color="auto" w:fill="auto"/>
          <w:lang w:val="en-US" w:eastAsia="zh-CN"/>
        </w:rPr>
        <w:br w:type="textWrapping"/>
      </w:r>
      <w:r>
        <w:rPr>
          <w:rFonts w:hint="eastAsia" w:ascii="宋体" w:hAnsi="宋体" w:cs="宋体"/>
          <w:b w:val="0"/>
          <w:bCs w:val="0"/>
          <w:color w:val="auto"/>
          <w:kern w:val="0"/>
          <w:sz w:val="24"/>
          <w:szCs w:val="24"/>
          <w:shd w:val="clear" w:color="auto" w:fill="auto"/>
          <w:lang w:val="en-US" w:eastAsia="zh-CN"/>
        </w:rPr>
        <w:t>（1）具有安徽省医药集中采购平台检验试剂配送企业资格;</w:t>
      </w:r>
    </w:p>
    <w:p w14:paraId="233981AB">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cs="宋体"/>
          <w:b/>
          <w:bCs/>
          <w:color w:val="auto"/>
          <w:kern w:val="0"/>
          <w:sz w:val="24"/>
          <w:szCs w:val="24"/>
          <w:shd w:val="clear" w:color="auto" w:fill="auto"/>
          <w:lang w:val="en-US" w:eastAsia="zh-CN"/>
        </w:rPr>
      </w:pPr>
      <w:r>
        <w:rPr>
          <w:rFonts w:hint="eastAsia" w:ascii="宋体" w:hAnsi="宋体" w:cs="宋体"/>
          <w:b w:val="0"/>
          <w:bCs w:val="0"/>
          <w:color w:val="auto"/>
          <w:kern w:val="0"/>
          <w:sz w:val="24"/>
          <w:szCs w:val="24"/>
          <w:shd w:val="clear" w:color="auto" w:fill="auto"/>
          <w:lang w:val="en-US" w:eastAsia="zh-CN"/>
        </w:rPr>
        <w:t>（2）具有有效的《医疗器械经营许可证》和《药品经营许可证》。</w:t>
      </w:r>
      <w:r>
        <w:rPr>
          <w:rFonts w:hint="eastAsia" w:ascii="宋体" w:hAnsi="宋体" w:cs="宋体"/>
          <w:b w:val="0"/>
          <w:bCs w:val="0"/>
          <w:color w:val="auto"/>
          <w:kern w:val="0"/>
          <w:sz w:val="24"/>
          <w:szCs w:val="24"/>
          <w:shd w:val="clear" w:color="auto" w:fill="auto"/>
          <w:lang w:val="en-US" w:eastAsia="zh-CN"/>
        </w:rPr>
        <w:br w:type="textWrapping"/>
      </w:r>
      <w:r>
        <w:rPr>
          <w:rFonts w:hint="eastAsia" w:ascii="宋体" w:hAnsi="宋体" w:cs="宋体"/>
          <w:b/>
          <w:bCs/>
          <w:color w:val="auto"/>
          <w:kern w:val="0"/>
          <w:sz w:val="24"/>
          <w:szCs w:val="24"/>
          <w:shd w:val="clear" w:color="auto" w:fill="auto"/>
          <w:lang w:val="en-US" w:eastAsia="zh-CN"/>
        </w:rPr>
        <w:t>5、是否接受联合体：</w:t>
      </w:r>
      <w:r>
        <w:rPr>
          <w:rFonts w:hint="eastAsia" w:ascii="宋体" w:hAnsi="宋体" w:cs="宋体"/>
          <w:b w:val="0"/>
          <w:bCs w:val="0"/>
          <w:color w:val="auto"/>
          <w:kern w:val="0"/>
          <w:sz w:val="24"/>
          <w:szCs w:val="24"/>
          <w:shd w:val="clear" w:color="auto" w:fill="auto"/>
          <w:lang w:val="en-US" w:eastAsia="zh-CN"/>
        </w:rPr>
        <w:t>本项目不接受联合体投标。</w:t>
      </w:r>
    </w:p>
    <w:p w14:paraId="7F7BA67D">
      <w:pPr>
        <w:keepLines w:val="0"/>
        <w:pageBreakBefore w:val="0"/>
        <w:widowControl w:val="0"/>
        <w:kinsoku/>
        <w:wordWrap/>
        <w:overflowPunct/>
        <w:topLinePunct w:val="0"/>
        <w:autoSpaceDE w:val="0"/>
        <w:autoSpaceDN w:val="0"/>
        <w:bidi w:val="0"/>
        <w:adjustRightInd w:val="0"/>
        <w:snapToGrid/>
        <w:spacing w:line="360" w:lineRule="auto"/>
        <w:ind w:firstLine="3614" w:firstLineChars="1500"/>
        <w:jc w:val="left"/>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cs="宋体"/>
          <w:b/>
          <w:bCs/>
          <w:color w:val="auto"/>
          <w:kern w:val="0"/>
          <w:sz w:val="24"/>
          <w:szCs w:val="24"/>
          <w:shd w:val="clear" w:color="auto" w:fill="auto"/>
          <w:lang w:val="en-US" w:eastAsia="zh-CN"/>
        </w:rPr>
        <w:t>采购需求</w:t>
      </w:r>
      <w:r>
        <w:rPr>
          <w:rFonts w:hint="eastAsia" w:ascii="宋体" w:hAnsi="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一、 项目背景与目标</w:t>
      </w:r>
      <w:r>
        <w:rPr>
          <w:rFonts w:hint="eastAsia" w:ascii="宋体" w:hAnsi="宋体" w:eastAsia="宋体" w:cs="宋体"/>
          <w:color w:val="auto"/>
          <w:kern w:val="0"/>
          <w:sz w:val="24"/>
          <w:szCs w:val="24"/>
          <w:shd w:val="clear" w:color="auto" w:fill="auto"/>
          <w:lang w:val="en-US" w:eastAsia="zh-CN"/>
        </w:rPr>
        <w:br w:type="textWrapping"/>
      </w:r>
      <w:r>
        <w:rPr>
          <w:rFonts w:hint="eastAsia" w:ascii="宋体" w:hAnsi="宋体" w:eastAsia="宋体" w:cs="宋体"/>
          <w:color w:val="auto"/>
          <w:kern w:val="0"/>
          <w:sz w:val="24"/>
          <w:szCs w:val="24"/>
          <w:shd w:val="clear" w:color="auto" w:fill="auto"/>
          <w:lang w:val="en-US" w:eastAsia="zh-CN"/>
        </w:rPr>
        <w:t>1.为深入贯彻落实国家及安徽省关于推进紧密型县域医共体建设的决策部署，优化整合区域医疗资源，提升六安市叶集区整体医学检验服务能力与同质化水平，六安市叶集区人民医院（六安市第六人民医院）作为区域医共体牵头单位，现启动“区域医学检验中心共建服务采购项目”。</w:t>
      </w:r>
    </w:p>
    <w:p w14:paraId="7A79A7F0">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lang w:val="en-US" w:eastAsia="zh-CN"/>
        </w:rPr>
        <w:t>2.本项目旨在通过引入优质社会合作服务方，采用</w:t>
      </w:r>
      <w:r>
        <w:rPr>
          <w:rFonts w:hint="eastAsia" w:ascii="宋体" w:hAnsi="宋体" w:eastAsia="宋体" w:cs="宋体"/>
          <w:b/>
          <w:bCs/>
          <w:color w:val="auto"/>
          <w:kern w:val="0"/>
          <w:sz w:val="24"/>
          <w:szCs w:val="24"/>
          <w:shd w:val="clear" w:color="auto" w:fill="auto"/>
          <w:lang w:val="en-US" w:eastAsia="zh-CN"/>
        </w:rPr>
        <w:t>“共建服务”模式</w:t>
      </w:r>
      <w:r>
        <w:rPr>
          <w:rFonts w:hint="eastAsia" w:ascii="宋体" w:hAnsi="宋体" w:eastAsia="宋体" w:cs="宋体"/>
          <w:color w:val="auto"/>
          <w:kern w:val="0"/>
          <w:sz w:val="24"/>
          <w:szCs w:val="24"/>
          <w:shd w:val="clear" w:color="auto" w:fill="auto"/>
          <w:lang w:val="en-US" w:eastAsia="zh-CN"/>
        </w:rPr>
        <w:t>，在牵头医院建设一个技术先进、质量可靠、运行高效的区域医学检验核心枢纽，并辐射服务于叶集区医共体内各成员单位（包括叶集区姚李镇卫生院、洪集镇卫生院、孙岗乡卫生院、平岗街道社区卫生服务中心、三元镇卫生院、史河街道社区卫生服务中心），最终构建</w:t>
      </w:r>
      <w:r>
        <w:rPr>
          <w:rFonts w:hint="eastAsia" w:ascii="宋体" w:hAnsi="宋体" w:eastAsia="宋体" w:cs="宋体"/>
          <w:b/>
          <w:bCs/>
          <w:color w:val="auto"/>
          <w:kern w:val="0"/>
          <w:sz w:val="24"/>
          <w:szCs w:val="24"/>
          <w:shd w:val="clear" w:color="auto" w:fill="auto"/>
          <w:lang w:val="en-US" w:eastAsia="zh-CN"/>
        </w:rPr>
        <w:t>“基层检查、区级诊断、区域互认”</w:t>
      </w:r>
      <w:r>
        <w:rPr>
          <w:rFonts w:hint="eastAsia" w:ascii="宋体" w:hAnsi="宋体" w:eastAsia="宋体" w:cs="宋体"/>
          <w:color w:val="auto"/>
          <w:kern w:val="0"/>
          <w:sz w:val="24"/>
          <w:szCs w:val="24"/>
          <w:shd w:val="clear" w:color="auto" w:fill="auto"/>
          <w:lang w:val="en-US" w:eastAsia="zh-CN"/>
        </w:rPr>
        <w:t>的集约化检验服务新体系。通过专业化、集约化的运营管理，实现区域检验质量同质化、服务标准化、成本集约化，全面提升区域医学检验学科能力，为辖区居民提供更优质、便捷的医疗服务。</w:t>
      </w:r>
      <w:r>
        <w:rPr>
          <w:rFonts w:hint="eastAsia" w:ascii="宋体" w:hAnsi="宋体" w:eastAsia="宋体" w:cs="宋体"/>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3.项目预算基础（告知）</w:t>
      </w:r>
      <w:r>
        <w:rPr>
          <w:rFonts w:hint="eastAsia" w:ascii="宋体" w:hAnsi="宋体" w:eastAsia="宋体" w:cs="宋体"/>
          <w:color w:val="auto"/>
          <w:kern w:val="0"/>
          <w:sz w:val="24"/>
          <w:szCs w:val="24"/>
          <w:shd w:val="clear" w:color="auto" w:fill="auto"/>
          <w:lang w:val="en-US" w:eastAsia="zh-CN"/>
        </w:rPr>
        <w:br w:type="textWrapping"/>
      </w:r>
      <w:r>
        <w:rPr>
          <w:rFonts w:hint="eastAsia" w:ascii="宋体" w:hAnsi="宋体" w:eastAsia="宋体" w:cs="宋体"/>
          <w:color w:val="auto"/>
          <w:kern w:val="0"/>
          <w:sz w:val="24"/>
          <w:szCs w:val="24"/>
          <w:shd w:val="clear" w:color="auto" w:fill="auto"/>
          <w:lang w:val="en-US" w:eastAsia="zh-CN"/>
        </w:rPr>
        <w:t>为便于潜在投标人充分理解项目规模与商业基础，现提供本项目基于历史运营数据的财务估算如下，该估算不构成任何支付承诺，最终以实际结算为准：</w:t>
      </w:r>
      <w:r>
        <w:rPr>
          <w:rStyle w:val="7"/>
          <w:rFonts w:ascii="Segoe UI" w:hAnsi="Segoe UI" w:eastAsia="Segoe UI" w:cs="Segoe UI"/>
          <w:b/>
          <w:bCs/>
          <w:i w:val="0"/>
          <w:iCs w:val="0"/>
          <w:caps w:val="0"/>
          <w:color w:val="0F1115"/>
          <w:spacing w:val="0"/>
          <w:sz w:val="24"/>
          <w:szCs w:val="24"/>
          <w:shd w:val="clear" w:color="auto" w:fill="FFFFFF"/>
        </w:rPr>
        <w:t>项目收入规模与年度服务费用预算估算基础表</w:t>
      </w:r>
      <w:r>
        <w:rPr>
          <w:rStyle w:val="7"/>
          <w:rFonts w:hint="eastAsia" w:ascii="Segoe UI" w:hAnsi="Segoe UI" w:eastAsia="宋体" w:cs="Segoe UI"/>
          <w:b/>
          <w:bCs/>
          <w:i w:val="0"/>
          <w:iCs w:val="0"/>
          <w:caps w:val="0"/>
          <w:color w:val="0F1115"/>
          <w:spacing w:val="0"/>
          <w:sz w:val="24"/>
          <w:szCs w:val="24"/>
          <w:shd w:val="clear" w:color="auto" w:fill="FFFFFF"/>
          <w:lang w:eastAsia="zh-CN"/>
        </w:rPr>
        <w:t>。</w:t>
      </w:r>
      <w:r>
        <w:rPr>
          <w:rFonts w:hint="eastAsia" w:ascii="Segoe UI" w:hAnsi="Segoe UI" w:eastAsia="宋体" w:cs="Segoe UI"/>
          <w:i w:val="0"/>
          <w:iCs w:val="0"/>
          <w:caps w:val="0"/>
          <w:color w:val="0F1115"/>
          <w:spacing w:val="0"/>
          <w:sz w:val="24"/>
          <w:szCs w:val="24"/>
          <w:shd w:val="clear" w:color="auto" w:fill="FFFFFF"/>
          <w:lang w:val="en-US" w:eastAsia="zh-CN"/>
        </w:rPr>
        <w:t xml:space="preserve">          </w:t>
      </w:r>
    </w:p>
    <w:tbl>
      <w:tblPr>
        <w:tblStyle w:val="5"/>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385"/>
        <w:gridCol w:w="2268"/>
        <w:gridCol w:w="3879"/>
      </w:tblGrid>
      <w:tr w14:paraId="3497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4" w:type="dxa"/>
            <w:noWrap w:val="0"/>
            <w:vAlign w:val="center"/>
          </w:tcPr>
          <w:p w14:paraId="6B8CBBE8">
            <w:pPr>
              <w:pStyle w:val="3"/>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项目</w:t>
            </w:r>
          </w:p>
        </w:tc>
        <w:tc>
          <w:tcPr>
            <w:tcW w:w="2385" w:type="dxa"/>
            <w:noWrap w:val="0"/>
            <w:vAlign w:val="center"/>
          </w:tcPr>
          <w:p w14:paraId="3F007E8C">
            <w:pPr>
              <w:pStyle w:val="3"/>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关键指标</w:t>
            </w:r>
          </w:p>
        </w:tc>
        <w:tc>
          <w:tcPr>
            <w:tcW w:w="2268" w:type="dxa"/>
            <w:noWrap w:val="0"/>
            <w:vAlign w:val="center"/>
          </w:tcPr>
          <w:p w14:paraId="3DBC94FC">
            <w:pPr>
              <w:pStyle w:val="3"/>
              <w:spacing w:line="36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估算值（万元）</w:t>
            </w:r>
          </w:p>
        </w:tc>
        <w:tc>
          <w:tcPr>
            <w:tcW w:w="3879" w:type="dxa"/>
            <w:noWrap w:val="0"/>
            <w:vAlign w:val="center"/>
          </w:tcPr>
          <w:p w14:paraId="6F476E4F">
            <w:pPr>
              <w:pStyle w:val="3"/>
              <w:spacing w:line="36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说明</w:t>
            </w:r>
          </w:p>
        </w:tc>
      </w:tr>
      <w:tr w14:paraId="5220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64" w:type="dxa"/>
            <w:noWrap w:val="0"/>
            <w:vAlign w:val="center"/>
          </w:tcPr>
          <w:p w14:paraId="26CF0739">
            <w:pPr>
              <w:widowControl/>
              <w:jc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总收入估算</w:t>
            </w:r>
          </w:p>
        </w:tc>
        <w:tc>
          <w:tcPr>
            <w:tcW w:w="2385" w:type="dxa"/>
            <w:noWrap w:val="0"/>
            <w:vAlign w:val="center"/>
          </w:tcPr>
          <w:p w14:paraId="2AA3C767">
            <w:pPr>
              <w:widowControl/>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年度检验业务总收入</w:t>
            </w:r>
          </w:p>
        </w:tc>
        <w:tc>
          <w:tcPr>
            <w:tcW w:w="2268" w:type="dxa"/>
            <w:noWrap w:val="0"/>
            <w:vAlign w:val="center"/>
          </w:tcPr>
          <w:p w14:paraId="46760ECE">
            <w:pPr>
              <w:widowControl/>
              <w:jc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约2310</w:t>
            </w:r>
          </w:p>
        </w:tc>
        <w:tc>
          <w:tcPr>
            <w:tcW w:w="3879" w:type="dxa"/>
            <w:noWrap w:val="0"/>
            <w:vAlign w:val="center"/>
          </w:tcPr>
          <w:p w14:paraId="2BBC27EE">
            <w:pPr>
              <w:numPr>
                <w:ilvl w:val="0"/>
                <w:numId w:val="0"/>
              </w:numPr>
              <w:spacing w:line="274" w:lineRule="exact"/>
              <w:jc w:val="both"/>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牵头医院及成员单位相关检验业务HIS收费总和。</w:t>
            </w:r>
          </w:p>
        </w:tc>
      </w:tr>
      <w:tr w14:paraId="3DD5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64" w:type="dxa"/>
            <w:vMerge w:val="restart"/>
            <w:noWrap w:val="0"/>
            <w:vAlign w:val="center"/>
          </w:tcPr>
          <w:p w14:paraId="6CE455A6">
            <w:pPr>
              <w:widowControl/>
              <w:jc w:val="center"/>
              <w:rPr>
                <w:rFonts w:hint="default" w:ascii="宋体" w:hAnsi="宋体" w:eastAsia="宋体" w:cs="宋体"/>
                <w:b w:val="0"/>
                <w:bCs w:val="0"/>
                <w:sz w:val="24"/>
                <w:szCs w:val="24"/>
                <w:lang w:val="en-US" w:eastAsia="zh-CN"/>
              </w:rPr>
            </w:pPr>
            <w:r>
              <w:rPr>
                <w:rFonts w:hint="default" w:ascii="宋体" w:hAnsi="宋体" w:eastAsia="宋体" w:cs="宋体"/>
                <w:b/>
                <w:bCs/>
                <w:sz w:val="24"/>
                <w:szCs w:val="24"/>
                <w:lang w:val="en-US" w:eastAsia="zh-CN"/>
              </w:rPr>
              <w:t>收入构成</w:t>
            </w:r>
          </w:p>
        </w:tc>
        <w:tc>
          <w:tcPr>
            <w:tcW w:w="2385" w:type="dxa"/>
            <w:noWrap w:val="0"/>
            <w:vAlign w:val="center"/>
          </w:tcPr>
          <w:p w14:paraId="57DF8206">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1.常规检验收入</w:t>
            </w:r>
          </w:p>
        </w:tc>
        <w:tc>
          <w:tcPr>
            <w:tcW w:w="2268" w:type="dxa"/>
            <w:noWrap w:val="0"/>
            <w:vAlign w:val="center"/>
          </w:tcPr>
          <w:p w14:paraId="3DE1566F">
            <w:pPr>
              <w:widowControl/>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约2120</w:t>
            </w:r>
          </w:p>
        </w:tc>
        <w:tc>
          <w:tcPr>
            <w:tcW w:w="3879" w:type="dxa"/>
            <w:noWrap w:val="0"/>
            <w:vAlign w:val="center"/>
          </w:tcPr>
          <w:p w14:paraId="0CE8BB81">
            <w:pPr>
              <w:numPr>
                <w:ilvl w:val="0"/>
                <w:numId w:val="0"/>
              </w:numPr>
              <w:spacing w:line="274" w:lineRule="exact"/>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指除专项检测、外送项目外的常规检验项目收入。</w:t>
            </w:r>
          </w:p>
        </w:tc>
      </w:tr>
      <w:tr w14:paraId="768B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4" w:type="dxa"/>
            <w:vMerge w:val="continue"/>
            <w:noWrap w:val="0"/>
            <w:vAlign w:val="center"/>
          </w:tcPr>
          <w:p w14:paraId="5C026CA4">
            <w:pPr>
              <w:widowControl/>
              <w:jc w:val="center"/>
              <w:rPr>
                <w:rFonts w:hint="default" w:ascii="宋体" w:hAnsi="宋体" w:eastAsia="宋体" w:cs="宋体"/>
                <w:b w:val="0"/>
                <w:bCs w:val="0"/>
                <w:sz w:val="24"/>
                <w:szCs w:val="24"/>
                <w:lang w:val="en-US" w:eastAsia="zh-CN"/>
              </w:rPr>
            </w:pPr>
          </w:p>
        </w:tc>
        <w:tc>
          <w:tcPr>
            <w:tcW w:w="2385" w:type="dxa"/>
            <w:noWrap w:val="0"/>
            <w:vAlign w:val="center"/>
          </w:tcPr>
          <w:p w14:paraId="26028703">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2.专项检测收入</w:t>
            </w:r>
          </w:p>
        </w:tc>
        <w:tc>
          <w:tcPr>
            <w:tcW w:w="2268" w:type="dxa"/>
            <w:noWrap w:val="0"/>
            <w:vAlign w:val="center"/>
          </w:tcPr>
          <w:p w14:paraId="1ABFC110">
            <w:pPr>
              <w:widowControl/>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约150</w:t>
            </w:r>
          </w:p>
        </w:tc>
        <w:tc>
          <w:tcPr>
            <w:tcW w:w="3879" w:type="dxa"/>
            <w:noWrap w:val="0"/>
            <w:vAlign w:val="center"/>
          </w:tcPr>
          <w:p w14:paraId="450E68AC">
            <w:pPr>
              <w:numPr>
                <w:ilvl w:val="0"/>
                <w:numId w:val="0"/>
              </w:numPr>
              <w:spacing w:line="274" w:lineRule="exact"/>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包括串联质谱、二代测序等项目收入。</w:t>
            </w:r>
          </w:p>
        </w:tc>
      </w:tr>
      <w:tr w14:paraId="5C1A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4" w:type="dxa"/>
            <w:vMerge w:val="continue"/>
            <w:noWrap w:val="0"/>
            <w:vAlign w:val="center"/>
          </w:tcPr>
          <w:p w14:paraId="43C6348F">
            <w:pPr>
              <w:widowControl/>
              <w:jc w:val="center"/>
              <w:rPr>
                <w:rFonts w:hint="default" w:ascii="宋体" w:hAnsi="宋体" w:eastAsia="宋体" w:cs="宋体"/>
                <w:b w:val="0"/>
                <w:bCs w:val="0"/>
                <w:sz w:val="24"/>
                <w:szCs w:val="24"/>
                <w:lang w:val="en-US" w:eastAsia="zh-CN"/>
              </w:rPr>
            </w:pPr>
          </w:p>
        </w:tc>
        <w:tc>
          <w:tcPr>
            <w:tcW w:w="2385" w:type="dxa"/>
            <w:noWrap w:val="0"/>
            <w:vAlign w:val="center"/>
          </w:tcPr>
          <w:p w14:paraId="0F8E19C6">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3.外送项目收入</w:t>
            </w:r>
          </w:p>
        </w:tc>
        <w:tc>
          <w:tcPr>
            <w:tcW w:w="2268" w:type="dxa"/>
            <w:noWrap w:val="0"/>
            <w:vAlign w:val="center"/>
          </w:tcPr>
          <w:p w14:paraId="4CEA92A6">
            <w:pPr>
              <w:widowControl/>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约40</w:t>
            </w:r>
          </w:p>
        </w:tc>
        <w:tc>
          <w:tcPr>
            <w:tcW w:w="3879" w:type="dxa"/>
            <w:noWrap w:val="0"/>
            <w:vAlign w:val="center"/>
          </w:tcPr>
          <w:p w14:paraId="4263C631">
            <w:pPr>
              <w:numPr>
                <w:ilvl w:val="0"/>
                <w:numId w:val="0"/>
              </w:numPr>
              <w:spacing w:line="274" w:lineRule="exact"/>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机构自身未开展、需外送检测的项目收入。</w:t>
            </w:r>
          </w:p>
        </w:tc>
      </w:tr>
      <w:tr w14:paraId="7EB3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4" w:type="dxa"/>
            <w:vMerge w:val="restart"/>
            <w:noWrap w:val="0"/>
            <w:vAlign w:val="center"/>
          </w:tcPr>
          <w:p w14:paraId="250E7528">
            <w:pPr>
              <w:widowControl/>
              <w:jc w:val="center"/>
              <w:rPr>
                <w:rFonts w:hint="default" w:ascii="宋体" w:hAnsi="宋体" w:eastAsia="宋体" w:cs="宋体"/>
                <w:b w:val="0"/>
                <w:bCs w:val="0"/>
                <w:sz w:val="24"/>
                <w:szCs w:val="24"/>
                <w:lang w:val="en-US" w:eastAsia="zh-CN"/>
              </w:rPr>
            </w:pPr>
            <w:r>
              <w:rPr>
                <w:rFonts w:ascii="Segoe UI" w:hAnsi="Segoe UI" w:eastAsia="Segoe UI" w:cs="Segoe UI"/>
                <w:b/>
                <w:bCs/>
                <w:i w:val="0"/>
                <w:iCs w:val="0"/>
                <w:caps w:val="0"/>
                <w:color w:val="0F1115"/>
                <w:spacing w:val="0"/>
                <w:sz w:val="24"/>
                <w:szCs w:val="24"/>
                <w:shd w:val="clear" w:color="auto" w:fill="FFFFFF"/>
              </w:rPr>
              <w:t>预算构成</w:t>
            </w:r>
          </w:p>
        </w:tc>
        <w:tc>
          <w:tcPr>
            <w:tcW w:w="2385" w:type="dxa"/>
            <w:noWrap w:val="0"/>
            <w:vAlign w:val="center"/>
          </w:tcPr>
          <w:p w14:paraId="4C576D85">
            <w:pPr>
              <w:widowControl/>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年度服务费用总预算</w:t>
            </w:r>
          </w:p>
        </w:tc>
        <w:tc>
          <w:tcPr>
            <w:tcW w:w="2268" w:type="dxa"/>
            <w:noWrap w:val="0"/>
            <w:vAlign w:val="center"/>
          </w:tcPr>
          <w:p w14:paraId="1C3C79E7">
            <w:pPr>
              <w:widowControl/>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600</w:t>
            </w:r>
          </w:p>
        </w:tc>
        <w:tc>
          <w:tcPr>
            <w:tcW w:w="3879" w:type="dxa"/>
            <w:noWrap w:val="0"/>
            <w:vAlign w:val="center"/>
          </w:tcPr>
          <w:p w14:paraId="0264E5A7">
            <w:pPr>
              <w:numPr>
                <w:ilvl w:val="0"/>
                <w:numId w:val="0"/>
              </w:numPr>
              <w:spacing w:line="274" w:lineRule="exact"/>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本项目招标的预算金额，为各项费用估算之总和。</w:t>
            </w:r>
          </w:p>
        </w:tc>
      </w:tr>
      <w:tr w14:paraId="45CE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4" w:type="dxa"/>
            <w:vMerge w:val="continue"/>
            <w:noWrap w:val="0"/>
            <w:vAlign w:val="center"/>
          </w:tcPr>
          <w:p w14:paraId="750F8306">
            <w:pPr>
              <w:widowControl/>
              <w:jc w:val="center"/>
              <w:rPr>
                <w:rFonts w:ascii="Segoe UI" w:hAnsi="Segoe UI" w:eastAsia="Segoe UI" w:cs="Segoe UI"/>
                <w:i w:val="0"/>
                <w:iCs w:val="0"/>
                <w:caps w:val="0"/>
                <w:color w:val="0F1115"/>
                <w:spacing w:val="0"/>
                <w:sz w:val="24"/>
                <w:szCs w:val="24"/>
                <w:shd w:val="clear" w:color="auto" w:fill="FFFFFF"/>
              </w:rPr>
            </w:pPr>
          </w:p>
        </w:tc>
        <w:tc>
          <w:tcPr>
            <w:tcW w:w="2385" w:type="dxa"/>
            <w:noWrap w:val="0"/>
            <w:vAlign w:val="center"/>
          </w:tcPr>
          <w:p w14:paraId="0D171649">
            <w:pPr>
              <w:widowControl/>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其中：常规试剂耗材</w:t>
            </w:r>
            <w:r>
              <w:rPr>
                <w:rFonts w:hint="eastAsia" w:ascii="宋体" w:hAnsi="宋体" w:eastAsia="宋体" w:cs="宋体"/>
                <w:b w:val="0"/>
                <w:bCs w:val="0"/>
                <w:sz w:val="24"/>
                <w:szCs w:val="24"/>
                <w:lang w:val="en-US" w:eastAsia="zh-CN"/>
              </w:rPr>
              <w:t>估算</w:t>
            </w:r>
          </w:p>
        </w:tc>
        <w:tc>
          <w:tcPr>
            <w:tcW w:w="2268" w:type="dxa"/>
            <w:noWrap w:val="0"/>
            <w:vAlign w:val="center"/>
          </w:tcPr>
          <w:p w14:paraId="22E83E56">
            <w:pPr>
              <w:widowControl/>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530</w:t>
            </w:r>
          </w:p>
        </w:tc>
        <w:tc>
          <w:tcPr>
            <w:tcW w:w="3879" w:type="dxa"/>
            <w:noWrap w:val="0"/>
            <w:vAlign w:val="center"/>
          </w:tcPr>
          <w:p w14:paraId="13D7E94E">
            <w:pPr>
              <w:numPr>
                <w:ilvl w:val="0"/>
                <w:numId w:val="0"/>
              </w:numPr>
              <w:spacing w:line="274" w:lineRule="exact"/>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按常规检验收入（约2120万元）的最高限价费率25%估算。</w:t>
            </w:r>
          </w:p>
        </w:tc>
      </w:tr>
      <w:tr w14:paraId="77D0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4" w:type="dxa"/>
            <w:vMerge w:val="continue"/>
            <w:noWrap w:val="0"/>
            <w:vAlign w:val="center"/>
          </w:tcPr>
          <w:p w14:paraId="15814155">
            <w:pPr>
              <w:widowControl/>
              <w:jc w:val="center"/>
              <w:rPr>
                <w:rFonts w:ascii="Segoe UI" w:hAnsi="Segoe UI" w:eastAsia="Segoe UI" w:cs="Segoe UI"/>
                <w:i w:val="0"/>
                <w:iCs w:val="0"/>
                <w:caps w:val="0"/>
                <w:color w:val="0F1115"/>
                <w:spacing w:val="0"/>
                <w:sz w:val="24"/>
                <w:szCs w:val="24"/>
                <w:shd w:val="clear" w:color="auto" w:fill="FFFFFF"/>
              </w:rPr>
            </w:pPr>
          </w:p>
        </w:tc>
        <w:tc>
          <w:tcPr>
            <w:tcW w:w="2385" w:type="dxa"/>
            <w:noWrap w:val="0"/>
            <w:vAlign w:val="center"/>
          </w:tcPr>
          <w:p w14:paraId="3AC84090">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其中：专项检测试剂费估算</w:t>
            </w:r>
          </w:p>
        </w:tc>
        <w:tc>
          <w:tcPr>
            <w:tcW w:w="2268" w:type="dxa"/>
            <w:noWrap w:val="0"/>
            <w:vAlign w:val="center"/>
          </w:tcPr>
          <w:p w14:paraId="02E05940">
            <w:pPr>
              <w:widowControl/>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60</w:t>
            </w:r>
          </w:p>
        </w:tc>
        <w:tc>
          <w:tcPr>
            <w:tcW w:w="3879" w:type="dxa"/>
            <w:noWrap w:val="0"/>
            <w:vAlign w:val="center"/>
          </w:tcPr>
          <w:p w14:paraId="30F96021">
            <w:pPr>
              <w:numPr>
                <w:ilvl w:val="0"/>
                <w:numId w:val="0"/>
              </w:numPr>
              <w:spacing w:line="274" w:lineRule="exact"/>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按专项检测收入（约150万元）的最高限价费率40%估算。</w:t>
            </w:r>
          </w:p>
        </w:tc>
      </w:tr>
      <w:tr w14:paraId="3FC9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4" w:type="dxa"/>
            <w:vMerge w:val="continue"/>
            <w:noWrap w:val="0"/>
            <w:vAlign w:val="center"/>
          </w:tcPr>
          <w:p w14:paraId="4BA3C241">
            <w:pPr>
              <w:widowControl/>
              <w:jc w:val="center"/>
              <w:rPr>
                <w:rFonts w:ascii="Segoe UI" w:hAnsi="Segoe UI" w:eastAsia="Segoe UI" w:cs="Segoe UI"/>
                <w:i w:val="0"/>
                <w:iCs w:val="0"/>
                <w:caps w:val="0"/>
                <w:color w:val="0F1115"/>
                <w:spacing w:val="0"/>
                <w:sz w:val="24"/>
                <w:szCs w:val="24"/>
                <w:shd w:val="clear" w:color="auto" w:fill="FFFFFF"/>
              </w:rPr>
            </w:pPr>
          </w:p>
        </w:tc>
        <w:tc>
          <w:tcPr>
            <w:tcW w:w="2385" w:type="dxa"/>
            <w:noWrap w:val="0"/>
            <w:vAlign w:val="center"/>
          </w:tcPr>
          <w:p w14:paraId="1FFD4522">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其中：外送项目服务费估算</w:t>
            </w:r>
          </w:p>
        </w:tc>
        <w:tc>
          <w:tcPr>
            <w:tcW w:w="2268" w:type="dxa"/>
            <w:noWrap w:val="0"/>
            <w:vAlign w:val="center"/>
          </w:tcPr>
          <w:p w14:paraId="06EADA70">
            <w:pPr>
              <w:widowControl/>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w:t>
            </w:r>
          </w:p>
        </w:tc>
        <w:tc>
          <w:tcPr>
            <w:tcW w:w="3879" w:type="dxa"/>
            <w:noWrap w:val="0"/>
            <w:vAlign w:val="center"/>
          </w:tcPr>
          <w:p w14:paraId="5A9FC170">
            <w:pPr>
              <w:numPr>
                <w:ilvl w:val="0"/>
                <w:numId w:val="0"/>
              </w:numPr>
              <w:spacing w:line="274" w:lineRule="exact"/>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按外送项目收入（约40万元）的最最高限价费率25%估算。</w:t>
            </w:r>
          </w:p>
        </w:tc>
      </w:tr>
    </w:tbl>
    <w:p w14:paraId="1234397D">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二、项目总体要求</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1.合作模式：</w:t>
      </w:r>
      <w:r>
        <w:rPr>
          <w:rFonts w:ascii="Segoe UI" w:hAnsi="Segoe UI" w:eastAsia="Segoe UI" w:cs="Segoe UI"/>
          <w:i w:val="0"/>
          <w:iCs w:val="0"/>
          <w:caps w:val="0"/>
          <w:color w:val="0F1115"/>
          <w:spacing w:val="0"/>
          <w:sz w:val="24"/>
          <w:szCs w:val="24"/>
          <w:shd w:val="clear" w:color="auto" w:fill="FFFFFF"/>
        </w:rPr>
        <w:t>本项目采用</w:t>
      </w:r>
      <w:r>
        <w:rPr>
          <w:rFonts w:hint="default" w:ascii="Segoe UI" w:hAnsi="Segoe UI" w:eastAsia="Segoe UI" w:cs="Segoe UI"/>
          <w:i w:val="0"/>
          <w:iCs w:val="0"/>
          <w:caps w:val="0"/>
          <w:color w:val="0F1115"/>
          <w:spacing w:val="0"/>
          <w:sz w:val="24"/>
          <w:szCs w:val="24"/>
          <w:shd w:val="clear" w:color="auto" w:fill="FFFFFF"/>
        </w:rPr>
        <w:t> </w:t>
      </w:r>
      <w:r>
        <w:rPr>
          <w:rStyle w:val="7"/>
          <w:rFonts w:hint="default" w:ascii="Segoe UI" w:hAnsi="Segoe UI" w:eastAsia="Segoe UI" w:cs="Segoe UI"/>
          <w:b/>
          <w:bCs/>
          <w:i w:val="0"/>
          <w:iCs w:val="0"/>
          <w:caps w:val="0"/>
          <w:color w:val="0F1115"/>
          <w:spacing w:val="0"/>
          <w:sz w:val="24"/>
          <w:szCs w:val="24"/>
          <w:shd w:val="clear" w:color="auto" w:fill="FFFFFF"/>
        </w:rPr>
        <w:t>“区域医学检验中心共建服务”</w:t>
      </w:r>
      <w:r>
        <w:rPr>
          <w:rFonts w:hint="default" w:ascii="Segoe UI" w:hAnsi="Segoe UI" w:eastAsia="Segoe UI" w:cs="Segoe UI"/>
          <w:i w:val="0"/>
          <w:iCs w:val="0"/>
          <w:caps w:val="0"/>
          <w:color w:val="0F1115"/>
          <w:spacing w:val="0"/>
          <w:sz w:val="24"/>
          <w:szCs w:val="24"/>
          <w:shd w:val="clear" w:color="auto" w:fill="FFFFFF"/>
        </w:rPr>
        <w:t> 模式。中标人（合作服务方）作为共方，全面负责中心运营所需的试剂耗材供应链管理、设备投入与全生命周期维护、信息化平台建设与运维、日常运营服务及学科能力建设等。</w:t>
      </w:r>
    </w:p>
    <w:p w14:paraId="07377803">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Segoe UI" w:hAnsi="Segoe UI" w:eastAsia="Segoe UI" w:cs="Segoe UI"/>
          <w:i w:val="0"/>
          <w:iCs w:val="0"/>
          <w:caps w:val="0"/>
          <w:color w:val="0F1115"/>
          <w:spacing w:val="0"/>
          <w:sz w:val="24"/>
          <w:szCs w:val="24"/>
          <w:shd w:val="clear" w:color="auto" w:fill="FFFFFF"/>
          <w:lang w:val="en-US" w:eastAsia="zh-CN"/>
        </w:rPr>
      </w:pPr>
      <w:r>
        <w:rPr>
          <w:rFonts w:hint="eastAsia" w:ascii="宋体" w:hAnsi="宋体" w:eastAsia="宋体" w:cs="宋体"/>
          <w:b/>
          <w:bCs/>
          <w:color w:val="auto"/>
          <w:kern w:val="0"/>
          <w:sz w:val="24"/>
          <w:szCs w:val="24"/>
          <w:shd w:val="clear" w:color="auto" w:fill="auto"/>
          <w:lang w:val="en-US" w:eastAsia="zh-CN"/>
        </w:rPr>
        <w:t>2.</w:t>
      </w:r>
      <w:r>
        <w:rPr>
          <w:rStyle w:val="7"/>
          <w:rFonts w:ascii="Segoe UI" w:hAnsi="Segoe UI" w:eastAsia="Segoe UI" w:cs="Segoe UI"/>
          <w:b/>
          <w:bCs/>
          <w:i w:val="0"/>
          <w:iCs w:val="0"/>
          <w:caps w:val="0"/>
          <w:color w:val="0F1115"/>
          <w:spacing w:val="0"/>
          <w:sz w:val="24"/>
          <w:szCs w:val="24"/>
          <w:shd w:val="clear" w:color="auto" w:fill="FFFFFF"/>
        </w:rPr>
        <w:t>服务主体与范围</w:t>
      </w:r>
      <w:r>
        <w:rPr>
          <w:rFonts w:hint="eastAsia" w:ascii="宋体" w:hAnsi="宋体" w:eastAsia="宋体" w:cs="宋体"/>
          <w:b/>
          <w:bCs/>
          <w:color w:val="auto"/>
          <w:kern w:val="0"/>
          <w:sz w:val="24"/>
          <w:szCs w:val="24"/>
          <w:shd w:val="clear" w:color="auto" w:fill="auto"/>
          <w:lang w:val="en-US" w:eastAsia="zh-CN"/>
        </w:rPr>
        <w:t>：</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（1）</w:t>
      </w:r>
      <w:r>
        <w:rPr>
          <w:rFonts w:hint="eastAsia" w:ascii="Segoe UI" w:hAnsi="Segoe UI" w:eastAsia="Segoe UI" w:cs="Segoe UI"/>
          <w:b/>
          <w:bCs/>
          <w:i w:val="0"/>
          <w:iCs w:val="0"/>
          <w:caps w:val="0"/>
          <w:color w:val="0F1115"/>
          <w:spacing w:val="0"/>
          <w:sz w:val="24"/>
          <w:szCs w:val="24"/>
          <w:shd w:val="clear" w:color="auto" w:fill="FFFFFF"/>
          <w:lang w:val="en-US" w:eastAsia="zh-CN"/>
        </w:rPr>
        <w:t>核心服务主体：</w:t>
      </w:r>
      <w:r>
        <w:rPr>
          <w:rFonts w:hint="eastAsia" w:ascii="Segoe UI" w:hAnsi="Segoe UI" w:eastAsia="Segoe UI" w:cs="Segoe UI"/>
          <w:i w:val="0"/>
          <w:iCs w:val="0"/>
          <w:caps w:val="0"/>
          <w:color w:val="0F1115"/>
          <w:spacing w:val="0"/>
          <w:sz w:val="24"/>
          <w:szCs w:val="24"/>
          <w:shd w:val="clear" w:color="auto" w:fill="FFFFFF"/>
          <w:lang w:val="en-US" w:eastAsia="zh-CN"/>
        </w:rPr>
        <w:t>六安市叶集区人民医院（六安市第六人民医院）检验科（区域医学检验中心）。</w:t>
      </w:r>
    </w:p>
    <w:p w14:paraId="5051AFA0">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w:t>
      </w:r>
      <w:r>
        <w:rPr>
          <w:rFonts w:hint="eastAsia" w:ascii="Segoe UI" w:hAnsi="Segoe UI" w:eastAsia="Segoe UI" w:cs="Segoe UI"/>
          <w:b/>
          <w:bCs/>
          <w:i w:val="0"/>
          <w:iCs w:val="0"/>
          <w:caps w:val="0"/>
          <w:color w:val="0F1115"/>
          <w:spacing w:val="0"/>
          <w:sz w:val="24"/>
          <w:szCs w:val="24"/>
          <w:shd w:val="clear" w:color="auto" w:fill="FFFFFF"/>
          <w:lang w:val="en-US" w:eastAsia="zh-CN"/>
        </w:rPr>
        <w:t>协同服务范围：</w:t>
      </w:r>
      <w:r>
        <w:rPr>
          <w:rFonts w:hint="eastAsia" w:ascii="Segoe UI" w:hAnsi="Segoe UI" w:eastAsia="Segoe UI" w:cs="Segoe UI"/>
          <w:i w:val="0"/>
          <w:iCs w:val="0"/>
          <w:caps w:val="0"/>
          <w:color w:val="0F1115"/>
          <w:spacing w:val="0"/>
          <w:sz w:val="24"/>
          <w:szCs w:val="24"/>
          <w:shd w:val="clear" w:color="auto" w:fill="FFFFFF"/>
          <w:lang w:val="en-US" w:eastAsia="zh-CN"/>
        </w:rPr>
        <w:t>叶集区紧密型县域医共体内成员单位，包括姚李镇卫生院、洪集镇卫生院、孙岗乡卫生院、平岗街道社区卫生服务中心、三元镇卫生院、史河街道社区卫生服务中心。投标人须负责构建覆盖全区域的检验协同服务体系，实现业务联动。</w:t>
      </w:r>
      <w:r>
        <w:rPr>
          <w:rFonts w:hint="eastAsia" w:ascii="Segoe UI" w:hAnsi="Segoe UI" w:eastAsia="Segoe UI" w:cs="Segoe UI"/>
          <w:i w:val="0"/>
          <w:iCs w:val="0"/>
          <w:caps w:val="0"/>
          <w:color w:val="0F1115"/>
          <w:spacing w:val="0"/>
          <w:sz w:val="24"/>
          <w:szCs w:val="24"/>
          <w:shd w:val="clear" w:color="auto" w:fill="FFFFFF"/>
          <w:lang w:val="en-US" w:eastAsia="zh-CN"/>
        </w:rPr>
        <w:br w:type="textWrapping"/>
      </w:r>
      <w:r>
        <w:rPr>
          <w:rStyle w:val="7"/>
          <w:rFonts w:hint="eastAsia" w:ascii="宋体" w:hAnsi="宋体" w:eastAsia="宋体" w:cs="宋体"/>
          <w:b/>
          <w:bCs/>
          <w:i w:val="0"/>
          <w:iCs w:val="0"/>
          <w:caps w:val="0"/>
          <w:color w:val="0F1115"/>
          <w:spacing w:val="0"/>
          <w:sz w:val="24"/>
          <w:szCs w:val="24"/>
          <w:shd w:val="clear" w:color="auto" w:fill="FFFFFF"/>
          <w:lang w:val="en-US" w:eastAsia="zh-CN"/>
        </w:rPr>
        <w:t>3.</w:t>
      </w:r>
      <w:r>
        <w:rPr>
          <w:rStyle w:val="7"/>
          <w:rFonts w:hint="eastAsia" w:ascii="Segoe UI" w:hAnsi="Segoe UI" w:eastAsia="Segoe UI" w:cs="Segoe UI"/>
          <w:b/>
          <w:bCs/>
          <w:i w:val="0"/>
          <w:iCs w:val="0"/>
          <w:caps w:val="0"/>
          <w:color w:val="0F1115"/>
          <w:spacing w:val="0"/>
          <w:sz w:val="24"/>
          <w:szCs w:val="24"/>
          <w:shd w:val="clear" w:color="auto" w:fill="FFFFFF"/>
          <w:lang w:val="en-US" w:eastAsia="zh-CN"/>
        </w:rPr>
        <w:t>核心目标：</w:t>
      </w:r>
      <w:r>
        <w:rPr>
          <w:rFonts w:hint="eastAsia" w:ascii="Segoe UI" w:hAnsi="Segoe UI" w:eastAsia="Segoe UI" w:cs="Segoe UI"/>
          <w:i w:val="0"/>
          <w:iCs w:val="0"/>
          <w:caps w:val="0"/>
          <w:color w:val="0F1115"/>
          <w:spacing w:val="0"/>
          <w:sz w:val="24"/>
          <w:szCs w:val="24"/>
          <w:shd w:val="clear" w:color="auto" w:fill="FFFFFF"/>
          <w:lang w:val="en-US" w:eastAsia="zh-CN"/>
        </w:rPr>
        <w:t>通过共建合作，实现区域检验资源的优化配置，提升检验质量与效率，降低整体运营成本，助力牵头医院检验科达到</w:t>
      </w:r>
      <w:r>
        <w:rPr>
          <w:rFonts w:hint="eastAsia" w:ascii="宋体" w:hAnsi="宋体" w:eastAsia="宋体" w:cs="宋体"/>
          <w:i w:val="0"/>
          <w:iCs w:val="0"/>
          <w:caps w:val="0"/>
          <w:color w:val="0F1115"/>
          <w:spacing w:val="0"/>
          <w:sz w:val="24"/>
          <w:szCs w:val="24"/>
          <w:shd w:val="clear" w:color="auto" w:fill="FFFFFF"/>
          <w:lang w:val="en-US" w:eastAsia="zh-CN"/>
        </w:rPr>
        <w:t>ISO15189</w:t>
      </w:r>
      <w:r>
        <w:rPr>
          <w:rFonts w:hint="eastAsia" w:ascii="Segoe UI" w:hAnsi="Segoe UI" w:eastAsia="Segoe UI" w:cs="Segoe UI"/>
          <w:i w:val="0"/>
          <w:iCs w:val="0"/>
          <w:caps w:val="0"/>
          <w:color w:val="0F1115"/>
          <w:spacing w:val="0"/>
          <w:sz w:val="24"/>
          <w:szCs w:val="24"/>
          <w:shd w:val="clear" w:color="auto" w:fill="FFFFFF"/>
          <w:lang w:val="en-US" w:eastAsia="zh-CN"/>
        </w:rPr>
        <w:t>质量管理体系标准及三级医院学科建设要求。</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三、服务内容及详细要求</w:t>
      </w:r>
    </w:p>
    <w:p w14:paraId="48F52645">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Segoe UI" w:hAnsi="Segoe UI" w:eastAsia="Segoe UI" w:cs="Segoe UI"/>
          <w:i w:val="0"/>
          <w:iCs w:val="0"/>
          <w:caps w:val="0"/>
          <w:color w:val="0F1115"/>
          <w:spacing w:val="0"/>
          <w:sz w:val="24"/>
          <w:szCs w:val="24"/>
          <w:shd w:val="clear" w:color="auto" w:fill="FFFFFF"/>
          <w:lang w:val="en-US" w:eastAsia="zh-CN"/>
        </w:rPr>
      </w:pPr>
      <w:r>
        <w:rPr>
          <w:rFonts w:hint="eastAsia" w:ascii="宋体" w:hAnsi="宋体" w:eastAsia="宋体" w:cs="宋体"/>
          <w:b/>
          <w:bCs/>
          <w:color w:val="auto"/>
          <w:kern w:val="0"/>
          <w:sz w:val="24"/>
          <w:szCs w:val="24"/>
          <w:shd w:val="clear" w:color="auto" w:fill="auto"/>
          <w:lang w:val="en-US" w:eastAsia="zh-CN"/>
        </w:rPr>
        <w:t>（一）试剂、耗材全流程供应链管理</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1.</w:t>
      </w:r>
      <w:r>
        <w:rPr>
          <w:rFonts w:hint="eastAsia" w:ascii="Segoe UI" w:hAnsi="Segoe UI" w:eastAsia="Segoe UI" w:cs="Segoe UI"/>
          <w:b/>
          <w:bCs/>
          <w:i w:val="0"/>
          <w:iCs w:val="0"/>
          <w:caps w:val="0"/>
          <w:color w:val="0F1115"/>
          <w:spacing w:val="0"/>
          <w:sz w:val="24"/>
          <w:szCs w:val="24"/>
          <w:shd w:val="clear" w:color="auto" w:fill="FFFFFF"/>
          <w:lang w:val="en-US" w:eastAsia="zh-CN"/>
        </w:rPr>
        <w:t>统一配送与保障：</w:t>
      </w:r>
      <w:r>
        <w:rPr>
          <w:rFonts w:hint="eastAsia" w:ascii="Segoe UI" w:hAnsi="Segoe UI" w:eastAsia="Segoe UI" w:cs="Segoe UI"/>
          <w:i w:val="0"/>
          <w:iCs w:val="0"/>
          <w:caps w:val="0"/>
          <w:color w:val="0F1115"/>
          <w:spacing w:val="0"/>
          <w:sz w:val="24"/>
          <w:szCs w:val="24"/>
          <w:shd w:val="clear" w:color="auto" w:fill="FFFFFF"/>
          <w:lang w:val="en-US" w:eastAsia="zh-CN"/>
        </w:rPr>
        <w:t>负责牵头医院及区域内所有成员单位开展检验项目所需全部试剂、耗材的统一采购、仓储、配送与供应链管理。必须保证所有在用及新增项目的正常开展。</w:t>
      </w:r>
    </w:p>
    <w:p w14:paraId="358390A5">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Segoe UI" w:hAnsi="Segoe UI" w:eastAsia="Segoe UI" w:cs="Segoe UI"/>
          <w:i w:val="0"/>
          <w:iCs w:val="0"/>
          <w:caps w:val="0"/>
          <w:color w:val="0F1115"/>
          <w:spacing w:val="0"/>
          <w:sz w:val="24"/>
          <w:szCs w:val="24"/>
          <w:shd w:val="clear" w:color="auto" w:fill="FFFFFF"/>
          <w:lang w:val="en-US" w:eastAsia="zh-CN"/>
        </w:rPr>
      </w:pPr>
      <w:r>
        <w:rPr>
          <w:rFonts w:hint="eastAsia" w:ascii="宋体" w:hAnsi="宋体" w:eastAsia="宋体" w:cs="宋体"/>
          <w:b/>
          <w:bCs/>
          <w:i w:val="0"/>
          <w:iCs w:val="0"/>
          <w:caps w:val="0"/>
          <w:color w:val="0F1115"/>
          <w:spacing w:val="0"/>
          <w:sz w:val="24"/>
          <w:szCs w:val="24"/>
          <w:shd w:val="clear" w:color="auto" w:fill="FFFFFF"/>
          <w:lang w:val="en-US" w:eastAsia="zh-CN"/>
        </w:rPr>
        <w:t>2.</w:t>
      </w:r>
      <w:r>
        <w:rPr>
          <w:rFonts w:hint="eastAsia" w:ascii="Segoe UI" w:hAnsi="Segoe UI" w:eastAsia="Segoe UI" w:cs="Segoe UI"/>
          <w:b/>
          <w:bCs/>
          <w:i w:val="0"/>
          <w:iCs w:val="0"/>
          <w:caps w:val="0"/>
          <w:color w:val="0F1115"/>
          <w:spacing w:val="0"/>
          <w:sz w:val="24"/>
          <w:szCs w:val="24"/>
          <w:shd w:val="clear" w:color="auto" w:fill="FFFFFF"/>
          <w:lang w:val="en-US" w:eastAsia="zh-CN"/>
        </w:rPr>
        <w:t>合规与价格管理：</w:t>
      </w:r>
      <w:r>
        <w:rPr>
          <w:rFonts w:hint="eastAsia" w:ascii="Segoe UI" w:hAnsi="Segoe UI" w:eastAsia="Segoe UI" w:cs="Segoe UI"/>
          <w:b/>
          <w:bCs/>
          <w:i w:val="0"/>
          <w:iCs w:val="0"/>
          <w:caps w:val="0"/>
          <w:color w:val="0F1115"/>
          <w:spacing w:val="0"/>
          <w:sz w:val="24"/>
          <w:szCs w:val="24"/>
          <w:shd w:val="clear" w:color="auto" w:fill="FFFFFF"/>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（1）</w:t>
      </w:r>
      <w:r>
        <w:rPr>
          <w:rFonts w:hint="eastAsia" w:ascii="Segoe UI" w:hAnsi="Segoe UI" w:eastAsia="Segoe UI" w:cs="Segoe UI"/>
          <w:b w:val="0"/>
          <w:bCs w:val="0"/>
          <w:i w:val="0"/>
          <w:iCs w:val="0"/>
          <w:caps w:val="0"/>
          <w:color w:val="0F1115"/>
          <w:spacing w:val="0"/>
          <w:sz w:val="24"/>
          <w:szCs w:val="24"/>
          <w:shd w:val="clear" w:color="auto" w:fill="FFFFFF"/>
          <w:lang w:val="en-US" w:eastAsia="zh-CN"/>
        </w:rPr>
        <w:t>所供试剂耗材必须证件齐全，采购渠道合法，并严格执行国家及安徽省带量采购、医保支付等政策。</w:t>
      </w:r>
      <w:r>
        <w:rPr>
          <w:rFonts w:hint="eastAsia" w:ascii="Segoe UI" w:hAnsi="Segoe UI" w:eastAsia="Segoe UI" w:cs="Segoe UI"/>
          <w:b w:val="0"/>
          <w:bCs w:val="0"/>
          <w:i w:val="0"/>
          <w:iCs w:val="0"/>
          <w:caps w:val="0"/>
          <w:color w:val="0F1115"/>
          <w:spacing w:val="0"/>
          <w:sz w:val="24"/>
          <w:szCs w:val="24"/>
          <w:shd w:val="clear" w:color="auto" w:fill="FFFFFF"/>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（2）</w:t>
      </w:r>
      <w:r>
        <w:rPr>
          <w:rFonts w:hint="eastAsia" w:ascii="Segoe UI" w:hAnsi="Segoe UI" w:eastAsia="Segoe UI" w:cs="Segoe UI"/>
          <w:b w:val="0"/>
          <w:bCs w:val="0"/>
          <w:i w:val="0"/>
          <w:iCs w:val="0"/>
          <w:caps w:val="0"/>
          <w:color w:val="0F1115"/>
          <w:spacing w:val="0"/>
          <w:sz w:val="24"/>
          <w:szCs w:val="24"/>
          <w:shd w:val="clear" w:color="auto" w:fill="FFFFFF"/>
          <w:lang w:val="en-US" w:eastAsia="zh-CN"/>
        </w:rPr>
        <w:t>未经招标人书面同意，不得擅自更换试剂、耗材品牌或规格。</w:t>
      </w:r>
    </w:p>
    <w:p w14:paraId="4E3833DD">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Segoe UI" w:hAnsi="Segoe UI" w:eastAsia="Segoe UI" w:cs="Segoe UI"/>
          <w:i w:val="0"/>
          <w:iCs w:val="0"/>
          <w:caps w:val="0"/>
          <w:color w:val="0F1115"/>
          <w:spacing w:val="0"/>
          <w:sz w:val="24"/>
          <w:szCs w:val="24"/>
          <w:shd w:val="clear" w:color="auto" w:fill="FFFFFF"/>
          <w:lang w:val="en-US" w:eastAsia="zh-CN"/>
        </w:rPr>
      </w:pPr>
      <w:r>
        <w:rPr>
          <w:rFonts w:hint="eastAsia" w:ascii="宋体" w:hAnsi="宋体" w:eastAsia="宋体" w:cs="宋体"/>
          <w:b/>
          <w:bCs/>
          <w:i w:val="0"/>
          <w:iCs w:val="0"/>
          <w:caps w:val="0"/>
          <w:color w:val="0F1115"/>
          <w:spacing w:val="0"/>
          <w:sz w:val="24"/>
          <w:szCs w:val="24"/>
          <w:shd w:val="clear" w:color="auto" w:fill="FFFFFF"/>
          <w:lang w:val="en-US" w:eastAsia="zh-CN"/>
        </w:rPr>
        <w:t>3.质量与证件要求：</w:t>
      </w:r>
      <w:r>
        <w:rPr>
          <w:rFonts w:hint="eastAsia" w:ascii="Segoe UI" w:hAnsi="Segoe UI" w:eastAsia="Segoe UI" w:cs="Segoe UI"/>
          <w:i w:val="0"/>
          <w:iCs w:val="0"/>
          <w:caps w:val="0"/>
          <w:color w:val="0F1115"/>
          <w:spacing w:val="0"/>
          <w:sz w:val="24"/>
          <w:szCs w:val="24"/>
          <w:shd w:val="clear" w:color="auto" w:fill="FFFFFF"/>
          <w:lang w:val="en-US" w:eastAsia="zh-CN"/>
        </w:rPr>
        <w:t>所提供的试剂耗材须具有合法有效的，随货附产品批次合格检验报告。</w:t>
      </w:r>
      <w:r>
        <w:rPr>
          <w:rFonts w:hint="eastAsia" w:ascii="宋体" w:hAnsi="宋体" w:eastAsia="宋体" w:cs="宋体"/>
          <w:b/>
          <w:bCs/>
          <w:i w:val="0"/>
          <w:iCs w:val="0"/>
          <w:caps w:val="0"/>
          <w:color w:val="0F1115"/>
          <w:spacing w:val="0"/>
          <w:sz w:val="24"/>
          <w:szCs w:val="24"/>
          <w:shd w:val="clear" w:color="auto" w:fill="FFFFFF"/>
          <w:lang w:val="en-US" w:eastAsia="zh-CN"/>
        </w:rPr>
        <w:t>4.批号与效期管理：</w:t>
      </w:r>
      <w:r>
        <w:rPr>
          <w:rFonts w:hint="eastAsia" w:ascii="Segoe UI" w:hAnsi="Segoe UI" w:eastAsia="Segoe UI" w:cs="Segoe UI"/>
          <w:i w:val="0"/>
          <w:iCs w:val="0"/>
          <w:caps w:val="0"/>
          <w:color w:val="0F1115"/>
          <w:spacing w:val="0"/>
          <w:sz w:val="24"/>
          <w:szCs w:val="24"/>
          <w:shd w:val="clear" w:color="auto" w:fill="FFFFFF"/>
          <w:lang w:val="en-US" w:eastAsia="zh-CN"/>
        </w:rPr>
        <w:t>单个试剂批号每年更换原则上不超过四次；常规试剂送达时有效期应</w:t>
      </w:r>
      <w:r>
        <w:rPr>
          <w:rFonts w:hint="eastAsia" w:ascii="宋体" w:hAnsi="宋体" w:eastAsia="宋体" w:cs="宋体"/>
          <w:b w:val="0"/>
          <w:bCs w:val="0"/>
          <w:color w:val="auto"/>
          <w:kern w:val="0"/>
          <w:sz w:val="24"/>
          <w:szCs w:val="24"/>
          <w:shd w:val="clear" w:color="auto" w:fill="auto"/>
          <w:lang w:val="en-US" w:eastAsia="zh-CN"/>
        </w:rPr>
        <w:t>≥6个月，特殊试剂可放宽至≥3个月（</w:t>
      </w:r>
      <w:r>
        <w:rPr>
          <w:rFonts w:hint="eastAsia" w:ascii="Segoe UI" w:hAnsi="Segoe UI" w:eastAsia="Segoe UI" w:cs="Segoe UI"/>
          <w:i w:val="0"/>
          <w:iCs w:val="0"/>
          <w:caps w:val="0"/>
          <w:color w:val="0F1115"/>
          <w:spacing w:val="0"/>
          <w:sz w:val="24"/>
          <w:szCs w:val="24"/>
          <w:shd w:val="clear" w:color="auto" w:fill="FFFFFF"/>
          <w:lang w:val="en-US" w:eastAsia="zh-CN"/>
        </w:rPr>
        <w:t>但须提前与使用科室沟通确认）。</w:t>
      </w:r>
    </w:p>
    <w:p w14:paraId="5FE0DE63">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bCs/>
          <w:i w:val="0"/>
          <w:iCs w:val="0"/>
          <w:caps w:val="0"/>
          <w:color w:val="0F1115"/>
          <w:spacing w:val="0"/>
          <w:sz w:val="24"/>
          <w:szCs w:val="24"/>
          <w:shd w:val="clear" w:color="auto" w:fill="FFFFFF"/>
          <w:lang w:val="en-US" w:eastAsia="zh-CN"/>
        </w:rPr>
        <w:t>5.配送时效：</w:t>
      </w:r>
      <w:r>
        <w:rPr>
          <w:rFonts w:hint="eastAsia" w:ascii="Segoe UI" w:hAnsi="Segoe UI" w:eastAsia="Segoe UI" w:cs="Segoe UI"/>
          <w:i w:val="0"/>
          <w:iCs w:val="0"/>
          <w:caps w:val="0"/>
          <w:color w:val="0F1115"/>
          <w:spacing w:val="0"/>
          <w:sz w:val="24"/>
          <w:szCs w:val="24"/>
          <w:shd w:val="clear" w:color="auto" w:fill="FFFFFF"/>
          <w:lang w:val="en-US" w:eastAsia="zh-CN"/>
        </w:rPr>
        <w:t>接到供货通知</w:t>
      </w:r>
      <w:r>
        <w:rPr>
          <w:rFonts w:hint="eastAsia" w:ascii="宋体" w:hAnsi="宋体" w:eastAsia="宋体" w:cs="宋体"/>
          <w:b w:val="0"/>
          <w:bCs w:val="0"/>
          <w:color w:val="auto"/>
          <w:kern w:val="0"/>
          <w:sz w:val="24"/>
          <w:szCs w:val="24"/>
          <w:shd w:val="clear" w:color="auto" w:fill="auto"/>
          <w:lang w:val="en-US" w:eastAsia="zh-CN"/>
        </w:rPr>
        <w:t>后，常规试剂最迟24小时内送达，急诊试剂2小时内送达。因停产等特殊原因无法供货，须提前60个工作日书面通知招标人并提供解决方案。</w:t>
      </w:r>
    </w:p>
    <w:p w14:paraId="5166A858">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6.质控品与室间质评：</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（1）免费提供满足ISO15189要求的室内质控品、校准品。</w:t>
      </w:r>
    </w:p>
    <w:p w14:paraId="2DBE3A73">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Segoe UI" w:hAnsi="Segoe UI" w:eastAsia="Segoe UI" w:cs="Segoe UI"/>
          <w:b w:val="0"/>
          <w:bCs w:val="0"/>
          <w:i w:val="0"/>
          <w:iCs w:val="0"/>
          <w:caps w:val="0"/>
          <w:color w:val="0F1115"/>
          <w:spacing w:val="0"/>
          <w:sz w:val="24"/>
          <w:szCs w:val="24"/>
          <w:shd w:val="clear" w:color="auto" w:fill="FFFFFF"/>
          <w:lang w:val="en-US"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Segoe UI" w:hAnsi="Segoe UI" w:eastAsia="Segoe UI" w:cs="Segoe UI"/>
          <w:b w:val="0"/>
          <w:bCs w:val="0"/>
          <w:i w:val="0"/>
          <w:iCs w:val="0"/>
          <w:caps w:val="0"/>
          <w:color w:val="0F1115"/>
          <w:spacing w:val="0"/>
          <w:sz w:val="24"/>
          <w:szCs w:val="24"/>
          <w:shd w:val="clear" w:color="auto" w:fill="FFFFFF"/>
          <w:lang w:val="en-US" w:eastAsia="zh-CN"/>
        </w:rPr>
        <w:t>承担招标人每年参加国家卫健委临检中心、安徽省卫健委临检中心及其他行业协会组织的全部室间质评项目所需费用。</w:t>
      </w:r>
    </w:p>
    <w:p w14:paraId="2569CE18">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Style w:val="7"/>
          <w:rFonts w:hint="eastAsia" w:ascii="Segoe UI" w:hAnsi="Segoe UI" w:eastAsia="Segoe UI" w:cs="Segoe UI"/>
          <w:b/>
          <w:bCs/>
          <w:i w:val="0"/>
          <w:iCs w:val="0"/>
          <w:caps w:val="0"/>
          <w:color w:val="0F1115"/>
          <w:spacing w:val="0"/>
          <w:sz w:val="24"/>
          <w:szCs w:val="24"/>
          <w:shd w:val="clear" w:color="auto" w:fill="FFFFFF"/>
        </w:rPr>
      </w:pPr>
      <w:r>
        <w:rPr>
          <w:rFonts w:hint="eastAsia" w:ascii="宋体" w:hAnsi="宋体" w:eastAsia="宋体" w:cs="宋体"/>
          <w:b/>
          <w:bCs/>
          <w:color w:val="auto"/>
          <w:kern w:val="0"/>
          <w:sz w:val="24"/>
          <w:szCs w:val="24"/>
          <w:shd w:val="clear" w:color="auto" w:fill="auto"/>
          <w:lang w:val="en-US" w:eastAsia="zh-CN"/>
        </w:rPr>
        <w:t>7.SPD精细化管理：</w:t>
      </w:r>
      <w:r>
        <w:rPr>
          <w:rFonts w:hint="eastAsia" w:ascii="Segoe UI" w:hAnsi="Segoe UI" w:eastAsia="Segoe UI" w:cs="Segoe UI"/>
          <w:i w:val="0"/>
          <w:iCs w:val="0"/>
          <w:caps w:val="0"/>
          <w:color w:val="0F1115"/>
          <w:spacing w:val="0"/>
          <w:sz w:val="24"/>
          <w:szCs w:val="24"/>
          <w:shd w:val="clear" w:color="auto" w:fill="FFFFFF"/>
          <w:lang w:val="en-US" w:eastAsia="zh-CN"/>
        </w:rPr>
        <w:t>建立并运营符合医院管理要求的试剂物流管</w:t>
      </w:r>
      <w:r>
        <w:rPr>
          <w:rFonts w:hint="eastAsia" w:ascii="宋体" w:hAnsi="宋体" w:eastAsia="宋体" w:cs="宋体"/>
          <w:b w:val="0"/>
          <w:bCs w:val="0"/>
          <w:color w:val="auto"/>
          <w:kern w:val="0"/>
          <w:sz w:val="24"/>
          <w:szCs w:val="24"/>
          <w:shd w:val="clear" w:color="auto" w:fill="auto"/>
          <w:lang w:val="en-US" w:eastAsia="zh-CN"/>
        </w:rPr>
        <w:t>理体系（SPD），实现试</w:t>
      </w:r>
      <w:r>
        <w:rPr>
          <w:rFonts w:hint="eastAsia" w:ascii="Segoe UI" w:hAnsi="Segoe UI" w:eastAsia="Segoe UI" w:cs="Segoe UI"/>
          <w:i w:val="0"/>
          <w:iCs w:val="0"/>
          <w:caps w:val="0"/>
          <w:color w:val="0F1115"/>
          <w:spacing w:val="0"/>
          <w:sz w:val="24"/>
          <w:szCs w:val="24"/>
          <w:shd w:val="clear" w:color="auto" w:fill="FFFFFF"/>
          <w:lang w:val="en-US" w:eastAsia="zh-CN"/>
        </w:rPr>
        <w:t>剂耗材从需求生成、采购、入库、科室请领、扫码消耗到结算对账的全流程精细化、可视化、可追溯管理。</w:t>
      </w:r>
      <w:r>
        <w:rPr>
          <w:rFonts w:hint="eastAsia" w:ascii="Segoe UI" w:hAnsi="Segoe UI" w:eastAsia="Segoe UI" w:cs="Segoe UI"/>
          <w:i w:val="0"/>
          <w:iCs w:val="0"/>
          <w:caps w:val="0"/>
          <w:color w:val="0F1115"/>
          <w:spacing w:val="0"/>
          <w:sz w:val="24"/>
          <w:szCs w:val="24"/>
          <w:shd w:val="clear" w:color="auto" w:fill="FFFFFF"/>
          <w:lang w:val="en-US" w:eastAsia="zh-CN"/>
        </w:rPr>
        <w:br w:type="textWrapping"/>
      </w:r>
      <w:r>
        <w:rPr>
          <w:rFonts w:hint="eastAsia" w:ascii="宋体" w:hAnsi="宋体" w:eastAsia="宋体" w:cs="宋体"/>
          <w:b/>
          <w:bCs/>
          <w:color w:val="auto"/>
          <w:kern w:val="0"/>
          <w:sz w:val="24"/>
          <w:szCs w:val="24"/>
          <w:shd w:val="clear" w:color="auto" w:fill="auto"/>
          <w:lang w:val="en-US" w:eastAsia="zh-CN"/>
        </w:rPr>
        <w:t>（二）</w:t>
      </w:r>
      <w:r>
        <w:rPr>
          <w:rStyle w:val="7"/>
          <w:rFonts w:ascii="Segoe UI" w:hAnsi="Segoe UI" w:eastAsia="Segoe UI" w:cs="Segoe UI"/>
          <w:b/>
          <w:bCs/>
          <w:i w:val="0"/>
          <w:iCs w:val="0"/>
          <w:caps w:val="0"/>
          <w:color w:val="0F1115"/>
          <w:spacing w:val="0"/>
          <w:sz w:val="24"/>
          <w:szCs w:val="24"/>
          <w:shd w:val="clear" w:color="auto" w:fill="FFFFFF"/>
        </w:rPr>
        <w:t>设备投入、维修与全生命周期管理</w:t>
      </w:r>
      <w:r>
        <w:rPr>
          <w:rStyle w:val="7"/>
          <w:rFonts w:ascii="Segoe UI" w:hAnsi="Segoe UI" w:eastAsia="Segoe UI" w:cs="Segoe UI"/>
          <w:b/>
          <w:bCs/>
          <w:i w:val="0"/>
          <w:iCs w:val="0"/>
          <w:caps w:val="0"/>
          <w:color w:val="0F1115"/>
          <w:spacing w:val="0"/>
          <w:sz w:val="24"/>
          <w:szCs w:val="24"/>
          <w:shd w:val="clear" w:color="auto" w:fill="FFFFFF"/>
        </w:rPr>
        <w:br w:type="textWrapping"/>
      </w:r>
      <w:r>
        <w:rPr>
          <w:rFonts w:hint="eastAsia" w:ascii="宋体" w:hAnsi="宋体" w:eastAsia="宋体" w:cs="宋体"/>
          <w:b/>
          <w:bCs/>
          <w:color w:val="auto"/>
          <w:kern w:val="0"/>
          <w:sz w:val="24"/>
          <w:szCs w:val="24"/>
          <w:shd w:val="clear" w:color="auto" w:fill="auto"/>
          <w:lang w:val="en-US" w:eastAsia="zh-CN"/>
        </w:rPr>
        <w:t>1.设备投入：</w:t>
      </w:r>
      <w:r>
        <w:rPr>
          <w:rFonts w:hint="eastAsia" w:ascii="宋体" w:hAnsi="宋体" w:eastAsia="宋体" w:cs="宋体"/>
          <w:b w:val="0"/>
          <w:bCs w:val="0"/>
          <w:color w:val="auto"/>
          <w:kern w:val="0"/>
          <w:sz w:val="24"/>
          <w:szCs w:val="24"/>
          <w:shd w:val="clear" w:color="auto" w:fill="auto"/>
          <w:lang w:val="en-US" w:eastAsia="zh-CN"/>
        </w:rPr>
        <w:t>投标人需根据区域检验中心发展及学科建设需求，无偿投入或更新必要的检验设备</w:t>
      </w:r>
      <w:r>
        <w:rPr>
          <w:rFonts w:hint="eastAsia" w:ascii="宋体" w:hAnsi="宋体" w:eastAsia="宋体" w:cs="宋体"/>
          <w:b/>
          <w:bCs/>
          <w:color w:val="auto"/>
          <w:kern w:val="0"/>
          <w:sz w:val="24"/>
          <w:szCs w:val="24"/>
          <w:shd w:val="clear" w:color="auto" w:fill="auto"/>
          <w:lang w:val="en-US" w:eastAsia="zh-CN"/>
        </w:rPr>
        <w:t>（详见附件2《设备投入清单》）</w:t>
      </w:r>
      <w:r>
        <w:rPr>
          <w:rFonts w:hint="eastAsia" w:ascii="宋体" w:hAnsi="宋体" w:eastAsia="宋体" w:cs="宋体"/>
          <w:b w:val="0"/>
          <w:bCs w:val="0"/>
          <w:color w:val="auto"/>
          <w:kern w:val="0"/>
          <w:sz w:val="24"/>
          <w:szCs w:val="24"/>
          <w:shd w:val="clear" w:color="auto" w:fill="auto"/>
          <w:lang w:val="en-US" w:eastAsia="zh-CN"/>
        </w:rPr>
        <w:t>。投入设备的技术参数须完全响应招标要求，设备所有权归招标人，中标人应提供设备购置发票。</w:t>
      </w:r>
      <w:r>
        <w:rPr>
          <w:rFonts w:hint="eastAsia" w:ascii="宋体" w:hAnsi="宋体" w:eastAsia="宋体" w:cs="宋体"/>
          <w:b/>
          <w:bCs/>
          <w:color w:val="auto"/>
          <w:kern w:val="0"/>
          <w:sz w:val="24"/>
          <w:szCs w:val="24"/>
          <w:highlight w:val="none"/>
          <w:shd w:val="clear" w:color="auto" w:fill="auto"/>
          <w:lang w:val="en-US" w:eastAsia="zh-CN"/>
        </w:rPr>
        <w:t>中标人应在合同生效后三个月内完成设备投入、安装并通过招标人验收，</w:t>
      </w:r>
      <w:r>
        <w:rPr>
          <w:rFonts w:hint="eastAsia" w:ascii="宋体" w:hAnsi="宋体" w:eastAsia="宋体" w:cs="宋体"/>
          <w:b w:val="0"/>
          <w:bCs w:val="0"/>
          <w:color w:val="auto"/>
          <w:kern w:val="0"/>
          <w:sz w:val="24"/>
          <w:szCs w:val="24"/>
          <w:highlight w:val="none"/>
          <w:shd w:val="clear" w:color="auto" w:fill="auto"/>
          <w:lang w:val="en-US" w:eastAsia="zh-CN"/>
        </w:rPr>
        <w:t>投入计划须经招标人书面确认后方可执行。</w:t>
      </w:r>
    </w:p>
    <w:p w14:paraId="27C3CCAA">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Style w:val="7"/>
          <w:rFonts w:hint="default" w:ascii="Segoe UI" w:hAnsi="Segoe UI" w:eastAsia="Segoe UI" w:cs="Segoe UI"/>
          <w:b/>
          <w:bCs/>
          <w:i w:val="0"/>
          <w:iCs w:val="0"/>
          <w:caps w:val="0"/>
          <w:color w:val="0F1115"/>
          <w:spacing w:val="0"/>
          <w:sz w:val="24"/>
          <w:szCs w:val="24"/>
          <w:shd w:val="clear" w:color="auto" w:fill="FFFFFF"/>
          <w:lang w:val="en-US"/>
        </w:rPr>
      </w:pPr>
      <w:r>
        <w:rPr>
          <w:rFonts w:hint="eastAsia" w:ascii="宋体" w:hAnsi="宋体" w:eastAsia="宋体" w:cs="宋体"/>
          <w:b/>
          <w:bCs/>
          <w:color w:val="auto"/>
          <w:kern w:val="0"/>
          <w:sz w:val="24"/>
          <w:szCs w:val="24"/>
          <w:shd w:val="clear" w:color="auto" w:fill="auto"/>
          <w:lang w:val="en-US" w:eastAsia="zh-CN"/>
        </w:rPr>
        <w:t>2.维修保养：</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1）负责牵头医院及协同区域内检验科所有在用设备（含本次投入设备及原有设备）的维修、保养、定期校准、检定及性能验证，并承担由此产生的全部费用（包括配件、耗材、第三方服务费及设备年检、计量费用）。</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（2）提供 7×24小时应急服务。设备故障报修后，工程师应在2小时内响应，一般故障须在24小时内修复。因故无法及时修复时，须在48小时内提供经招标人同意的同品牌同档次或性能相当的备用设备，保障临床检验不间断。</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（3）因中标人原因导致维修或备用机提供不及时，招标人有权自行联系维修或采购，费用从中标人结算款中扣除。</w:t>
      </w:r>
    </w:p>
    <w:p w14:paraId="69859F8D">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000000"/>
          <w:kern w:val="0"/>
          <w:sz w:val="24"/>
          <w:szCs w:val="24"/>
          <w:highlight w:val="none"/>
          <w:shd w:val="clear" w:color="auto" w:fill="auto"/>
          <w:lang w:val="en-US" w:eastAsia="zh-CN"/>
        </w:rPr>
        <w:t>3.原合作方设备及院内采购未使用的设备处置：</w:t>
      </w:r>
      <w:r>
        <w:rPr>
          <w:rFonts w:hint="eastAsia" w:ascii="宋体" w:hAnsi="宋体" w:eastAsia="宋体" w:cs="宋体"/>
          <w:b/>
          <w:bCs/>
          <w:color w:val="000000"/>
          <w:kern w:val="0"/>
          <w:sz w:val="24"/>
          <w:szCs w:val="24"/>
          <w:highlight w:val="none"/>
          <w:shd w:val="clear" w:color="auto" w:fill="auto"/>
          <w:lang w:val="en-US" w:eastAsia="zh-CN"/>
        </w:rPr>
        <w:br w:type="textWrapping"/>
      </w:r>
      <w:r>
        <w:rPr>
          <w:rFonts w:hint="eastAsia" w:ascii="宋体" w:hAnsi="宋体" w:eastAsia="宋体" w:cs="宋体"/>
          <w:b w:val="0"/>
          <w:bCs w:val="0"/>
          <w:color w:val="000000"/>
          <w:kern w:val="0"/>
          <w:sz w:val="24"/>
          <w:szCs w:val="24"/>
          <w:highlight w:val="none"/>
          <w:shd w:val="clear" w:color="auto" w:fill="auto"/>
          <w:lang w:val="en-US" w:eastAsia="zh-CN"/>
        </w:rPr>
        <w:t>（1）对于医院原合作方遗留的设备残值，中标人应积极配合招标人协商处置。若协商不成，中标人须按招标人要求提供经招标人认可、功能不低于原设备的新设备进行替换，原设备由原合作方自行处置。</w:t>
      </w:r>
      <w:r>
        <w:rPr>
          <w:rFonts w:hint="eastAsia" w:ascii="宋体" w:hAnsi="宋体" w:eastAsia="宋体" w:cs="宋体"/>
          <w:b w:val="0"/>
          <w:bCs w:val="0"/>
          <w:color w:val="000000"/>
          <w:kern w:val="0"/>
          <w:sz w:val="24"/>
          <w:szCs w:val="24"/>
          <w:highlight w:val="none"/>
          <w:shd w:val="clear" w:color="auto" w:fill="auto"/>
          <w:lang w:val="en-US" w:eastAsia="zh-CN"/>
        </w:rPr>
        <w:br w:type="textWrapping"/>
      </w:r>
      <w:r>
        <w:rPr>
          <w:rFonts w:hint="eastAsia" w:ascii="宋体" w:hAnsi="宋体" w:eastAsia="宋体" w:cs="宋体"/>
          <w:b w:val="0"/>
          <w:bCs w:val="0"/>
          <w:color w:val="000000"/>
          <w:kern w:val="0"/>
          <w:sz w:val="24"/>
          <w:szCs w:val="24"/>
          <w:highlight w:val="none"/>
          <w:shd w:val="clear" w:color="auto" w:fill="auto"/>
          <w:lang w:val="en-US" w:eastAsia="zh-CN"/>
        </w:rPr>
        <w:t>（2）院内新购置未使用的设备（折后预估39万元），由本次中标人承担该设备费用。</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4.配套要求：</w:t>
      </w:r>
      <w:r>
        <w:rPr>
          <w:rFonts w:hint="eastAsia" w:ascii="宋体" w:hAnsi="宋体" w:eastAsia="宋体" w:cs="宋体"/>
          <w:b w:val="0"/>
          <w:bCs w:val="0"/>
          <w:color w:val="auto"/>
          <w:kern w:val="0"/>
          <w:sz w:val="24"/>
          <w:szCs w:val="24"/>
          <w:shd w:val="clear" w:color="auto" w:fill="auto"/>
          <w:lang w:val="en-US" w:eastAsia="zh-CN"/>
        </w:rPr>
        <w:t>所提供的设备及备用机须功能完备、证件齐全，如需与医院信息系统对接，所有接口、改造费用由中标人承担。</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（三）区域检验中心建设与协同运营</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1.中心建设：</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1）牵头医院提供符合规范的场地及基础条件；中标人负责实验室内部必要的工艺装修、环境优化（如洁净、通风、水电等）、互联网及硬件环境部署及后期院区搬迁，并承担相关费用。双方共同确保实验室符合生物安全、院感控制、消防及环保法规。</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2）本项目建设及运行过程中产生、采集、存储、处理的所有数据，包括但不限于患者基本信息、检验样本信息、检验结果数据、系统运行日志、管理数据等，其所有权、使用权、管理权均归属招标人。中标人仅可基于本项目建设、运维的约定目的使用项目数据，不得擅自处分或用于其他任何用途。</w:t>
      </w:r>
    </w:p>
    <w:p w14:paraId="5F7C7461">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2.区域医学检验信息系统建设：</w:t>
      </w:r>
    </w:p>
    <w:p w14:paraId="4926B10C">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（1）负责投资建设“</w:t>
      </w:r>
      <w:r>
        <w:rPr>
          <w:rFonts w:hint="default" w:ascii="宋体" w:hAnsi="宋体" w:eastAsia="宋体" w:cs="Times New Roman"/>
          <w:b w:val="0"/>
          <w:bCs w:val="0"/>
          <w:sz w:val="24"/>
          <w:szCs w:val="24"/>
          <w:lang w:val="en-US" w:eastAsia="zh-CN"/>
        </w:rPr>
        <w:t>区域医学检验信息</w:t>
      </w:r>
      <w:r>
        <w:rPr>
          <w:rFonts w:hint="eastAsia" w:ascii="宋体" w:hAnsi="宋体" w:cs="Times New Roman"/>
          <w:b w:val="0"/>
          <w:bCs w:val="0"/>
          <w:sz w:val="24"/>
          <w:szCs w:val="24"/>
          <w:lang w:val="en-US" w:eastAsia="zh-CN"/>
        </w:rPr>
        <w:t>系统</w:t>
      </w:r>
      <w:r>
        <w:rPr>
          <w:rFonts w:hint="eastAsia" w:ascii="宋体" w:hAnsi="宋体" w:eastAsia="宋体" w:cs="宋体"/>
          <w:b w:val="0"/>
          <w:bCs w:val="0"/>
          <w:color w:val="auto"/>
          <w:kern w:val="0"/>
          <w:sz w:val="24"/>
          <w:szCs w:val="24"/>
          <w:shd w:val="clear" w:color="auto" w:fill="auto"/>
          <w:lang w:val="en-US" w:eastAsia="zh-CN"/>
        </w:rPr>
        <w:t>”。该</w:t>
      </w:r>
      <w:r>
        <w:rPr>
          <w:rFonts w:hint="eastAsia" w:ascii="宋体" w:hAnsi="宋体" w:cs="宋体"/>
          <w:b w:val="0"/>
          <w:bCs w:val="0"/>
          <w:color w:val="auto"/>
          <w:kern w:val="0"/>
          <w:sz w:val="24"/>
          <w:szCs w:val="24"/>
          <w:shd w:val="clear" w:color="auto" w:fill="auto"/>
          <w:lang w:val="en-US" w:eastAsia="zh-CN"/>
        </w:rPr>
        <w:t>系统需</w:t>
      </w:r>
      <w:r>
        <w:rPr>
          <w:rFonts w:hint="eastAsia" w:ascii="宋体" w:hAnsi="宋体" w:eastAsia="宋体" w:cs="宋体"/>
          <w:b w:val="0"/>
          <w:bCs w:val="0"/>
          <w:color w:val="auto"/>
          <w:kern w:val="0"/>
          <w:sz w:val="24"/>
          <w:szCs w:val="24"/>
          <w:shd w:val="clear" w:color="auto" w:fill="auto"/>
          <w:lang w:val="en-US" w:eastAsia="zh-CN"/>
        </w:rPr>
        <w:t>实现“基层采样-物流转运-中心检测-报告实时查阅”的全流程闭环管理</w:t>
      </w:r>
      <w:r>
        <w:rPr>
          <w:rFonts w:hint="eastAsia" w:ascii="宋体" w:hAnsi="宋体" w:cs="宋体"/>
          <w:b w:val="0"/>
          <w:bCs w:val="0"/>
          <w:color w:val="auto"/>
          <w:kern w:val="0"/>
          <w:sz w:val="24"/>
          <w:szCs w:val="24"/>
          <w:shd w:val="clear" w:color="auto" w:fill="auto"/>
          <w:lang w:val="en-US" w:eastAsia="zh-CN"/>
        </w:rPr>
        <w:t>，必须</w:t>
      </w:r>
      <w:r>
        <w:rPr>
          <w:rFonts w:hint="eastAsia" w:ascii="宋体" w:hAnsi="宋体" w:eastAsia="宋体" w:cs="宋体"/>
          <w:b w:val="0"/>
          <w:bCs w:val="0"/>
          <w:color w:val="auto"/>
          <w:kern w:val="0"/>
          <w:sz w:val="24"/>
          <w:szCs w:val="24"/>
          <w:shd w:val="clear" w:color="auto" w:fill="auto"/>
          <w:lang w:val="en-US" w:eastAsia="zh-CN"/>
        </w:rPr>
        <w:t>与牵头医院</w:t>
      </w:r>
      <w:r>
        <w:rPr>
          <w:rFonts w:hint="default" w:ascii="宋体" w:hAnsi="宋体" w:eastAsia="宋体" w:cs="Times New Roman"/>
          <w:b w:val="0"/>
          <w:bCs w:val="0"/>
          <w:sz w:val="24"/>
          <w:szCs w:val="24"/>
          <w:lang w:val="en-US" w:eastAsia="zh-CN"/>
        </w:rPr>
        <w:t>及区域内各成员单位</w:t>
      </w:r>
      <w:r>
        <w:rPr>
          <w:rFonts w:hint="eastAsia" w:ascii="宋体" w:hAnsi="宋体" w:eastAsia="宋体" w:cs="宋体"/>
          <w:b w:val="0"/>
          <w:bCs w:val="0"/>
          <w:color w:val="auto"/>
          <w:kern w:val="0"/>
          <w:sz w:val="24"/>
          <w:szCs w:val="24"/>
          <w:shd w:val="clear" w:color="auto" w:fill="auto"/>
          <w:lang w:val="en-US" w:eastAsia="zh-CN"/>
        </w:rPr>
        <w:t>HIS、电子病历（EMR）</w:t>
      </w:r>
      <w:r>
        <w:rPr>
          <w:rFonts w:hint="eastAsia" w:ascii="宋体" w:hAnsi="宋体" w:cs="宋体"/>
          <w:b w:val="0"/>
          <w:bCs w:val="0"/>
          <w:color w:val="auto"/>
          <w:kern w:val="0"/>
          <w:sz w:val="24"/>
          <w:szCs w:val="24"/>
          <w:shd w:val="clear" w:color="auto" w:fill="auto"/>
          <w:lang w:val="en-US" w:eastAsia="zh-CN"/>
        </w:rPr>
        <w:t>等</w:t>
      </w:r>
      <w:r>
        <w:rPr>
          <w:rFonts w:hint="eastAsia" w:ascii="宋体" w:hAnsi="宋体" w:eastAsia="宋体" w:cs="宋体"/>
          <w:b w:val="0"/>
          <w:bCs w:val="0"/>
          <w:color w:val="auto"/>
          <w:kern w:val="0"/>
          <w:sz w:val="24"/>
          <w:szCs w:val="24"/>
          <w:shd w:val="clear" w:color="auto" w:fill="auto"/>
          <w:lang w:val="en-US" w:eastAsia="zh-CN"/>
        </w:rPr>
        <w:t>现有信息系统的无缝对接与数据交互。</w:t>
      </w:r>
      <w:r>
        <w:rPr>
          <w:rStyle w:val="7"/>
          <w:rFonts w:ascii="Segoe UI" w:hAnsi="Segoe UI" w:eastAsia="Segoe UI" w:cs="Segoe UI"/>
          <w:b/>
          <w:bCs/>
          <w:i w:val="0"/>
          <w:iCs w:val="0"/>
          <w:caps w:val="0"/>
          <w:color w:val="0F1115"/>
          <w:spacing w:val="0"/>
          <w:sz w:val="24"/>
          <w:szCs w:val="24"/>
          <w:highlight w:val="none"/>
          <w:shd w:val="clear" w:color="auto" w:fill="FFFFFF"/>
        </w:rPr>
        <w:t>中标人应在合同生效后</w:t>
      </w:r>
      <w:r>
        <w:rPr>
          <w:rStyle w:val="7"/>
          <w:rFonts w:hint="eastAsia" w:ascii="Segoe UI" w:hAnsi="Segoe UI" w:eastAsia="宋体" w:cs="Segoe UI"/>
          <w:b/>
          <w:bCs/>
          <w:i w:val="0"/>
          <w:iCs w:val="0"/>
          <w:caps w:val="0"/>
          <w:color w:val="0F1115"/>
          <w:spacing w:val="0"/>
          <w:sz w:val="24"/>
          <w:szCs w:val="24"/>
          <w:highlight w:val="none"/>
          <w:shd w:val="clear" w:color="auto" w:fill="FFFFFF"/>
          <w:lang w:val="en-US" w:eastAsia="zh-CN"/>
        </w:rPr>
        <w:t>三</w:t>
      </w:r>
      <w:r>
        <w:rPr>
          <w:rStyle w:val="7"/>
          <w:rFonts w:ascii="Segoe UI" w:hAnsi="Segoe UI" w:eastAsia="Segoe UI" w:cs="Segoe UI"/>
          <w:b/>
          <w:bCs/>
          <w:i w:val="0"/>
          <w:iCs w:val="0"/>
          <w:caps w:val="0"/>
          <w:color w:val="0F1115"/>
          <w:spacing w:val="0"/>
          <w:sz w:val="24"/>
          <w:szCs w:val="24"/>
          <w:highlight w:val="none"/>
          <w:shd w:val="clear" w:color="auto" w:fill="FFFFFF"/>
        </w:rPr>
        <w:t>个月内完成区域医学检验信息系统的建设、部署并通过招标人验收。</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（2）平台核心功能须包括：</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①试剂全流程管理：唯一标识、扫码出入库、效期预警、库存管理、采购单生成与审核。</w:t>
      </w:r>
    </w:p>
    <w:p w14:paraId="65A47071">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②标本全流程管理：实现从申请、采集、转运、接收、检测到报告发布的全程状态监控与TAT（周转时间）分析</w:t>
      </w:r>
      <w:r>
        <w:rPr>
          <w:rFonts w:hint="eastAsia" w:ascii="宋体" w:hAnsi="宋体" w:cs="宋体"/>
          <w:b w:val="0"/>
          <w:bCs w:val="0"/>
          <w:color w:val="auto"/>
          <w:kern w:val="0"/>
          <w:sz w:val="24"/>
          <w:szCs w:val="24"/>
          <w:shd w:val="clear" w:color="auto" w:fill="auto"/>
          <w:lang w:val="en-US" w:eastAsia="zh-CN"/>
        </w:rPr>
        <w:t>，包含</w:t>
      </w:r>
      <w:r>
        <w:rPr>
          <w:rFonts w:hint="eastAsia" w:ascii="宋体" w:hAnsi="宋体" w:eastAsia="宋体" w:cs="宋体"/>
          <w:b w:val="0"/>
          <w:bCs w:val="0"/>
          <w:color w:val="auto"/>
          <w:kern w:val="0"/>
          <w:sz w:val="24"/>
          <w:szCs w:val="24"/>
          <w:shd w:val="clear" w:color="auto" w:fill="auto"/>
          <w:lang w:val="en-US" w:eastAsia="zh-CN"/>
        </w:rPr>
        <w:t>检验申请管理、样本核收、报告回传、报告查询、报告打印、质控管理、统计查询、冷链监控等。</w:t>
      </w:r>
    </w:p>
    <w:p w14:paraId="6D99B9CD">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③区域质控管理：建立统一的区域室内质控数据平台，支持实时监控、失控提醒、多规则分析、月度/年度统计，并能与省、市临检中心平台数据共享</w:t>
      </w:r>
      <w:r>
        <w:rPr>
          <w:rFonts w:hint="eastAsia" w:ascii="宋体" w:hAnsi="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val="en-US" w:eastAsia="zh-CN"/>
        </w:rPr>
        <w:t>同时根据医共体监管需求，实时提供相应的统计指标及报表数据。</w:t>
      </w:r>
    </w:p>
    <w:p w14:paraId="58806B9F">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④大屏数据监控：在关键区域部署数据看板，实时展示试剂库存、标本TAT、质控状态、危急值、设备状态等关键运营指标。</w:t>
      </w:r>
    </w:p>
    <w:p w14:paraId="21CE0F13">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⑤个性化需求响应：根据招标人实际管理需求，提供个性化的功能模块设计与开发。</w:t>
      </w:r>
    </w:p>
    <w:p w14:paraId="2F4E57C5">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⑥互联互通：实现区域内各医疗机构检验数据的互联、互通、互享、互认。</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3.区域标本物流体系：</w:t>
      </w:r>
      <w:r>
        <w:rPr>
          <w:rFonts w:hint="eastAsia" w:ascii="宋体" w:hAnsi="宋体" w:eastAsia="宋体" w:cs="宋体"/>
          <w:b w:val="0"/>
          <w:bCs w:val="0"/>
          <w:color w:val="auto"/>
          <w:kern w:val="0"/>
          <w:sz w:val="24"/>
          <w:szCs w:val="24"/>
          <w:shd w:val="clear" w:color="auto" w:fill="auto"/>
          <w:lang w:val="en-US" w:eastAsia="zh-CN"/>
        </w:rPr>
        <w:t>建立规范、高效、安全的区域标本冷链物流系统。配备足量专业冷链运输车辆（至少2辆），负责牵头医院院内及各成员单位间检验标本的定时定点收取、规范转运与报告反馈，全过程需符合生物安全及《医疗机构临床实验室管理办法》要求。</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4.运营与驻场服务：</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（1）派驻包括项目负责人、运营管理人员、设备维保工程师、物流专员等在内的专职驻场团队。</w:t>
      </w:r>
    </w:p>
    <w:p w14:paraId="11CE381C">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（2）项目负责人需具备丰富的医学检验领域管理经验；关键岗位人员需具备医学或相关专业背景，并持证上岗。</w:t>
      </w:r>
    </w:p>
    <w:p w14:paraId="63CC0702">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（3）驻场人员须接受招标人的统一管理与定期考核，不合格者须按招标人要求及时更换。</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（四）学科建设与能力提升</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1.质量管理体系建设：</w:t>
      </w:r>
      <w:r>
        <w:rPr>
          <w:rFonts w:hint="eastAsia" w:ascii="宋体" w:hAnsi="宋体" w:eastAsia="宋体" w:cs="宋体"/>
          <w:b w:val="0"/>
          <w:bCs w:val="0"/>
          <w:color w:val="auto"/>
          <w:kern w:val="0"/>
          <w:sz w:val="24"/>
          <w:szCs w:val="24"/>
          <w:shd w:val="clear" w:color="auto" w:fill="auto"/>
          <w:lang w:val="en-US" w:eastAsia="zh-CN"/>
        </w:rPr>
        <w:t>协助并全力推动牵头医院检验科建立并有效运行符合</w:t>
      </w:r>
      <w:r>
        <w:rPr>
          <w:rFonts w:hint="eastAsia" w:ascii="宋体" w:hAnsi="宋体" w:eastAsia="宋体" w:cs="宋体"/>
          <w:b/>
          <w:bCs/>
          <w:color w:val="auto"/>
          <w:kern w:val="0"/>
          <w:sz w:val="24"/>
          <w:szCs w:val="24"/>
          <w:shd w:val="clear" w:color="auto" w:fill="auto"/>
          <w:lang w:val="en-US" w:eastAsia="zh-CN"/>
        </w:rPr>
        <w:t>ISO15189《医学实验室质量和能力认可准则》</w:t>
      </w:r>
      <w:r>
        <w:rPr>
          <w:rFonts w:hint="eastAsia" w:ascii="宋体" w:hAnsi="宋体" w:eastAsia="宋体" w:cs="宋体"/>
          <w:b w:val="0"/>
          <w:bCs w:val="0"/>
          <w:color w:val="auto"/>
          <w:kern w:val="0"/>
          <w:sz w:val="24"/>
          <w:szCs w:val="24"/>
          <w:shd w:val="clear" w:color="auto" w:fill="auto"/>
          <w:lang w:val="en-US" w:eastAsia="zh-CN"/>
        </w:rPr>
        <w:t xml:space="preserve"> 的质量管理体系及</w:t>
      </w:r>
      <w:r>
        <w:rPr>
          <w:rFonts w:hint="eastAsia" w:ascii="宋体" w:hAnsi="宋体" w:eastAsia="宋体" w:cs="宋体"/>
          <w:b/>
          <w:bCs/>
          <w:color w:val="auto"/>
          <w:kern w:val="0"/>
          <w:sz w:val="24"/>
          <w:szCs w:val="24"/>
          <w:shd w:val="clear" w:color="auto" w:fill="auto"/>
          <w:lang w:val="en-US" w:eastAsia="zh-CN"/>
        </w:rPr>
        <w:t>三级医院学科建设要求</w:t>
      </w:r>
      <w:r>
        <w:rPr>
          <w:rFonts w:hint="eastAsia" w:ascii="宋体" w:hAnsi="宋体" w:eastAsia="宋体" w:cs="宋体"/>
          <w:b w:val="0"/>
          <w:bCs w:val="0"/>
          <w:color w:val="auto"/>
          <w:kern w:val="0"/>
          <w:sz w:val="24"/>
          <w:szCs w:val="24"/>
          <w:shd w:val="clear" w:color="auto" w:fill="auto"/>
          <w:lang w:val="en-US" w:eastAsia="zh-CN"/>
        </w:rPr>
        <w:t>。需提供详细的实施规划、时间表、全员培训方案及持续改进支持，为实验室认可奠定坚实基础。</w:t>
      </w:r>
    </w:p>
    <w:p w14:paraId="01786E06">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2.人员培训与教学：</w:t>
      </w:r>
      <w:r>
        <w:rPr>
          <w:rFonts w:hint="eastAsia" w:ascii="宋体" w:hAnsi="宋体" w:eastAsia="宋体" w:cs="宋体"/>
          <w:b w:val="0"/>
          <w:bCs w:val="0"/>
          <w:color w:val="auto"/>
          <w:kern w:val="0"/>
          <w:sz w:val="24"/>
          <w:szCs w:val="24"/>
          <w:shd w:val="clear" w:color="auto" w:fill="auto"/>
          <w:lang w:val="en-US" w:eastAsia="zh-CN"/>
        </w:rPr>
        <w:t>每年为检验科提供不少于6次的内部专业技术、质量管理或新项目培训。</w:t>
      </w:r>
    </w:p>
    <w:p w14:paraId="6A3FB292">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每年至少协助或合作举办1次市、区级学术会议或质量控制会议。</w:t>
      </w:r>
    </w:p>
    <w:p w14:paraId="57D0B1C6">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3.科研与新技术支持：</w:t>
      </w:r>
      <w:r>
        <w:rPr>
          <w:rFonts w:hint="eastAsia" w:ascii="宋体" w:hAnsi="宋体" w:eastAsia="宋体" w:cs="宋体"/>
          <w:b w:val="0"/>
          <w:bCs w:val="0"/>
          <w:color w:val="auto"/>
          <w:kern w:val="0"/>
          <w:sz w:val="24"/>
          <w:szCs w:val="24"/>
          <w:shd w:val="clear" w:color="auto" w:fill="auto"/>
          <w:lang w:val="en-US" w:eastAsia="zh-CN"/>
        </w:rPr>
        <w:t>为科室开展新技术、新项目提供必要的技术平台、专家资源与经费支持，服务期内协助区检中心申报至少一项省级或市级两项科研项目，提升科研能力。</w:t>
      </w:r>
    </w:p>
    <w:p w14:paraId="23225558">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4.服务拓展保障：</w:t>
      </w:r>
      <w:r>
        <w:rPr>
          <w:rFonts w:hint="eastAsia" w:ascii="宋体" w:hAnsi="宋体" w:eastAsia="宋体" w:cs="宋体"/>
          <w:b w:val="0"/>
          <w:bCs w:val="0"/>
          <w:color w:val="auto"/>
          <w:kern w:val="0"/>
          <w:sz w:val="24"/>
          <w:szCs w:val="24"/>
          <w:shd w:val="clear" w:color="auto" w:fill="auto"/>
          <w:lang w:val="en-US" w:eastAsia="zh-CN"/>
        </w:rPr>
        <w:t>全力配合医院临床发展需求，支持新增检验项目的配套设备、试剂及技术服务，确保顺利开展。</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（五）应急与综合保障</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1.应急预案：</w:t>
      </w:r>
      <w:r>
        <w:rPr>
          <w:rFonts w:hint="eastAsia" w:ascii="宋体" w:hAnsi="宋体" w:eastAsia="宋体" w:cs="宋体"/>
          <w:b w:val="0"/>
          <w:bCs w:val="0"/>
          <w:color w:val="auto"/>
          <w:kern w:val="0"/>
          <w:sz w:val="24"/>
          <w:szCs w:val="24"/>
          <w:shd w:val="clear" w:color="auto" w:fill="auto"/>
          <w:lang w:val="en-US" w:eastAsia="zh-CN"/>
        </w:rPr>
        <w:t>制定完备的应急预案，应对试剂供应链中断、设备重大故障、信息系统瘫痪、公共卫生事件等突发状况，确保检验服务连续性。</w:t>
      </w:r>
    </w:p>
    <w:p w14:paraId="3D462CC4">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2.不间断服务：</w:t>
      </w:r>
      <w:r>
        <w:rPr>
          <w:rFonts w:hint="eastAsia" w:ascii="宋体" w:hAnsi="宋体" w:eastAsia="宋体" w:cs="宋体"/>
          <w:b w:val="0"/>
          <w:bCs w:val="0"/>
          <w:color w:val="auto"/>
          <w:kern w:val="0"/>
          <w:sz w:val="24"/>
          <w:szCs w:val="24"/>
          <w:shd w:val="clear" w:color="auto" w:fill="auto"/>
          <w:lang w:val="en-US" w:eastAsia="zh-CN"/>
        </w:rPr>
        <w:t>保证现有所有检验项目未经医院批准不得擅自停止或缩减服务范围。</w:t>
      </w:r>
    </w:p>
    <w:p w14:paraId="03A8D085">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vertAlign w:val="baseline"/>
          <w:lang w:val="en-US" w:eastAsia="zh-CN"/>
        </w:rPr>
      </w:pPr>
      <w:r>
        <w:rPr>
          <w:rFonts w:hint="eastAsia" w:ascii="宋体" w:hAnsi="宋体" w:eastAsia="宋体" w:cs="宋体"/>
          <w:b/>
          <w:bCs/>
          <w:color w:val="auto"/>
          <w:kern w:val="0"/>
          <w:sz w:val="24"/>
          <w:szCs w:val="24"/>
          <w:shd w:val="clear" w:color="auto" w:fill="auto"/>
          <w:lang w:val="en-US" w:eastAsia="zh-CN"/>
        </w:rPr>
        <w:t>3.责任界定：</w:t>
      </w:r>
      <w:r>
        <w:rPr>
          <w:rFonts w:hint="eastAsia" w:ascii="宋体" w:hAnsi="宋体" w:eastAsia="宋体" w:cs="宋体"/>
          <w:b w:val="0"/>
          <w:bCs w:val="0"/>
          <w:color w:val="auto"/>
          <w:kern w:val="0"/>
          <w:sz w:val="24"/>
          <w:szCs w:val="24"/>
          <w:shd w:val="clear" w:color="auto" w:fill="auto"/>
          <w:lang w:val="en-US" w:eastAsia="zh-CN"/>
        </w:rPr>
        <w:t>服务期间，因中标人提供的设备、试剂、耗材质量或服务过错导致的医疗纠纷、质量事故或招标人经济损失，由中标人承担全部赔偿责任。</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四、报价、结算与考核机制</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（一）报价构成与最高限价</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投标人须就以下内容进行分项报价，所报价格应涵盖履行对应服务的全部成本、税费及合理利润，包括但不限于：所有试剂耗材成本、设备投入（购置或折旧）、物流配送、设备安装调试与终身维保、驻场人员薪酬、信息系统建设与维护、培训、质控品、室间质评、科研支持及其他一切伴随服务产生的费用。</w:t>
      </w:r>
    </w:p>
    <w:tbl>
      <w:tblPr>
        <w:tblStyle w:val="5"/>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4074"/>
        <w:gridCol w:w="5010"/>
      </w:tblGrid>
      <w:tr w14:paraId="39B3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noWrap w:val="0"/>
            <w:vAlign w:val="center"/>
          </w:tcPr>
          <w:p w14:paraId="011CBFE5">
            <w:pPr>
              <w:pStyle w:val="3"/>
              <w:spacing w:line="36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序号</w:t>
            </w:r>
          </w:p>
        </w:tc>
        <w:tc>
          <w:tcPr>
            <w:tcW w:w="4074" w:type="dxa"/>
            <w:noWrap w:val="0"/>
            <w:vAlign w:val="center"/>
          </w:tcPr>
          <w:p w14:paraId="693EB920">
            <w:pPr>
              <w:pStyle w:val="3"/>
              <w:spacing w:line="360" w:lineRule="auto"/>
              <w:jc w:val="center"/>
              <w:rPr>
                <w:rFonts w:hint="eastAsia" w:ascii="宋体" w:hAnsi="宋体" w:eastAsia="宋体" w:cs="宋体"/>
                <w:b w:val="0"/>
                <w:bCs w:val="0"/>
                <w:sz w:val="24"/>
                <w:szCs w:val="24"/>
              </w:rPr>
            </w:pPr>
            <w:r>
              <w:rPr>
                <w:rFonts w:hint="eastAsia" w:ascii="宋体" w:hAnsi="宋体" w:eastAsia="宋体" w:cs="宋体"/>
                <w:i w:val="0"/>
                <w:iCs w:val="0"/>
                <w:caps w:val="0"/>
                <w:color w:val="0F1115"/>
                <w:spacing w:val="0"/>
                <w:sz w:val="24"/>
                <w:szCs w:val="24"/>
                <w:shd w:val="clear" w:color="auto" w:fill="FFFFFF"/>
              </w:rPr>
              <w:t>报价项目</w:t>
            </w:r>
          </w:p>
        </w:tc>
        <w:tc>
          <w:tcPr>
            <w:tcW w:w="5010" w:type="dxa"/>
            <w:noWrap w:val="0"/>
            <w:vAlign w:val="center"/>
          </w:tcPr>
          <w:p w14:paraId="38EFA773">
            <w:pPr>
              <w:pStyle w:val="3"/>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最高限价（费率）</w:t>
            </w:r>
          </w:p>
        </w:tc>
      </w:tr>
      <w:tr w14:paraId="4E5E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noWrap w:val="0"/>
            <w:vAlign w:val="center"/>
          </w:tcPr>
          <w:p w14:paraId="033CB35C">
            <w:pPr>
              <w:widowControl/>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4074" w:type="dxa"/>
            <w:noWrap w:val="0"/>
            <w:vAlign w:val="center"/>
          </w:tcPr>
          <w:p w14:paraId="2E5DA08D">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平台检验集采类试剂耗材</w:t>
            </w:r>
          </w:p>
        </w:tc>
        <w:tc>
          <w:tcPr>
            <w:tcW w:w="5010" w:type="dxa"/>
            <w:noWrap w:val="0"/>
            <w:vAlign w:val="center"/>
          </w:tcPr>
          <w:p w14:paraId="74BDCC47">
            <w:pPr>
              <w:widowControl/>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执行安徽省医药集中采购平台价格，不参与报价。</w:t>
            </w:r>
          </w:p>
        </w:tc>
      </w:tr>
      <w:tr w14:paraId="51AA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noWrap w:val="0"/>
            <w:vAlign w:val="center"/>
          </w:tcPr>
          <w:p w14:paraId="6E75B9E0">
            <w:pPr>
              <w:widowControl/>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4074" w:type="dxa"/>
            <w:noWrap w:val="0"/>
            <w:vAlign w:val="center"/>
          </w:tcPr>
          <w:p w14:paraId="479684B6">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highlight w:val="none"/>
                <w:lang w:eastAsia="zh-CN"/>
              </w:rPr>
              <w:t>检验非集采类试剂耗材</w:t>
            </w:r>
          </w:p>
        </w:tc>
        <w:tc>
          <w:tcPr>
            <w:tcW w:w="5010" w:type="dxa"/>
            <w:noWrap w:val="0"/>
            <w:vAlign w:val="center"/>
          </w:tcPr>
          <w:p w14:paraId="69838BF7">
            <w:pPr>
              <w:widowControl/>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项目收费的25%</w:t>
            </w:r>
          </w:p>
        </w:tc>
      </w:tr>
      <w:tr w14:paraId="557C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noWrap w:val="0"/>
            <w:vAlign w:val="center"/>
          </w:tcPr>
          <w:p w14:paraId="23FA0419">
            <w:pPr>
              <w:widowControl/>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4074" w:type="dxa"/>
            <w:noWrap w:val="0"/>
            <w:vAlign w:val="center"/>
          </w:tcPr>
          <w:p w14:paraId="708181A9">
            <w:pPr>
              <w:widowControl/>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外送检验项目服务</w:t>
            </w:r>
            <w:r>
              <w:rPr>
                <w:rFonts w:hint="eastAsia" w:ascii="宋体" w:hAnsi="宋体" w:eastAsia="宋体" w:cs="宋体"/>
                <w:b w:val="0"/>
                <w:bCs w:val="0"/>
                <w:sz w:val="24"/>
                <w:szCs w:val="24"/>
                <w:lang w:val="en-US" w:eastAsia="zh-CN"/>
              </w:rPr>
              <w:t>费</w:t>
            </w:r>
          </w:p>
        </w:tc>
        <w:tc>
          <w:tcPr>
            <w:tcW w:w="5010" w:type="dxa"/>
            <w:noWrap w:val="0"/>
            <w:vAlign w:val="center"/>
          </w:tcPr>
          <w:p w14:paraId="433FDB4F">
            <w:pPr>
              <w:widowControl/>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项目收费的25%</w:t>
            </w:r>
          </w:p>
        </w:tc>
      </w:tr>
      <w:tr w14:paraId="5C70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noWrap w:val="0"/>
            <w:vAlign w:val="center"/>
          </w:tcPr>
          <w:p w14:paraId="1BD16FAD">
            <w:pPr>
              <w:widowControl/>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4074" w:type="dxa"/>
            <w:noWrap w:val="0"/>
            <w:vAlign w:val="center"/>
          </w:tcPr>
          <w:p w14:paraId="07DD65D1">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专项检测试剂费（指串联质谱、二代测序等）</w:t>
            </w:r>
          </w:p>
        </w:tc>
        <w:tc>
          <w:tcPr>
            <w:tcW w:w="5010" w:type="dxa"/>
            <w:noWrap w:val="0"/>
            <w:vAlign w:val="center"/>
          </w:tcPr>
          <w:p w14:paraId="5A814BE0">
            <w:pPr>
              <w:widowControl/>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项目收费的40%</w:t>
            </w:r>
          </w:p>
        </w:tc>
      </w:tr>
      <w:tr w14:paraId="130A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noWrap w:val="0"/>
            <w:vAlign w:val="center"/>
          </w:tcPr>
          <w:p w14:paraId="7E381F6A">
            <w:pPr>
              <w:widowControl/>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4074" w:type="dxa"/>
            <w:noWrap w:val="0"/>
            <w:vAlign w:val="center"/>
          </w:tcPr>
          <w:p w14:paraId="78A8AF01">
            <w:pPr>
              <w:widowControl/>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综合运营服务目标耗占比</w:t>
            </w:r>
          </w:p>
        </w:tc>
        <w:tc>
          <w:tcPr>
            <w:tcW w:w="5010" w:type="dxa"/>
            <w:noWrap w:val="0"/>
            <w:vAlign w:val="center"/>
          </w:tcPr>
          <w:p w14:paraId="57061203">
            <w:pPr>
              <w:widowControl/>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报年度目标耗占比，</w:t>
            </w:r>
            <w:r>
              <w:rPr>
                <w:rFonts w:hint="eastAsia" w:ascii="宋体" w:hAnsi="宋体" w:eastAsia="宋体" w:cs="宋体"/>
                <w:i w:val="0"/>
                <w:iCs w:val="0"/>
                <w:caps w:val="0"/>
                <w:color w:val="0F1115"/>
                <w:spacing w:val="0"/>
                <w:sz w:val="24"/>
                <w:szCs w:val="24"/>
                <w:shd w:val="clear" w:color="auto" w:fill="FFFFFF"/>
              </w:rPr>
              <w:t>最高不得超过25%</w:t>
            </w:r>
          </w:p>
        </w:tc>
      </w:tr>
    </w:tbl>
    <w:p w14:paraId="06521220">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Segoe UI" w:hAnsi="Segoe UI" w:eastAsia="宋体" w:cs="Segoe UI"/>
          <w:b/>
          <w:bCs/>
          <w:i w:val="0"/>
          <w:iCs w:val="0"/>
          <w:caps w:val="0"/>
          <w:color w:val="0F1115"/>
          <w:spacing w:val="0"/>
          <w:sz w:val="24"/>
          <w:szCs w:val="24"/>
          <w:shd w:val="clear" w:color="auto" w:fill="FFFFFF"/>
          <w:lang w:val="en-US" w:eastAsia="zh-CN"/>
        </w:rPr>
      </w:pPr>
      <w:r>
        <w:rPr>
          <w:rStyle w:val="7"/>
          <w:rFonts w:ascii="Segoe UI" w:hAnsi="Segoe UI" w:eastAsia="Segoe UI" w:cs="Segoe UI"/>
          <w:b/>
          <w:bCs/>
          <w:i w:val="0"/>
          <w:iCs w:val="0"/>
          <w:caps w:val="0"/>
          <w:color w:val="0F1115"/>
          <w:spacing w:val="0"/>
          <w:sz w:val="24"/>
          <w:szCs w:val="24"/>
          <w:shd w:val="clear" w:color="auto" w:fill="FFFFFF"/>
        </w:rPr>
        <w:t>特别说明</w:t>
      </w:r>
      <w:r>
        <w:rPr>
          <w:rFonts w:hint="default" w:ascii="Segoe UI" w:hAnsi="Segoe UI" w:eastAsia="Segoe UI" w:cs="Segoe UI"/>
          <w:i w:val="0"/>
          <w:iCs w:val="0"/>
          <w:caps w:val="0"/>
          <w:color w:val="0F1115"/>
          <w:spacing w:val="0"/>
          <w:sz w:val="24"/>
          <w:szCs w:val="24"/>
          <w:shd w:val="clear" w:color="auto" w:fill="FFFFFF"/>
        </w:rPr>
        <w:t>：</w:t>
      </w:r>
      <w:r>
        <w:rPr>
          <w:rFonts w:hint="default" w:ascii="Segoe UI" w:hAnsi="Segoe UI" w:eastAsia="Segoe UI" w:cs="Segoe UI"/>
          <w:i w:val="0"/>
          <w:iCs w:val="0"/>
          <w:caps w:val="0"/>
          <w:color w:val="0F1115"/>
          <w:spacing w:val="0"/>
          <w:sz w:val="24"/>
          <w:szCs w:val="24"/>
          <w:shd w:val="clear" w:color="auto" w:fill="FFFFFF"/>
        </w:rPr>
        <w:br w:type="textWrapping"/>
      </w:r>
      <w:r>
        <w:rPr>
          <w:rFonts w:hint="eastAsia" w:ascii="宋体" w:hAnsi="宋体" w:eastAsia="宋体" w:cs="宋体"/>
          <w:b w:val="0"/>
          <w:bCs w:val="0"/>
          <w:color w:val="auto"/>
          <w:kern w:val="0"/>
          <w:sz w:val="24"/>
          <w:szCs w:val="24"/>
          <w:shd w:val="clear" w:color="auto" w:fill="auto"/>
          <w:lang w:val="en-US" w:eastAsia="zh-CN"/>
        </w:rPr>
        <w:t>（1）</w:t>
      </w:r>
      <w:r>
        <w:rPr>
          <w:rFonts w:hint="default" w:ascii="宋体" w:hAnsi="宋体" w:eastAsia="宋体" w:cs="宋体"/>
          <w:b w:val="0"/>
          <w:bCs w:val="0"/>
          <w:color w:val="auto"/>
          <w:kern w:val="0"/>
          <w:sz w:val="24"/>
          <w:szCs w:val="24"/>
          <w:shd w:val="clear" w:color="auto" w:fill="auto"/>
          <w:lang w:val="en-US" w:eastAsia="zh-CN"/>
        </w:rPr>
        <w:t>上述第5项“综合运营服务目标耗占比”是控制常规检验业务整体成本的核心指标与支付上限</w:t>
      </w:r>
      <w:r>
        <w:rPr>
          <w:rFonts w:hint="eastAsia" w:ascii="宋体" w:hAnsi="宋体" w:eastAsia="宋体" w:cs="宋体"/>
          <w:b w:val="0"/>
          <w:bCs w:val="0"/>
          <w:color w:val="auto"/>
          <w:kern w:val="0"/>
          <w:sz w:val="24"/>
          <w:szCs w:val="24"/>
          <w:shd w:val="clear" w:color="auto" w:fill="auto"/>
          <w:lang w:val="en-US" w:eastAsia="zh-CN"/>
        </w:rPr>
        <w:t>。该目标耗占比涵盖第1、2、3项所对应的试剂、耗材及服务成本，以及为保障服务运营所投入的设备、人力、信息化等其他所有成本（注：不包含区域内健康管理中心及公共卫生服务检验类项目）。</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（2）第4项为独立结算项，不参与第5项耗占比的计算与考核。</w:t>
      </w:r>
      <w:r>
        <w:rPr>
          <w:rFonts w:hint="default"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（3）关于区域内健康管理中心及公共卫生服务检验类项目结算：该类项目实际工作量×收费标准×第2项中标费率×75%。</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Segoe UI" w:hAnsi="Segoe UI" w:eastAsia="宋体" w:cs="Segoe UI"/>
          <w:b/>
          <w:bCs/>
          <w:i w:val="0"/>
          <w:iCs w:val="0"/>
          <w:caps w:val="0"/>
          <w:color w:val="0F1115"/>
          <w:spacing w:val="0"/>
          <w:sz w:val="24"/>
          <w:szCs w:val="24"/>
          <w:shd w:val="clear" w:color="auto" w:fill="FFFFFF"/>
          <w:lang w:eastAsia="zh-CN"/>
        </w:rPr>
        <w:t>（</w:t>
      </w:r>
      <w:r>
        <w:rPr>
          <w:rFonts w:hint="eastAsia" w:ascii="Segoe UI" w:hAnsi="Segoe UI" w:eastAsia="宋体" w:cs="Segoe UI"/>
          <w:b/>
          <w:bCs/>
          <w:i w:val="0"/>
          <w:iCs w:val="0"/>
          <w:caps w:val="0"/>
          <w:color w:val="0F1115"/>
          <w:spacing w:val="0"/>
          <w:sz w:val="24"/>
          <w:szCs w:val="24"/>
          <w:shd w:val="clear" w:color="auto" w:fill="FFFFFF"/>
          <w:lang w:val="en-US" w:eastAsia="zh-CN"/>
        </w:rPr>
        <w:t>二）结算方式</w:t>
      </w:r>
    </w:p>
    <w:p w14:paraId="535A34FA">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1. 按半年周期预结算</w:t>
      </w:r>
    </w:p>
    <w:p w14:paraId="6F9B8349">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每半年按以下方式对已发生的费用进行预结算：</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 xml:space="preserve">（1）集采试剂费用 </w:t>
      </w:r>
      <w:r>
        <w:rPr>
          <w:rFonts w:hint="eastAsia" w:ascii="宋体" w:hAnsi="宋体" w:eastAsia="宋体" w:cs="宋体"/>
          <w:b w:val="0"/>
          <w:bCs w:val="0"/>
          <w:color w:val="auto"/>
          <w:kern w:val="0"/>
          <w:sz w:val="24"/>
          <w:szCs w:val="24"/>
          <w:shd w:val="clear" w:color="auto" w:fill="auto"/>
          <w:lang w:val="en-US" w:eastAsia="zh-CN"/>
        </w:rPr>
        <w:t xml:space="preserve">= </w:t>
      </w:r>
      <w:r>
        <w:rPr>
          <w:rFonts w:ascii="Segoe UI" w:hAnsi="Segoe UI" w:eastAsia="Segoe UI" w:cs="Segoe UI"/>
          <w:i w:val="0"/>
          <w:iCs w:val="0"/>
          <w:caps w:val="0"/>
          <w:color w:val="0F1115"/>
          <w:spacing w:val="0"/>
          <w:sz w:val="24"/>
          <w:szCs w:val="24"/>
          <w:shd w:val="clear" w:color="auto" w:fill="FFFFFF"/>
        </w:rPr>
        <w:t>半年度</w:t>
      </w:r>
      <w:r>
        <w:rPr>
          <w:rFonts w:hint="eastAsia" w:ascii="宋体" w:hAnsi="宋体" w:eastAsia="宋体" w:cs="宋体"/>
          <w:b w:val="0"/>
          <w:bCs w:val="0"/>
          <w:color w:val="auto"/>
          <w:kern w:val="0"/>
          <w:sz w:val="24"/>
          <w:szCs w:val="24"/>
          <w:shd w:val="clear" w:color="auto" w:fill="auto"/>
          <w:lang w:val="en-US" w:eastAsia="zh-CN"/>
        </w:rPr>
        <w:t>扫码出库量 × 安徽省医药集中采购平台单价。</w:t>
      </w:r>
    </w:p>
    <w:p w14:paraId="6E114FC0">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w:t>
      </w:r>
      <w:r>
        <w:rPr>
          <w:rStyle w:val="7"/>
          <w:rFonts w:ascii="Segoe UI" w:hAnsi="Segoe UI" w:eastAsia="Segoe UI" w:cs="Segoe UI"/>
          <w:b/>
          <w:bCs/>
          <w:i w:val="0"/>
          <w:iCs w:val="0"/>
          <w:caps w:val="0"/>
          <w:color w:val="0F1115"/>
          <w:spacing w:val="0"/>
          <w:sz w:val="24"/>
          <w:szCs w:val="24"/>
          <w:shd w:val="clear" w:color="auto" w:fill="FFFFFF"/>
        </w:rPr>
        <w:t>非集采试剂费用</w:t>
      </w:r>
      <w:r>
        <w:rPr>
          <w:rFonts w:hint="eastAsia" w:ascii="宋体" w:hAnsi="宋体" w:eastAsia="宋体" w:cs="宋体"/>
          <w:b w:val="0"/>
          <w:bCs w:val="0"/>
          <w:color w:val="auto"/>
          <w:kern w:val="0"/>
          <w:sz w:val="24"/>
          <w:szCs w:val="24"/>
          <w:shd w:val="clear" w:color="auto" w:fill="auto"/>
          <w:lang w:val="en-US" w:eastAsia="zh-CN"/>
        </w:rPr>
        <w:t xml:space="preserve"> = 半年度对应项目HIS收入 × 第2项中标费率。</w:t>
      </w:r>
    </w:p>
    <w:p w14:paraId="71EC9FA6">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（3）</w:t>
      </w:r>
      <w:r>
        <w:rPr>
          <w:rStyle w:val="7"/>
          <w:rFonts w:ascii="Segoe UI" w:hAnsi="Segoe UI" w:eastAsia="Segoe UI" w:cs="Segoe UI"/>
          <w:b/>
          <w:bCs/>
          <w:i w:val="0"/>
          <w:iCs w:val="0"/>
          <w:caps w:val="0"/>
          <w:color w:val="0F1115"/>
          <w:spacing w:val="0"/>
          <w:sz w:val="24"/>
          <w:szCs w:val="24"/>
          <w:shd w:val="clear" w:color="auto" w:fill="FFFFFF"/>
        </w:rPr>
        <w:t>外送项目服务费</w:t>
      </w:r>
      <w:r>
        <w:rPr>
          <w:rFonts w:hint="eastAsia" w:ascii="宋体" w:hAnsi="宋体" w:eastAsia="宋体" w:cs="宋体"/>
          <w:b w:val="0"/>
          <w:bCs w:val="0"/>
          <w:color w:val="auto"/>
          <w:kern w:val="0"/>
          <w:sz w:val="24"/>
          <w:szCs w:val="24"/>
          <w:shd w:val="clear" w:color="auto" w:fill="auto"/>
          <w:lang w:val="en-US" w:eastAsia="zh-CN"/>
        </w:rPr>
        <w:t xml:space="preserve"> = </w:t>
      </w:r>
      <w:r>
        <w:rPr>
          <w:rFonts w:ascii="Segoe UI" w:hAnsi="Segoe UI" w:eastAsia="Segoe UI" w:cs="Segoe UI"/>
          <w:i w:val="0"/>
          <w:iCs w:val="0"/>
          <w:caps w:val="0"/>
          <w:color w:val="0F1115"/>
          <w:spacing w:val="0"/>
          <w:sz w:val="24"/>
          <w:szCs w:val="24"/>
          <w:shd w:val="clear" w:color="auto" w:fill="FFFFFF"/>
        </w:rPr>
        <w:t>半年度</w:t>
      </w:r>
      <w:r>
        <w:rPr>
          <w:rFonts w:hint="eastAsia" w:ascii="宋体" w:hAnsi="宋体" w:eastAsia="宋体" w:cs="宋体"/>
          <w:b w:val="0"/>
          <w:bCs w:val="0"/>
          <w:color w:val="auto"/>
          <w:kern w:val="0"/>
          <w:sz w:val="24"/>
          <w:szCs w:val="24"/>
          <w:shd w:val="clear" w:color="auto" w:fill="auto"/>
          <w:lang w:val="en-US" w:eastAsia="zh-CN"/>
        </w:rPr>
        <w:t xml:space="preserve">外送项目HIS收入 × </w:t>
      </w:r>
      <w:r>
        <w:rPr>
          <w:rFonts w:ascii="Segoe UI" w:hAnsi="Segoe UI" w:eastAsia="Segoe UI" w:cs="Segoe UI"/>
          <w:i w:val="0"/>
          <w:iCs w:val="0"/>
          <w:caps w:val="0"/>
          <w:color w:val="0F1115"/>
          <w:spacing w:val="0"/>
          <w:sz w:val="24"/>
          <w:szCs w:val="24"/>
          <w:shd w:val="clear" w:color="auto" w:fill="FFFFFF"/>
        </w:rPr>
        <w:t> </w:t>
      </w:r>
      <w:r>
        <w:rPr>
          <w:rFonts w:hint="default" w:ascii="宋体" w:hAnsi="宋体" w:eastAsia="宋体" w:cs="宋体"/>
          <w:b w:val="0"/>
          <w:bCs w:val="0"/>
          <w:color w:val="auto"/>
          <w:kern w:val="0"/>
          <w:sz w:val="24"/>
          <w:szCs w:val="24"/>
          <w:shd w:val="clear" w:color="auto" w:fill="auto"/>
          <w:lang w:val="en-US" w:eastAsia="zh-CN"/>
        </w:rPr>
        <w:t>第3项中标费率</w:t>
      </w:r>
      <w:r>
        <w:rPr>
          <w:rFonts w:hint="eastAsia" w:ascii="宋体" w:hAnsi="宋体" w:eastAsia="宋体" w:cs="宋体"/>
          <w:b w:val="0"/>
          <w:bCs w:val="0"/>
          <w:color w:val="auto"/>
          <w:kern w:val="0"/>
          <w:sz w:val="24"/>
          <w:szCs w:val="24"/>
          <w:shd w:val="clear" w:color="auto" w:fill="auto"/>
          <w:lang w:val="en-US" w:eastAsia="zh-CN"/>
        </w:rPr>
        <w:t>。</w:t>
      </w:r>
    </w:p>
    <w:p w14:paraId="36C25CF7">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Segoe UI" w:hAnsi="Segoe UI" w:eastAsia="Segoe UI" w:cs="Segoe UI"/>
          <w:i w:val="0"/>
          <w:iCs w:val="0"/>
          <w:caps w:val="0"/>
          <w:color w:val="0F1115"/>
          <w:spacing w:val="0"/>
          <w:sz w:val="24"/>
          <w:szCs w:val="24"/>
          <w:shd w:val="clear" w:color="auto" w:fill="FFFFFF"/>
        </w:rPr>
      </w:pPr>
      <w:r>
        <w:rPr>
          <w:rFonts w:hint="eastAsia" w:ascii="宋体" w:hAnsi="宋体" w:eastAsia="宋体" w:cs="宋体"/>
          <w:b/>
          <w:bCs/>
          <w:color w:val="auto"/>
          <w:kern w:val="0"/>
          <w:sz w:val="24"/>
          <w:szCs w:val="24"/>
          <w:shd w:val="clear" w:color="auto" w:fill="auto"/>
          <w:lang w:val="en-US" w:eastAsia="zh-CN"/>
        </w:rPr>
        <w:t>（4）专项检测试剂费</w:t>
      </w:r>
      <w:r>
        <w:rPr>
          <w:rFonts w:hint="eastAsia" w:ascii="宋体" w:hAnsi="宋体" w:eastAsia="宋体" w:cs="宋体"/>
          <w:b w:val="0"/>
          <w:bCs w:val="0"/>
          <w:color w:val="auto"/>
          <w:kern w:val="0"/>
          <w:sz w:val="24"/>
          <w:szCs w:val="24"/>
          <w:shd w:val="clear" w:color="auto" w:fill="auto"/>
          <w:lang w:val="en-US" w:eastAsia="zh-CN"/>
        </w:rPr>
        <w:t xml:space="preserve"> = </w:t>
      </w:r>
      <w:r>
        <w:rPr>
          <w:rFonts w:ascii="Segoe UI" w:hAnsi="Segoe UI" w:eastAsia="Segoe UI" w:cs="Segoe UI"/>
          <w:i w:val="0"/>
          <w:iCs w:val="0"/>
          <w:caps w:val="0"/>
          <w:color w:val="0F1115"/>
          <w:spacing w:val="0"/>
          <w:sz w:val="24"/>
          <w:szCs w:val="24"/>
          <w:shd w:val="clear" w:color="auto" w:fill="FFFFFF"/>
        </w:rPr>
        <w:t>半年度</w:t>
      </w:r>
      <w:r>
        <w:rPr>
          <w:rFonts w:hint="eastAsia" w:ascii="宋体" w:hAnsi="宋体" w:eastAsia="宋体" w:cs="宋体"/>
          <w:b w:val="0"/>
          <w:bCs w:val="0"/>
          <w:color w:val="auto"/>
          <w:kern w:val="0"/>
          <w:sz w:val="24"/>
          <w:szCs w:val="24"/>
          <w:shd w:val="clear" w:color="auto" w:fill="auto"/>
          <w:lang w:val="en-US" w:eastAsia="zh-CN"/>
        </w:rPr>
        <w:t>专项检测项目HIS收入 × 第4项中标费率。</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2.年度决算与耗占比考核（核心机制）</w:t>
      </w:r>
      <w:r>
        <w:rPr>
          <w:rFonts w:hint="eastAsia" w:ascii="宋体" w:hAnsi="宋体" w:eastAsia="宋体" w:cs="宋体"/>
          <w:b/>
          <w:bCs/>
          <w:color w:val="auto"/>
          <w:kern w:val="0"/>
          <w:sz w:val="24"/>
          <w:szCs w:val="24"/>
          <w:shd w:val="clear" w:color="auto" w:fill="auto"/>
          <w:lang w:val="en-US" w:eastAsia="zh-CN"/>
        </w:rPr>
        <w:br w:type="textWrapping"/>
      </w:r>
      <w:r>
        <w:rPr>
          <w:rFonts w:ascii="Segoe UI" w:hAnsi="Segoe UI" w:eastAsia="Segoe UI" w:cs="Segoe UI"/>
          <w:i w:val="0"/>
          <w:iCs w:val="0"/>
          <w:caps w:val="0"/>
          <w:color w:val="0F1115"/>
          <w:spacing w:val="0"/>
          <w:sz w:val="24"/>
          <w:szCs w:val="24"/>
          <w:shd w:val="clear" w:color="auto" w:fill="FFFFFF"/>
        </w:rPr>
        <w:t>每个服务年度结束后，进行决算，以核实全年实际耗占比，并对支付总额进行最终调整：</w:t>
      </w:r>
      <w:r>
        <w:rPr>
          <w:rFonts w:ascii="Segoe UI" w:hAnsi="Segoe UI" w:eastAsia="Segoe UI" w:cs="Segoe UI"/>
          <w:i w:val="0"/>
          <w:iCs w:val="0"/>
          <w:caps w:val="0"/>
          <w:color w:val="0F1115"/>
          <w:spacing w:val="0"/>
          <w:sz w:val="24"/>
          <w:szCs w:val="24"/>
          <w:shd w:val="clear" w:color="auto" w:fill="FFFFFF"/>
        </w:rPr>
        <w:br w:type="textWrapping"/>
      </w:r>
      <w:r>
        <w:rPr>
          <w:rFonts w:hint="eastAsia" w:ascii="宋体" w:hAnsi="宋体" w:eastAsia="宋体" w:cs="宋体"/>
          <w:b/>
          <w:bCs/>
          <w:color w:val="auto"/>
          <w:kern w:val="0"/>
          <w:sz w:val="24"/>
          <w:szCs w:val="24"/>
          <w:shd w:val="clear" w:color="auto" w:fill="auto"/>
          <w:lang w:val="en-US" w:eastAsia="zh-CN"/>
        </w:rPr>
        <w:t>（1）</w:t>
      </w:r>
      <w:r>
        <w:rPr>
          <w:rStyle w:val="7"/>
          <w:rFonts w:ascii="Segoe UI" w:hAnsi="Segoe UI" w:eastAsia="Segoe UI" w:cs="Segoe UI"/>
          <w:b/>
          <w:bCs/>
          <w:i w:val="0"/>
          <w:iCs w:val="0"/>
          <w:caps w:val="0"/>
          <w:color w:val="0F1115"/>
          <w:spacing w:val="0"/>
          <w:sz w:val="24"/>
          <w:szCs w:val="24"/>
          <w:shd w:val="clear" w:color="auto" w:fill="FFFFFF"/>
        </w:rPr>
        <w:t>计算实际耗占比</w:t>
      </w:r>
      <w:r>
        <w:rPr>
          <w:rFonts w:hint="default" w:ascii="Segoe UI" w:hAnsi="Segoe UI" w:eastAsia="Segoe UI" w:cs="Segoe UI"/>
          <w:i w:val="0"/>
          <w:iCs w:val="0"/>
          <w:caps w:val="0"/>
          <w:color w:val="0F1115"/>
          <w:spacing w:val="0"/>
          <w:sz w:val="24"/>
          <w:szCs w:val="24"/>
          <w:shd w:val="clear" w:color="auto" w:fill="FFFFFF"/>
        </w:rPr>
        <w:t>：</w:t>
      </w:r>
    </w:p>
    <w:p w14:paraId="16194412">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Segoe UI" w:hAnsi="Segoe UI" w:eastAsia="Segoe UI" w:cs="Segoe UI"/>
          <w:i w:val="0"/>
          <w:iCs w:val="0"/>
          <w:caps w:val="0"/>
          <w:color w:val="0F1115"/>
          <w:spacing w:val="0"/>
          <w:sz w:val="24"/>
          <w:szCs w:val="24"/>
          <w:shd w:val="clear" w:color="auto" w:fill="FFFFFF"/>
        </w:rPr>
      </w:pPr>
      <w:r>
        <w:rPr>
          <w:rFonts w:hint="eastAsia" w:ascii="宋体" w:hAnsi="宋体" w:eastAsia="宋体" w:cs="宋体"/>
          <w:b/>
          <w:bCs/>
          <w:color w:val="auto"/>
          <w:kern w:val="0"/>
          <w:sz w:val="24"/>
          <w:szCs w:val="24"/>
          <w:shd w:val="clear" w:color="auto" w:fill="auto"/>
          <w:lang w:val="en-US" w:eastAsia="zh-CN"/>
        </w:rPr>
        <w:t>①</w:t>
      </w:r>
      <w:r>
        <w:rPr>
          <w:rFonts w:hint="default" w:ascii="Segoe UI" w:hAnsi="Segoe UI" w:eastAsia="Segoe UI" w:cs="Segoe UI"/>
          <w:b/>
          <w:bCs/>
          <w:i w:val="0"/>
          <w:iCs w:val="0"/>
          <w:caps w:val="0"/>
          <w:color w:val="0F1115"/>
          <w:spacing w:val="0"/>
          <w:sz w:val="24"/>
          <w:szCs w:val="24"/>
          <w:shd w:val="clear" w:color="auto" w:fill="FFFFFF"/>
        </w:rPr>
        <w:t>分子（实际常规服务总成本） </w:t>
      </w:r>
      <w:r>
        <w:rPr>
          <w:rFonts w:hint="default" w:ascii="Segoe UI" w:hAnsi="Segoe UI" w:eastAsia="Segoe UI" w:cs="Segoe UI"/>
          <w:i w:val="0"/>
          <w:iCs w:val="0"/>
          <w:caps w:val="0"/>
          <w:color w:val="0F1115"/>
          <w:spacing w:val="0"/>
          <w:sz w:val="24"/>
          <w:szCs w:val="24"/>
          <w:shd w:val="clear" w:color="auto" w:fill="FFFFFF"/>
        </w:rPr>
        <w:t xml:space="preserve">= </w:t>
      </w:r>
      <w:r>
        <w:rPr>
          <w:rFonts w:hint="default" w:ascii="宋体" w:hAnsi="宋体" w:eastAsia="宋体" w:cs="宋体"/>
          <w:b w:val="0"/>
          <w:bCs w:val="0"/>
          <w:color w:val="auto"/>
          <w:kern w:val="0"/>
          <w:sz w:val="24"/>
          <w:szCs w:val="24"/>
          <w:shd w:val="clear" w:color="auto" w:fill="auto"/>
          <w:lang w:val="en-US" w:eastAsia="zh-CN"/>
        </w:rPr>
        <w:t>年度内上述第(1)(2)(3)项费用之和。</w:t>
      </w:r>
    </w:p>
    <w:p w14:paraId="40572DEA">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②</w:t>
      </w:r>
      <w:r>
        <w:rPr>
          <w:rFonts w:hint="default" w:ascii="Segoe UI" w:hAnsi="Segoe UI" w:eastAsia="Segoe UI" w:cs="Segoe UI"/>
          <w:b/>
          <w:bCs/>
          <w:i w:val="0"/>
          <w:iCs w:val="0"/>
          <w:caps w:val="0"/>
          <w:color w:val="0F1115"/>
          <w:spacing w:val="0"/>
          <w:sz w:val="24"/>
          <w:szCs w:val="24"/>
          <w:shd w:val="clear" w:color="auto" w:fill="FFFFFF"/>
        </w:rPr>
        <w:t>分母（常规检验收入）</w:t>
      </w:r>
      <w:r>
        <w:rPr>
          <w:rFonts w:hint="default" w:ascii="Segoe UI" w:hAnsi="Segoe UI" w:eastAsia="Segoe UI" w:cs="Segoe UI"/>
          <w:i w:val="0"/>
          <w:iCs w:val="0"/>
          <w:caps w:val="0"/>
          <w:color w:val="0F1115"/>
          <w:spacing w:val="0"/>
          <w:sz w:val="24"/>
          <w:szCs w:val="24"/>
          <w:shd w:val="clear" w:color="auto" w:fill="FFFFFF"/>
        </w:rPr>
        <w:t xml:space="preserve"> = </w:t>
      </w:r>
      <w:r>
        <w:rPr>
          <w:rFonts w:hint="default" w:ascii="Segoe UI" w:hAnsi="Segoe UI" w:eastAsia="Segoe UI" w:cs="Segoe UI"/>
          <w:i w:val="0"/>
          <w:iCs w:val="0"/>
          <w:caps w:val="0"/>
          <w:color w:val="000000"/>
          <w:spacing w:val="0"/>
          <w:sz w:val="24"/>
          <w:szCs w:val="24"/>
          <w:highlight w:val="none"/>
          <w:shd w:val="clear" w:color="auto" w:fill="FFFFFF"/>
        </w:rPr>
        <w:t>年度内牵头医院及成员单位检验科</w:t>
      </w:r>
      <w:r>
        <w:rPr>
          <w:rFonts w:hint="default" w:ascii="Segoe UI" w:hAnsi="Segoe UI" w:eastAsia="Segoe UI" w:cs="Segoe UI"/>
          <w:i w:val="0"/>
          <w:iCs w:val="0"/>
          <w:caps w:val="0"/>
          <w:color w:val="0F1115"/>
          <w:spacing w:val="0"/>
          <w:sz w:val="24"/>
          <w:szCs w:val="24"/>
          <w:shd w:val="clear" w:color="auto" w:fill="FFFFFF"/>
        </w:rPr>
        <w:t>通过HIS系统产生的全部检验收入，但明确排除第4项专项检测项目、健康管理中心及公共卫生服务检验类项目收入</w:t>
      </w:r>
      <w:r>
        <w:rPr>
          <w:rFonts w:hint="eastAsia" w:ascii="Segoe UI" w:hAnsi="Segoe UI" w:eastAsia="宋体" w:cs="Segoe UI"/>
          <w:i w:val="0"/>
          <w:iCs w:val="0"/>
          <w:caps w:val="0"/>
          <w:color w:val="0F1115"/>
          <w:spacing w:val="0"/>
          <w:sz w:val="24"/>
          <w:szCs w:val="24"/>
          <w:shd w:val="clear" w:color="auto" w:fill="FFFFFF"/>
          <w:lang w:eastAsia="zh-CN"/>
        </w:rPr>
        <w:t>。</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③实际耗占比 = (分子/分母) × 100%。</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（2）决算支付规则：</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t xml:space="preserve">①若 </w:t>
      </w:r>
      <w:r>
        <w:rPr>
          <w:rFonts w:hint="eastAsia" w:ascii="宋体" w:hAnsi="宋体" w:eastAsia="宋体" w:cs="宋体"/>
          <w:b/>
          <w:bCs/>
          <w:color w:val="auto"/>
          <w:kern w:val="0"/>
          <w:sz w:val="24"/>
          <w:szCs w:val="24"/>
          <w:shd w:val="clear" w:color="auto" w:fill="auto"/>
          <w:lang w:val="en-US" w:eastAsia="zh-CN"/>
        </w:rPr>
        <w:t>实际耗占比 ≤ 第5项中标的目标耗占比</w:t>
      </w:r>
      <w:r>
        <w:rPr>
          <w:rFonts w:hint="eastAsia" w:ascii="宋体" w:hAnsi="宋体" w:eastAsia="宋体" w:cs="宋体"/>
          <w:b w:val="0"/>
          <w:bCs w:val="0"/>
          <w:color w:val="auto"/>
          <w:kern w:val="0"/>
          <w:sz w:val="24"/>
          <w:szCs w:val="24"/>
          <w:shd w:val="clear" w:color="auto" w:fill="auto"/>
          <w:lang w:val="en-US" w:eastAsia="zh-CN"/>
        </w:rPr>
        <w:t>，</w:t>
      </w:r>
      <w:r>
        <w:rPr>
          <w:rFonts w:ascii="Segoe UI" w:hAnsi="Segoe UI" w:eastAsia="Segoe UI" w:cs="Segoe UI"/>
          <w:i w:val="0"/>
          <w:iCs w:val="0"/>
          <w:caps w:val="0"/>
          <w:color w:val="0F1115"/>
          <w:spacing w:val="0"/>
          <w:sz w:val="24"/>
          <w:szCs w:val="24"/>
          <w:shd w:val="clear" w:color="auto" w:fill="FFFFFF"/>
        </w:rPr>
        <w:t>则年度内就常规检验服务已支付的预结算总额即为最终支付额。</w:t>
      </w:r>
    </w:p>
    <w:p w14:paraId="33D6F4C2">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②若 </w:t>
      </w:r>
      <w:r>
        <w:rPr>
          <w:rFonts w:hint="eastAsia" w:ascii="宋体" w:hAnsi="宋体" w:eastAsia="宋体" w:cs="宋体"/>
          <w:b/>
          <w:bCs/>
          <w:color w:val="auto"/>
          <w:kern w:val="0"/>
          <w:sz w:val="24"/>
          <w:szCs w:val="24"/>
          <w:shd w:val="clear" w:color="auto" w:fill="auto"/>
          <w:lang w:val="en-US" w:eastAsia="zh-CN"/>
        </w:rPr>
        <w:t>实际耗占比 &gt; 第5项中标的目标耗占比，</w:t>
      </w:r>
      <w:r>
        <w:rPr>
          <w:rFonts w:ascii="Segoe UI" w:hAnsi="Segoe UI" w:eastAsia="Segoe UI" w:cs="Segoe UI"/>
          <w:i w:val="0"/>
          <w:iCs w:val="0"/>
          <w:caps w:val="0"/>
          <w:color w:val="0F1115"/>
          <w:spacing w:val="0"/>
          <w:sz w:val="24"/>
          <w:szCs w:val="24"/>
          <w:shd w:val="clear" w:color="auto" w:fill="FFFFFF"/>
        </w:rPr>
        <w:t>则招标人有权从后续款项中扣回超额支付部分。即招标人就常规检验服务全年支付总额的最高限额为：</w:t>
      </w:r>
      <w:r>
        <w:rPr>
          <w:rStyle w:val="7"/>
          <w:rFonts w:hint="default" w:ascii="Segoe UI" w:hAnsi="Segoe UI" w:eastAsia="Segoe UI" w:cs="Segoe UI"/>
          <w:b/>
          <w:bCs/>
          <w:i w:val="0"/>
          <w:iCs w:val="0"/>
          <w:caps w:val="0"/>
          <w:color w:val="0F1115"/>
          <w:spacing w:val="0"/>
          <w:sz w:val="24"/>
          <w:szCs w:val="24"/>
          <w:shd w:val="clear" w:color="auto" w:fill="FFFFFF"/>
        </w:rPr>
        <w:t>常规检验收入 × 第5项中标的目标耗占比</w:t>
      </w:r>
      <w:r>
        <w:rPr>
          <w:rFonts w:hint="default" w:ascii="Segoe UI" w:hAnsi="Segoe UI" w:eastAsia="Segoe UI" w:cs="Segoe UI"/>
          <w:i w:val="0"/>
          <w:iCs w:val="0"/>
          <w:caps w:val="0"/>
          <w:color w:val="0F1115"/>
          <w:spacing w:val="0"/>
          <w:sz w:val="24"/>
          <w:szCs w:val="24"/>
          <w:shd w:val="clear" w:color="auto" w:fill="FFFFFF"/>
        </w:rPr>
        <w:t>。</w:t>
      </w:r>
    </w:p>
    <w:p w14:paraId="6F546078">
      <w:pPr>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③</w:t>
      </w:r>
      <w:r>
        <w:rPr>
          <w:rFonts w:hint="eastAsia" w:ascii="宋体" w:hAnsi="宋体" w:eastAsia="宋体" w:cs="宋体"/>
          <w:b/>
          <w:bCs/>
          <w:color w:val="auto"/>
          <w:kern w:val="0"/>
          <w:sz w:val="24"/>
          <w:szCs w:val="24"/>
          <w:shd w:val="clear" w:color="auto" w:fill="auto"/>
          <w:lang w:val="en-US" w:eastAsia="zh-CN"/>
        </w:rPr>
        <w:t>专项检测试剂费独立结算</w:t>
      </w:r>
      <w:r>
        <w:rPr>
          <w:rFonts w:hint="eastAsia" w:ascii="宋体" w:hAnsi="宋体" w:eastAsia="宋体" w:cs="宋体"/>
          <w:b w:val="0"/>
          <w:bCs w:val="0"/>
          <w:color w:val="auto"/>
          <w:kern w:val="0"/>
          <w:sz w:val="24"/>
          <w:szCs w:val="24"/>
          <w:shd w:val="clear" w:color="auto" w:fill="auto"/>
          <w:lang w:val="en-US" w:eastAsia="zh-CN"/>
        </w:rPr>
        <w:t>，不参与上述耗占比考核与调整，按每半年预结算额据实支付。</w:t>
      </w:r>
      <w:r>
        <w:rPr>
          <w:rFonts w:hint="eastAsia" w:ascii="宋体" w:hAnsi="宋体" w:eastAsia="宋体" w:cs="宋体"/>
          <w:b/>
          <w:bCs/>
          <w:color w:val="auto"/>
          <w:kern w:val="0"/>
          <w:sz w:val="24"/>
          <w:szCs w:val="24"/>
          <w:shd w:val="clear" w:color="auto" w:fill="auto"/>
          <w:lang w:val="en-US" w:eastAsia="zh-CN"/>
        </w:rPr>
        <w:br w:type="textWrapping"/>
      </w:r>
      <w:r>
        <w:rPr>
          <w:rFonts w:hint="eastAsia" w:ascii="Segoe UI" w:hAnsi="Segoe UI" w:eastAsia="宋体" w:cs="Segoe UI"/>
          <w:b/>
          <w:bCs/>
          <w:i w:val="0"/>
          <w:iCs w:val="0"/>
          <w:caps w:val="0"/>
          <w:color w:val="0F1115"/>
          <w:spacing w:val="0"/>
          <w:sz w:val="24"/>
          <w:szCs w:val="24"/>
          <w:shd w:val="clear" w:color="auto" w:fill="FFFFFF"/>
          <w:lang w:eastAsia="zh-CN"/>
        </w:rPr>
        <w:t>（</w:t>
      </w:r>
      <w:r>
        <w:rPr>
          <w:rFonts w:hint="eastAsia" w:ascii="Segoe UI" w:hAnsi="Segoe UI" w:eastAsia="宋体" w:cs="Segoe UI"/>
          <w:b/>
          <w:bCs/>
          <w:i w:val="0"/>
          <w:iCs w:val="0"/>
          <w:caps w:val="0"/>
          <w:color w:val="0F1115"/>
          <w:spacing w:val="0"/>
          <w:sz w:val="24"/>
          <w:szCs w:val="24"/>
          <w:shd w:val="clear" w:color="auto" w:fill="FFFFFF"/>
          <w:lang w:val="en-US" w:eastAsia="zh-CN"/>
        </w:rPr>
        <w:t>三）日常监管与退出机制</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1.年度综合考核：</w:t>
      </w:r>
      <w:r>
        <w:rPr>
          <w:rFonts w:hint="eastAsia" w:ascii="宋体" w:hAnsi="宋体" w:eastAsia="宋体" w:cs="宋体"/>
          <w:b w:val="0"/>
          <w:bCs w:val="0"/>
          <w:color w:val="auto"/>
          <w:kern w:val="0"/>
          <w:sz w:val="24"/>
          <w:szCs w:val="24"/>
          <w:shd w:val="clear" w:color="auto" w:fill="auto"/>
          <w:lang w:val="en-US" w:eastAsia="zh-CN"/>
        </w:rPr>
        <w:t>招标人将依据</w:t>
      </w:r>
      <w:r>
        <w:rPr>
          <w:rFonts w:hint="eastAsia" w:ascii="宋体" w:hAnsi="宋体" w:eastAsia="宋体" w:cs="宋体"/>
          <w:b/>
          <w:bCs/>
          <w:color w:val="auto"/>
          <w:kern w:val="0"/>
          <w:sz w:val="24"/>
          <w:szCs w:val="24"/>
          <w:shd w:val="clear" w:color="auto" w:fill="auto"/>
          <w:lang w:val="en-US" w:eastAsia="zh-CN"/>
        </w:rPr>
        <w:t>附件3《年度考核细则》</w:t>
      </w:r>
      <w:r>
        <w:rPr>
          <w:rFonts w:hint="eastAsia" w:ascii="宋体" w:hAnsi="宋体" w:eastAsia="宋体" w:cs="宋体"/>
          <w:b w:val="0"/>
          <w:bCs w:val="0"/>
          <w:color w:val="auto"/>
          <w:kern w:val="0"/>
          <w:sz w:val="24"/>
          <w:szCs w:val="24"/>
          <w:shd w:val="clear" w:color="auto" w:fill="auto"/>
          <w:lang w:val="en-US" w:eastAsia="zh-CN"/>
        </w:rPr>
        <w:t>对中标人进行年度履约考核。考核总分100分，80分及以上为合格。考核不合格的，招标人有权单方解除合同。</w:t>
      </w:r>
    </w:p>
    <w:p w14:paraId="556BB5B8">
      <w:pPr>
        <w:pageBreakBefore w:val="0"/>
        <w:widowControl w:val="0"/>
        <w:kinsoku/>
        <w:overflowPunct/>
        <w:topLinePunct w:val="0"/>
        <w:bidi w:val="0"/>
        <w:snapToGrid/>
        <w:spacing w:line="360" w:lineRule="auto"/>
        <w:ind w:right="31"/>
        <w:textAlignment w:val="auto"/>
        <w:rPr>
          <w:rFonts w:hint="eastAsia" w:ascii="宋体" w:hAnsi="宋体" w:eastAsia="宋体" w:cs="宋体"/>
          <w:b/>
          <w:bCs/>
          <w:color w:val="auto"/>
          <w:kern w:val="0"/>
          <w:sz w:val="24"/>
          <w:szCs w:val="24"/>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rPr>
        <w:t>2.财务考核挂钩：</w:t>
      </w:r>
      <w:r>
        <w:rPr>
          <w:rFonts w:hint="eastAsia" w:ascii="宋体" w:hAnsi="宋体" w:eastAsia="宋体" w:cs="宋体"/>
          <w:b w:val="0"/>
          <w:bCs w:val="0"/>
          <w:color w:val="auto"/>
          <w:kern w:val="0"/>
          <w:sz w:val="24"/>
          <w:szCs w:val="24"/>
          <w:shd w:val="clear" w:color="auto" w:fill="auto"/>
          <w:lang w:val="en-US" w:eastAsia="zh-CN"/>
        </w:rPr>
        <w:t>上述第（二）条第2款“年度决算与耗占比考核”是财务层面的核心考核。若因中标人管理不善导致实际耗占比超标，招标人除行使财务扣款权利外，还将在《年度考核细则》的“试剂、耗材管理”部分予以相应扣分。</w:t>
      </w:r>
      <w:r>
        <w:rPr>
          <w:rFonts w:hint="eastAsia" w:ascii="宋体" w:hAnsi="宋体" w:eastAsia="宋体" w:cs="宋体"/>
          <w:b/>
          <w:bCs/>
          <w:color w:val="auto"/>
          <w:kern w:val="0"/>
          <w:sz w:val="24"/>
          <w:szCs w:val="24"/>
          <w:shd w:val="clear" w:color="auto" w:fill="auto"/>
          <w:lang w:val="en-US" w:eastAsia="zh-CN"/>
        </w:rPr>
        <w:br w:type="textWrapping"/>
      </w:r>
      <w:r>
        <w:rPr>
          <w:rFonts w:hint="eastAsia" w:ascii="宋体" w:hAnsi="宋体" w:eastAsia="宋体" w:cs="宋体"/>
          <w:b/>
          <w:bCs/>
          <w:color w:val="auto"/>
          <w:kern w:val="0"/>
          <w:sz w:val="24"/>
          <w:szCs w:val="24"/>
          <w:shd w:val="clear" w:color="auto" w:fill="auto"/>
          <w:lang w:val="en-US" w:eastAsia="zh-CN"/>
        </w:rPr>
        <w:t>3.日常监管与退出机制：</w:t>
      </w:r>
      <w:r>
        <w:rPr>
          <w:rFonts w:hint="eastAsia" w:ascii="宋体" w:hAnsi="宋体" w:eastAsia="宋体" w:cs="宋体"/>
          <w:b w:val="0"/>
          <w:bCs w:val="0"/>
          <w:color w:val="auto"/>
          <w:kern w:val="0"/>
          <w:sz w:val="24"/>
          <w:szCs w:val="24"/>
          <w:shd w:val="clear" w:color="auto" w:fill="auto"/>
          <w:lang w:val="en-US" w:eastAsia="zh-CN"/>
        </w:rPr>
        <w:t>除年度考核外，招标人进行日常监督。如出现以下情形之一，招标人有权单方解除合同：</w:t>
      </w:r>
    </w:p>
    <w:p w14:paraId="00ABDEA6">
      <w:pPr>
        <w:pageBreakBefore w:val="0"/>
        <w:widowControl w:val="0"/>
        <w:kinsoku/>
        <w:overflowPunct/>
        <w:topLinePunct w:val="0"/>
        <w:bidi w:val="0"/>
        <w:snapToGrid/>
        <w:spacing w:line="360" w:lineRule="auto"/>
        <w:ind w:right="31"/>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（1）</w:t>
      </w:r>
      <w:r>
        <w:rPr>
          <w:rFonts w:ascii="Segoe UI" w:hAnsi="Segoe UI" w:eastAsia="Segoe UI" w:cs="Segoe UI"/>
          <w:i w:val="0"/>
          <w:iCs w:val="0"/>
          <w:caps w:val="0"/>
          <w:color w:val="0F1115"/>
          <w:spacing w:val="0"/>
          <w:sz w:val="24"/>
          <w:szCs w:val="24"/>
          <w:shd w:val="clear" w:color="auto" w:fill="FFFFFF"/>
        </w:rPr>
        <w:t>关键试剂供应不及时，指同一试剂或同一类试剂未按采购需求约定的时效（常规24小时，急诊2小时）送达，影响临床诊疗，单年度内累计达到3次。</w:t>
      </w:r>
    </w:p>
    <w:p w14:paraId="04972941">
      <w:pPr>
        <w:pageBreakBefore w:val="0"/>
        <w:widowControl w:val="0"/>
        <w:kinsoku/>
        <w:overflowPunct/>
        <w:topLinePunct w:val="0"/>
        <w:bidi w:val="0"/>
        <w:snapToGrid/>
        <w:spacing w:line="360" w:lineRule="auto"/>
        <w:ind w:right="31"/>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（2）设备故障后，未能在约定时间内修复且未提供备用机，导致检验项目停摆超过协议约定时间。</w:t>
      </w:r>
    </w:p>
    <w:p w14:paraId="0094758A">
      <w:pPr>
        <w:pageBreakBefore w:val="0"/>
        <w:widowControl w:val="0"/>
        <w:kinsoku/>
        <w:overflowPunct/>
        <w:topLinePunct w:val="0"/>
        <w:bidi w:val="0"/>
        <w:snapToGrid/>
        <w:spacing w:line="360" w:lineRule="auto"/>
        <w:ind w:right="31"/>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（3）区域医学检验信息系统或标本物流体系未能按约定时间建成并有效运行。</w:t>
      </w:r>
    </w:p>
    <w:p w14:paraId="36EDD50D">
      <w:pPr>
        <w:pageBreakBefore w:val="0"/>
        <w:widowControl w:val="0"/>
        <w:kinsoku/>
        <w:overflowPunct/>
        <w:topLinePunct w:val="0"/>
        <w:bidi w:val="0"/>
        <w:snapToGrid/>
        <w:spacing w:line="360" w:lineRule="auto"/>
        <w:ind w:right="31"/>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（4）发生严重质量或安全事故，或违反法律法规及招标文件核心承诺。</w:t>
      </w:r>
    </w:p>
    <w:p w14:paraId="29295088">
      <w:pPr>
        <w:pageBreakBefore w:val="0"/>
        <w:widowControl w:val="0"/>
        <w:kinsoku/>
        <w:overflowPunct/>
        <w:topLinePunct w:val="0"/>
        <w:bidi w:val="0"/>
        <w:snapToGrid/>
        <w:spacing w:line="360" w:lineRule="auto"/>
        <w:ind w:right="31"/>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（5）未经同意擅自撤场或停止服务。</w:t>
      </w:r>
    </w:p>
    <w:p w14:paraId="723854B6">
      <w:pPr>
        <w:pageBreakBefore w:val="0"/>
        <w:widowControl w:val="0"/>
        <w:kinsoku/>
        <w:overflowPunct/>
        <w:topLinePunct w:val="0"/>
        <w:bidi w:val="0"/>
        <w:snapToGrid/>
        <w:spacing w:line="360" w:lineRule="auto"/>
        <w:ind w:right="31"/>
        <w:textAlignment w:val="auto"/>
        <w:rPr>
          <w:rFonts w:hint="eastAsia" w:ascii="宋体" w:hAnsi="宋体" w:eastAsia="宋体" w:cs="宋体"/>
          <w:b/>
          <w:bCs/>
          <w:spacing w:val="-3"/>
          <w:kern w:val="2"/>
          <w:sz w:val="24"/>
          <w:szCs w:val="24"/>
          <w:lang w:val="en-US" w:eastAsia="zh-CN" w:bidi="ar-SA"/>
        </w:rPr>
      </w:pPr>
      <w:r>
        <w:rPr>
          <w:rFonts w:hint="eastAsia" w:ascii="宋体" w:hAnsi="宋体" w:eastAsia="宋体" w:cs="宋体"/>
          <w:b/>
          <w:bCs/>
          <w:color w:val="auto"/>
          <w:kern w:val="0"/>
          <w:sz w:val="24"/>
          <w:szCs w:val="24"/>
          <w:shd w:val="clear" w:color="auto" w:fill="auto"/>
          <w:lang w:val="en-US" w:eastAsia="zh-CN"/>
        </w:rPr>
        <w:t>4.合同终止过渡：</w:t>
      </w:r>
      <w:r>
        <w:rPr>
          <w:rFonts w:hint="eastAsia" w:ascii="宋体" w:hAnsi="宋体" w:eastAsia="宋体" w:cs="宋体"/>
          <w:b w:val="0"/>
          <w:bCs w:val="0"/>
          <w:color w:val="auto"/>
          <w:kern w:val="0"/>
          <w:sz w:val="24"/>
          <w:szCs w:val="24"/>
          <w:shd w:val="clear" w:color="auto" w:fill="auto"/>
          <w:lang w:val="en-US" w:eastAsia="zh-CN"/>
        </w:rPr>
        <w:t>无论因何原因合同终止，为确保患者服务、医疗和数据安全，在新服务商接替前的过渡期内，原中标人必须继续保障所有设备、系统正常运行和试剂供应，直至招标人书面通知其可撤场为止。</w:t>
      </w:r>
      <w:r>
        <w:rPr>
          <w:rFonts w:hint="eastAsia" w:ascii="宋体" w:hAnsi="宋体" w:eastAsia="宋体" w:cs="宋体"/>
          <w:b w:val="0"/>
          <w:bCs w:val="0"/>
          <w:color w:val="auto"/>
          <w:kern w:val="0"/>
          <w:sz w:val="24"/>
          <w:szCs w:val="24"/>
          <w:shd w:val="clear" w:color="auto" w:fill="auto"/>
          <w:lang w:val="en-US" w:eastAsia="zh-CN"/>
        </w:rPr>
        <w:br w:type="textWrapping"/>
      </w:r>
      <w:r>
        <w:rPr>
          <w:rStyle w:val="7"/>
          <w:rFonts w:ascii="Segoe UI" w:hAnsi="Segoe UI" w:eastAsia="Segoe UI" w:cs="Segoe UI"/>
          <w:b/>
          <w:bCs/>
          <w:i w:val="0"/>
          <w:iCs w:val="0"/>
          <w:caps w:val="0"/>
          <w:color w:val="0F1115"/>
          <w:spacing w:val="0"/>
          <w:sz w:val="24"/>
          <w:szCs w:val="24"/>
          <w:shd w:val="clear" w:color="auto" w:fill="FFFFFF"/>
        </w:rPr>
        <w:t>（</w:t>
      </w:r>
      <w:r>
        <w:rPr>
          <w:rStyle w:val="7"/>
          <w:rFonts w:hint="eastAsia" w:ascii="Segoe UI" w:hAnsi="Segoe UI" w:eastAsia="宋体" w:cs="Segoe UI"/>
          <w:b/>
          <w:bCs/>
          <w:i w:val="0"/>
          <w:iCs w:val="0"/>
          <w:caps w:val="0"/>
          <w:color w:val="0F1115"/>
          <w:spacing w:val="0"/>
          <w:sz w:val="24"/>
          <w:szCs w:val="24"/>
          <w:shd w:val="clear" w:color="auto" w:fill="FFFFFF"/>
          <w:lang w:val="en-US" w:eastAsia="zh-CN"/>
        </w:rPr>
        <w:t>四</w:t>
      </w:r>
      <w:r>
        <w:rPr>
          <w:rStyle w:val="7"/>
          <w:rFonts w:ascii="Segoe UI" w:hAnsi="Segoe UI" w:eastAsia="Segoe UI" w:cs="Segoe UI"/>
          <w:b/>
          <w:bCs/>
          <w:i w:val="0"/>
          <w:iCs w:val="0"/>
          <w:caps w:val="0"/>
          <w:color w:val="0F1115"/>
          <w:spacing w:val="0"/>
          <w:sz w:val="24"/>
          <w:szCs w:val="24"/>
          <w:shd w:val="clear" w:color="auto" w:fill="FFFFFF"/>
        </w:rPr>
        <w:t>）政策风险与合同调整</w:t>
      </w:r>
      <w:r>
        <w:rPr>
          <w:rFonts w:hint="default" w:ascii="Segoe UI" w:hAnsi="Segoe UI" w:eastAsia="Segoe UI" w:cs="Segoe UI"/>
          <w:i w:val="0"/>
          <w:iCs w:val="0"/>
          <w:caps w:val="0"/>
          <w:color w:val="0F1115"/>
          <w:spacing w:val="0"/>
          <w:sz w:val="24"/>
          <w:szCs w:val="24"/>
          <w:shd w:val="clear" w:color="auto" w:fill="FFFFFF"/>
        </w:rPr>
        <w:br w:type="textWrapping"/>
      </w:r>
      <w:r>
        <w:rPr>
          <w:rFonts w:hint="default" w:ascii="Segoe UI" w:hAnsi="Segoe UI" w:eastAsia="Segoe UI" w:cs="Segoe UI"/>
          <w:i w:val="0"/>
          <w:iCs w:val="0"/>
          <w:caps w:val="0"/>
          <w:color w:val="0F1115"/>
          <w:spacing w:val="0"/>
          <w:sz w:val="24"/>
          <w:szCs w:val="24"/>
          <w:shd w:val="clear" w:color="auto" w:fill="FFFFFF"/>
        </w:rPr>
        <w:t>如遇国家或安徽省、六安市出台重大医疗政策调整（如检验试剂全面执行“零差价”、新的带量采购政策导致合作模式基础发生根本性变化等），双方应本着友好协商的原则，就合同条款调整进行谈判。若无法达成一致，任何一方有权提前终止合同，双方互不承担违约责任。</w:t>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val="0"/>
          <w:bCs w:val="0"/>
          <w:color w:val="auto"/>
          <w:kern w:val="0"/>
          <w:sz w:val="24"/>
          <w:szCs w:val="24"/>
          <w:shd w:val="clear" w:color="auto" w:fill="auto"/>
          <w:lang w:val="en-US" w:eastAsia="zh-CN"/>
        </w:rPr>
        <w:br w:type="textWrapping"/>
      </w:r>
      <w:r>
        <w:rPr>
          <w:rFonts w:hint="eastAsia" w:ascii="宋体" w:hAnsi="宋体" w:eastAsia="宋体" w:cs="宋体"/>
          <w:b/>
          <w:bCs/>
          <w:spacing w:val="-3"/>
          <w:kern w:val="2"/>
          <w:sz w:val="24"/>
          <w:szCs w:val="24"/>
          <w:lang w:val="en-US" w:eastAsia="zh-CN" w:bidi="ar-SA"/>
        </w:rPr>
        <w:t>设备投入清单</w:t>
      </w:r>
      <w:r>
        <w:rPr>
          <w:rFonts w:hint="eastAsia" w:ascii="宋体" w:hAnsi="宋体" w:eastAsia="宋体" w:cs="宋体"/>
          <w:b/>
          <w:bCs/>
          <w:spacing w:val="-3"/>
          <w:kern w:val="2"/>
          <w:sz w:val="24"/>
          <w:szCs w:val="24"/>
          <w:lang w:val="en-US" w:eastAsia="zh-CN" w:bidi="ar-SA"/>
        </w:rPr>
        <w:br w:type="textWrapping"/>
      </w:r>
      <w:r>
        <w:rPr>
          <w:rFonts w:hint="eastAsia" w:ascii="宋体" w:hAnsi="宋体" w:eastAsia="宋体" w:cs="宋体"/>
          <w:b/>
          <w:bCs/>
          <w:spacing w:val="-3"/>
          <w:kern w:val="2"/>
          <w:sz w:val="24"/>
          <w:szCs w:val="24"/>
          <w:lang w:val="en-US" w:eastAsia="zh-CN" w:bidi="ar-SA"/>
        </w:rPr>
        <w:t>注：</w:t>
      </w:r>
      <w:r>
        <w:rPr>
          <w:rFonts w:hint="eastAsia" w:ascii="宋体" w:hAnsi="宋体" w:eastAsia="宋体" w:cs="宋体"/>
          <w:b/>
          <w:bCs/>
          <w:color w:val="auto"/>
          <w:kern w:val="0"/>
          <w:sz w:val="24"/>
          <w:szCs w:val="24"/>
          <w:shd w:val="clear" w:color="auto" w:fill="auto"/>
          <w:lang w:val="en-US" w:eastAsia="zh-CN"/>
        </w:rPr>
        <w:t>投标人所提供设备须满足以下要求。设备数量、参数不允许负偏离，否则作无效标处理，投标文件中提供设备响应表（标明品牌型号），后期供货时须按招标人需求针对每项参数提供证明材料进行核查(证明材料可提供第三方检测机构出具的检测报告或产品彩页或公开发行的技术白皮书原件扫描件或官网截图或功能截图中的任意一种)。在后期的合作期间出现特殊情况需更换仪器及试剂也须满足以下要求。</w:t>
      </w:r>
      <w:r>
        <w:rPr>
          <w:rFonts w:hint="eastAsia" w:ascii="宋体" w:hAnsi="宋体" w:eastAsia="宋体" w:cs="宋体"/>
          <w:b/>
          <w:bCs/>
          <w:spacing w:val="-3"/>
          <w:kern w:val="2"/>
          <w:sz w:val="24"/>
          <w:szCs w:val="24"/>
          <w:lang w:val="en-US" w:eastAsia="zh-CN" w:bidi="ar-SA"/>
        </w:rPr>
        <w:br w:type="textWrapping"/>
      </w:r>
      <w:r>
        <w:rPr>
          <w:rFonts w:hint="eastAsia" w:ascii="宋体" w:hAnsi="宋体" w:eastAsia="宋体" w:cs="宋体"/>
          <w:b/>
          <w:bCs/>
          <w:spacing w:val="-3"/>
          <w:kern w:val="2"/>
          <w:sz w:val="24"/>
          <w:szCs w:val="24"/>
          <w:lang w:val="en-US" w:eastAsia="zh-CN" w:bidi="ar-SA"/>
        </w:rPr>
        <w:t xml:space="preserve">         </w:t>
      </w:r>
    </w:p>
    <w:tbl>
      <w:tblPr>
        <w:tblStyle w:val="5"/>
        <w:tblW w:w="11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557"/>
        <w:gridCol w:w="1686"/>
        <w:gridCol w:w="3131"/>
        <w:gridCol w:w="4853"/>
      </w:tblGrid>
      <w:tr w14:paraId="724C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75779DFA">
            <w:pPr>
              <w:pStyle w:val="3"/>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设备名称</w:t>
            </w:r>
          </w:p>
        </w:tc>
        <w:tc>
          <w:tcPr>
            <w:tcW w:w="557" w:type="dxa"/>
            <w:noWrap w:val="0"/>
            <w:vAlign w:val="center"/>
          </w:tcPr>
          <w:p w14:paraId="4DC2B083">
            <w:pPr>
              <w:pStyle w:val="3"/>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数量</w:t>
            </w:r>
          </w:p>
        </w:tc>
        <w:tc>
          <w:tcPr>
            <w:tcW w:w="1686" w:type="dxa"/>
            <w:noWrap w:val="0"/>
            <w:vAlign w:val="center"/>
          </w:tcPr>
          <w:p w14:paraId="2EC266B6">
            <w:pPr>
              <w:pStyle w:val="3"/>
              <w:spacing w:line="360" w:lineRule="auto"/>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配置情况</w:t>
            </w:r>
          </w:p>
        </w:tc>
        <w:tc>
          <w:tcPr>
            <w:tcW w:w="3131" w:type="dxa"/>
            <w:noWrap w:val="0"/>
            <w:vAlign w:val="center"/>
          </w:tcPr>
          <w:p w14:paraId="5E4E74BB">
            <w:pPr>
              <w:pStyle w:val="3"/>
              <w:spacing w:line="360" w:lineRule="auto"/>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配置参数</w:t>
            </w:r>
          </w:p>
        </w:tc>
        <w:tc>
          <w:tcPr>
            <w:tcW w:w="4853" w:type="dxa"/>
            <w:noWrap w:val="0"/>
            <w:vAlign w:val="center"/>
          </w:tcPr>
          <w:p w14:paraId="0CD0D33D">
            <w:pPr>
              <w:pStyle w:val="3"/>
              <w:spacing w:line="36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备注</w:t>
            </w:r>
          </w:p>
        </w:tc>
      </w:tr>
      <w:tr w14:paraId="173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02E3B798">
            <w:pPr>
              <w:widowControl/>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kern w:val="0"/>
                <w:sz w:val="18"/>
                <w:szCs w:val="18"/>
              </w:rPr>
              <w:t>全自动生化</w:t>
            </w:r>
            <w:r>
              <w:rPr>
                <w:rFonts w:hint="eastAsia" w:ascii="宋体" w:hAnsi="宋体" w:eastAsia="宋体" w:cs="宋体"/>
                <w:b w:val="0"/>
                <w:bCs w:val="0"/>
                <w:kern w:val="0"/>
                <w:sz w:val="18"/>
                <w:szCs w:val="18"/>
                <w:lang w:val="en-US" w:eastAsia="zh-CN"/>
              </w:rPr>
              <w:t>免疫</w:t>
            </w:r>
            <w:r>
              <w:rPr>
                <w:rFonts w:hint="eastAsia" w:ascii="宋体" w:hAnsi="宋体" w:eastAsia="宋体" w:cs="宋体"/>
                <w:b w:val="0"/>
                <w:bCs w:val="0"/>
                <w:kern w:val="0"/>
                <w:sz w:val="18"/>
                <w:szCs w:val="18"/>
              </w:rPr>
              <w:t>分析</w:t>
            </w:r>
            <w:r>
              <w:rPr>
                <w:rFonts w:hint="eastAsia" w:ascii="宋体" w:hAnsi="宋体" w:eastAsia="宋体" w:cs="宋体"/>
                <w:b w:val="0"/>
                <w:bCs w:val="0"/>
                <w:kern w:val="0"/>
                <w:sz w:val="18"/>
                <w:szCs w:val="18"/>
                <w:lang w:val="en-US" w:eastAsia="zh-CN"/>
              </w:rPr>
              <w:t>流水线</w:t>
            </w:r>
          </w:p>
        </w:tc>
        <w:tc>
          <w:tcPr>
            <w:tcW w:w="557" w:type="dxa"/>
            <w:noWrap w:val="0"/>
            <w:vAlign w:val="center"/>
          </w:tcPr>
          <w:p w14:paraId="05F3BC82">
            <w:pPr>
              <w:widowControl/>
              <w:jc w:val="center"/>
              <w:rPr>
                <w:rFonts w:hint="eastAsia" w:ascii="宋体" w:hAnsi="宋体" w:eastAsia="宋体" w:cs="宋体"/>
                <w:b w:val="0"/>
                <w:bCs w:val="0"/>
                <w:sz w:val="18"/>
                <w:szCs w:val="18"/>
                <w:lang w:eastAsia="zh-CN"/>
              </w:rPr>
            </w:pPr>
            <w:r>
              <w:rPr>
                <w:rFonts w:hint="eastAsia" w:ascii="宋体" w:hAnsi="宋体" w:eastAsia="宋体" w:cs="宋体"/>
                <w:b w:val="0"/>
                <w:bCs w:val="0"/>
                <w:kern w:val="0"/>
                <w:sz w:val="18"/>
                <w:szCs w:val="18"/>
                <w:lang w:val="en-US" w:eastAsia="zh-CN"/>
              </w:rPr>
              <w:t>1套</w:t>
            </w:r>
          </w:p>
        </w:tc>
        <w:tc>
          <w:tcPr>
            <w:tcW w:w="1686" w:type="dxa"/>
            <w:noWrap w:val="0"/>
            <w:vAlign w:val="center"/>
          </w:tcPr>
          <w:p w14:paraId="0A9FD14D">
            <w:pPr>
              <w:widowControl/>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全自动前处理一套（倾倒进样+离心+开盖）+生化分析仪+免疫分析仪</w:t>
            </w:r>
          </w:p>
        </w:tc>
        <w:tc>
          <w:tcPr>
            <w:tcW w:w="3131" w:type="dxa"/>
            <w:noWrap w:val="0"/>
            <w:vAlign w:val="center"/>
          </w:tcPr>
          <w:p w14:paraId="4D5E5CC1">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生化：≥4000T/H；（含电解质模块）</w:t>
            </w:r>
          </w:p>
          <w:p w14:paraId="3C99519C">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免疫：≥1600T/H；</w:t>
            </w:r>
          </w:p>
          <w:p w14:paraId="7DD74333">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进样：≥800G；</w:t>
            </w:r>
          </w:p>
          <w:p w14:paraId="21E247F0">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离心：≥500T/H；</w:t>
            </w:r>
          </w:p>
          <w:p w14:paraId="742931F1">
            <w:pPr>
              <w:numPr>
                <w:ilvl w:val="0"/>
                <w:numId w:val="0"/>
              </w:numPr>
              <w:spacing w:line="274" w:lineRule="exact"/>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开盖：≥1200T/H。</w:t>
            </w:r>
          </w:p>
        </w:tc>
        <w:tc>
          <w:tcPr>
            <w:tcW w:w="4853" w:type="dxa"/>
            <w:noWrap w:val="0"/>
            <w:vAlign w:val="center"/>
          </w:tcPr>
          <w:p w14:paraId="6C047BD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1.要求：国家临床检验中心2025年第1次常规化学A按仪器分组统计结果，以常用项目葡萄糖和游离T4统计，有独立分组且品牌下单一分组≥200家。</w:t>
            </w:r>
          </w:p>
          <w:p w14:paraId="133217E5">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2.仪器、试剂同一品牌。</w:t>
            </w:r>
          </w:p>
          <w:p w14:paraId="12BBF67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3.如生化或免疫单日样本≥200份，应增加相应设备一台。</w:t>
            </w:r>
          </w:p>
          <w:p w14:paraId="574D1240">
            <w:pPr>
              <w:numPr>
                <w:ilvl w:val="0"/>
                <w:numId w:val="0"/>
              </w:numPr>
              <w:spacing w:line="274" w:lineRule="exact"/>
              <w:jc w:val="both"/>
              <w:rPr>
                <w:rFonts w:hint="eastAsia" w:ascii="宋体" w:hAnsi="宋体" w:eastAsia="宋体" w:cs="宋体"/>
                <w:b w:val="0"/>
                <w:bCs w:val="0"/>
                <w:w w:val="94"/>
                <w:sz w:val="18"/>
                <w:szCs w:val="18"/>
                <w:lang w:val="en-US" w:eastAsia="zh-CN"/>
              </w:rPr>
            </w:pPr>
            <w:r>
              <w:rPr>
                <w:rFonts w:hint="eastAsia" w:ascii="宋体" w:hAnsi="宋体" w:eastAsia="宋体" w:cs="宋体"/>
                <w:b w:val="0"/>
                <w:bCs w:val="0"/>
                <w:sz w:val="18"/>
                <w:szCs w:val="18"/>
                <w:lang w:val="en-US" w:eastAsia="zh-CN"/>
              </w:rPr>
              <w:t>4.配置符合仪器参数的UPS/纯水机等相关使用的辅助设备。</w:t>
            </w:r>
          </w:p>
        </w:tc>
      </w:tr>
      <w:tr w14:paraId="5EC0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7F55E25E">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全自动血细胞流水线</w:t>
            </w:r>
          </w:p>
        </w:tc>
        <w:tc>
          <w:tcPr>
            <w:tcW w:w="557" w:type="dxa"/>
            <w:noWrap w:val="0"/>
            <w:vAlign w:val="center"/>
          </w:tcPr>
          <w:p w14:paraId="58C715B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1套</w:t>
            </w:r>
          </w:p>
        </w:tc>
        <w:tc>
          <w:tcPr>
            <w:tcW w:w="1686" w:type="dxa"/>
            <w:noWrap w:val="0"/>
            <w:vAlign w:val="center"/>
          </w:tcPr>
          <w:p w14:paraId="0DA1693D">
            <w:pPr>
              <w:widowControl/>
              <w:jc w:val="center"/>
              <w:rPr>
                <w:rFonts w:hint="eastAsia" w:ascii="宋体" w:hAnsi="宋体" w:eastAsia="宋体" w:cs="宋体"/>
                <w:b w:val="0"/>
                <w:bCs w:val="0"/>
                <w:kern w:val="0"/>
                <w:sz w:val="18"/>
                <w:szCs w:val="18"/>
                <w:lang w:val="en-US"/>
              </w:rPr>
            </w:pPr>
            <w:r>
              <w:rPr>
                <w:rFonts w:hint="eastAsia" w:ascii="宋体" w:hAnsi="宋体" w:eastAsia="宋体" w:cs="宋体"/>
                <w:b w:val="0"/>
                <w:bCs w:val="0"/>
                <w:kern w:val="0"/>
                <w:sz w:val="18"/>
                <w:szCs w:val="18"/>
                <w:lang w:val="en-US" w:eastAsia="zh-CN"/>
              </w:rPr>
              <w:t>全自动血细胞（2台）+糖化血红蛋白（1台）+推染机+阅片机</w:t>
            </w:r>
          </w:p>
        </w:tc>
        <w:tc>
          <w:tcPr>
            <w:tcW w:w="3131" w:type="dxa"/>
            <w:noWrap w:val="0"/>
            <w:vAlign w:val="center"/>
          </w:tcPr>
          <w:p w14:paraId="36C3C9E4">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血球：≥200T/H；</w:t>
            </w:r>
          </w:p>
          <w:p w14:paraId="0098E744">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CRP:≥100T/H</w:t>
            </w:r>
          </w:p>
          <w:p w14:paraId="5EA7130B">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糖化：≥50T/H</w:t>
            </w:r>
          </w:p>
        </w:tc>
        <w:tc>
          <w:tcPr>
            <w:tcW w:w="4853" w:type="dxa"/>
            <w:noWrap w:val="0"/>
            <w:vAlign w:val="center"/>
          </w:tcPr>
          <w:p w14:paraId="179F57E3">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包括五分类血常规、网织红细胞（RET）、C-反应蛋白（CRP）、血清淀粉样蛋白 A（SAA）检测功能；</w:t>
            </w:r>
          </w:p>
          <w:p w14:paraId="41F25245">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全自动五分类血液细胞分析仪、全自动糖化血红蛋白、推片染色机、全自动细胞形态学分析仪等模块；</w:t>
            </w:r>
          </w:p>
          <w:p w14:paraId="3B50E450">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要求：国家临床检验中心2025 年第 1 次全血细胞计数按仪器分组统计结果，以常用项目WBC和糖化血红蛋白统计有独立分组且品牌下单一分组≥200 家</w:t>
            </w:r>
            <w:r>
              <w:rPr>
                <w:rFonts w:hint="eastAsia" w:ascii="宋体" w:hAnsi="宋体" w:cs="宋体"/>
                <w:b w:val="0"/>
                <w:bCs w:val="0"/>
                <w:sz w:val="18"/>
                <w:szCs w:val="18"/>
                <w:lang w:val="en-US" w:eastAsia="zh-CN"/>
              </w:rPr>
              <w:t>。</w:t>
            </w:r>
          </w:p>
          <w:p w14:paraId="6A263779">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w:t>
            </w:r>
            <w:r>
              <w:rPr>
                <w:rFonts w:hint="eastAsia" w:ascii="宋体" w:hAnsi="宋体" w:eastAsia="宋体" w:cs="宋体"/>
                <w:b w:val="0"/>
                <w:bCs w:val="0"/>
                <w:sz w:val="18"/>
                <w:szCs w:val="18"/>
                <w:lang w:val="en-US" w:eastAsia="zh-CN"/>
              </w:rPr>
              <w:t>仪器、试剂同一品牌</w:t>
            </w:r>
          </w:p>
        </w:tc>
      </w:tr>
      <w:tr w14:paraId="2B91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09866EB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血细胞分析（CRP)分析仪</w:t>
            </w:r>
          </w:p>
        </w:tc>
        <w:tc>
          <w:tcPr>
            <w:tcW w:w="557" w:type="dxa"/>
            <w:noWrap w:val="0"/>
            <w:vAlign w:val="center"/>
          </w:tcPr>
          <w:p w14:paraId="50819F8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17487538">
            <w:pPr>
              <w:numPr>
                <w:ilvl w:val="0"/>
                <w:numId w:val="0"/>
              </w:numPr>
              <w:spacing w:line="274"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血细胞+CRP一体机</w:t>
            </w:r>
          </w:p>
        </w:tc>
        <w:tc>
          <w:tcPr>
            <w:tcW w:w="3131" w:type="dxa"/>
            <w:noWrap w:val="0"/>
            <w:vAlign w:val="center"/>
          </w:tcPr>
          <w:p w14:paraId="1733037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血球：≥100T/H；</w:t>
            </w:r>
          </w:p>
        </w:tc>
        <w:tc>
          <w:tcPr>
            <w:tcW w:w="4853" w:type="dxa"/>
            <w:noWrap w:val="0"/>
            <w:vAlign w:val="bottom"/>
          </w:tcPr>
          <w:p w14:paraId="0B2AA28B">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1.要求：国家临床检验中心2025 年第 1 次全血细胞计数按仪器分组统计结果，以常用项目WBC统计有独立分组且品牌下单一分组≥200 家。</w:t>
            </w:r>
          </w:p>
          <w:p w14:paraId="31C283D7">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需包含静脉血/末梢血/体液模式及自动进样功能。</w:t>
            </w:r>
          </w:p>
          <w:p w14:paraId="750E7B17">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仪器、试剂同一品牌。</w:t>
            </w:r>
          </w:p>
          <w:p w14:paraId="439CCDEE">
            <w:pPr>
              <w:numPr>
                <w:ilvl w:val="0"/>
                <w:numId w:val="0"/>
              </w:numPr>
              <w:spacing w:line="274" w:lineRule="exact"/>
              <w:jc w:val="both"/>
              <w:rPr>
                <w:rFonts w:hint="eastAsia" w:ascii="宋体" w:hAnsi="宋体" w:eastAsia="宋体" w:cs="宋体"/>
                <w:b w:val="0"/>
                <w:bCs w:val="0"/>
                <w:w w:val="96"/>
                <w:kern w:val="2"/>
                <w:sz w:val="18"/>
                <w:szCs w:val="18"/>
                <w:lang w:val="en-US" w:eastAsia="zh-CN" w:bidi="ar-SA"/>
              </w:rPr>
            </w:pPr>
            <w:r>
              <w:rPr>
                <w:rFonts w:hint="eastAsia" w:ascii="宋体" w:hAnsi="宋体" w:cs="宋体"/>
                <w:b w:val="0"/>
                <w:bCs w:val="0"/>
                <w:sz w:val="18"/>
                <w:szCs w:val="18"/>
                <w:lang w:val="en-US" w:eastAsia="zh-CN"/>
              </w:rPr>
              <w:t>4.</w:t>
            </w:r>
            <w:r>
              <w:rPr>
                <w:rFonts w:hint="eastAsia" w:ascii="宋体" w:hAnsi="宋体" w:eastAsia="宋体" w:cs="宋体"/>
                <w:b w:val="0"/>
                <w:bCs w:val="0"/>
                <w:sz w:val="18"/>
                <w:szCs w:val="18"/>
                <w:lang w:val="en-US" w:eastAsia="zh-CN"/>
              </w:rPr>
              <w:t>包括五分类血常规、网织红细胞（RET）、C-反应蛋白（CRP）、血清淀粉样蛋白 A（SAA）检测功能</w:t>
            </w:r>
            <w:r>
              <w:rPr>
                <w:rFonts w:hint="eastAsia" w:ascii="宋体" w:hAnsi="宋体" w:cs="宋体"/>
                <w:b w:val="0"/>
                <w:bCs w:val="0"/>
                <w:sz w:val="18"/>
                <w:szCs w:val="18"/>
                <w:lang w:val="en-US" w:eastAsia="zh-CN"/>
              </w:rPr>
              <w:t>。</w:t>
            </w:r>
          </w:p>
        </w:tc>
      </w:tr>
      <w:tr w14:paraId="7FA9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2B46EE21">
            <w:pPr>
              <w:widowControl/>
              <w:jc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rPr>
              <w:t>微生物质谱</w:t>
            </w:r>
          </w:p>
        </w:tc>
        <w:tc>
          <w:tcPr>
            <w:tcW w:w="557" w:type="dxa"/>
            <w:noWrap w:val="0"/>
            <w:vAlign w:val="center"/>
          </w:tcPr>
          <w:p w14:paraId="35821EF1">
            <w:pPr>
              <w:widowControl/>
              <w:jc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rPr>
              <w:t>1套</w:t>
            </w:r>
          </w:p>
        </w:tc>
        <w:tc>
          <w:tcPr>
            <w:tcW w:w="1686" w:type="dxa"/>
            <w:noWrap w:val="0"/>
            <w:vAlign w:val="center"/>
          </w:tcPr>
          <w:p w14:paraId="59D8C57A">
            <w:pPr>
              <w:widowControl/>
              <w:jc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rPr>
              <w:t>微生物飞行时间质谱分析仪（1台）</w:t>
            </w:r>
          </w:p>
        </w:tc>
        <w:tc>
          <w:tcPr>
            <w:tcW w:w="3131" w:type="dxa"/>
            <w:noWrap w:val="0"/>
            <w:vAlign w:val="center"/>
          </w:tcPr>
          <w:p w14:paraId="16F95AC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用于对样本分离出的细菌、真菌鉴定。</w:t>
            </w:r>
          </w:p>
          <w:p w14:paraId="35D67611">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2.频率在1-200Hz可调，激光波长355nm，激光发射次数≥200亿</w:t>
            </w:r>
            <w:r>
              <w:rPr>
                <w:rFonts w:hint="eastAsia" w:ascii="宋体" w:hAnsi="宋体" w:cs="宋体"/>
                <w:b w:val="0"/>
                <w:bCs w:val="0"/>
                <w:sz w:val="18"/>
                <w:szCs w:val="18"/>
                <w:lang w:val="en-US" w:eastAsia="zh-CN"/>
              </w:rPr>
              <w:t>。</w:t>
            </w:r>
          </w:p>
          <w:p w14:paraId="49E1ECA9">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3.仪器数据库系统：本地临床数据库＞1000种，包含细菌、真菌、分枝杆菌、支原体等病原微生物</w:t>
            </w:r>
            <w:r>
              <w:rPr>
                <w:rFonts w:hint="eastAsia" w:ascii="宋体" w:hAnsi="宋体" w:cs="宋体"/>
                <w:b w:val="0"/>
                <w:bCs w:val="0"/>
                <w:sz w:val="18"/>
                <w:szCs w:val="18"/>
                <w:lang w:val="en-US" w:eastAsia="zh-CN"/>
              </w:rPr>
              <w:t>。</w:t>
            </w:r>
          </w:p>
          <w:p w14:paraId="11C5E993">
            <w:pPr>
              <w:pStyle w:val="3"/>
              <w:spacing w:line="360" w:lineRule="auto"/>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4.鉴定结果评分采用双打分评分体系，鉴定结果更准确</w:t>
            </w:r>
            <w:r>
              <w:rPr>
                <w:rFonts w:hint="eastAsia" w:ascii="宋体" w:hAnsi="宋体" w:cs="宋体"/>
                <w:b w:val="0"/>
                <w:bCs w:val="0"/>
                <w:sz w:val="18"/>
                <w:szCs w:val="18"/>
                <w:lang w:val="en-US" w:eastAsia="zh-CN"/>
              </w:rPr>
              <w:t>。</w:t>
            </w:r>
          </w:p>
        </w:tc>
        <w:tc>
          <w:tcPr>
            <w:tcW w:w="4853" w:type="dxa"/>
            <w:noWrap w:val="0"/>
            <w:vAlign w:val="center"/>
          </w:tcPr>
          <w:p w14:paraId="45EE137C">
            <w:pPr>
              <w:numPr>
                <w:ilvl w:val="0"/>
                <w:numId w:val="0"/>
              </w:numPr>
              <w:spacing w:line="274" w:lineRule="exact"/>
              <w:jc w:val="both"/>
              <w:rPr>
                <w:rFonts w:hint="eastAsia" w:ascii="宋体" w:hAnsi="宋体" w:eastAsia="宋体" w:cs="宋体"/>
                <w:b w:val="0"/>
                <w:bCs w:val="0"/>
                <w:sz w:val="18"/>
                <w:szCs w:val="18"/>
                <w:lang w:val="en-US" w:eastAsia="zh-CN"/>
              </w:rPr>
            </w:pPr>
          </w:p>
        </w:tc>
      </w:tr>
      <w:tr w14:paraId="0136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4A8CD426">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spacing w:val="-1"/>
                <w:sz w:val="18"/>
                <w:szCs w:val="18"/>
              </w:rPr>
              <w:t>微生物血清学自动分析仪(内毒素、G 试验、GM</w:t>
            </w:r>
            <w:r>
              <w:rPr>
                <w:rFonts w:hint="eastAsia" w:ascii="宋体" w:hAnsi="宋体" w:eastAsia="宋体" w:cs="宋体"/>
                <w:spacing w:val="-4"/>
                <w:sz w:val="18"/>
                <w:szCs w:val="18"/>
              </w:rPr>
              <w:t>试验)</w:t>
            </w:r>
          </w:p>
        </w:tc>
        <w:tc>
          <w:tcPr>
            <w:tcW w:w="557" w:type="dxa"/>
            <w:noWrap w:val="0"/>
            <w:vAlign w:val="center"/>
          </w:tcPr>
          <w:p w14:paraId="7EDD9890">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08F5B5A6">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spacing w:val="-1"/>
                <w:sz w:val="18"/>
                <w:szCs w:val="18"/>
              </w:rPr>
              <w:t>微生物血清学自动分析仪(内毒素、G 试验、GM</w:t>
            </w:r>
            <w:r>
              <w:rPr>
                <w:rFonts w:hint="eastAsia" w:ascii="宋体" w:hAnsi="宋体" w:eastAsia="宋体" w:cs="宋体"/>
                <w:spacing w:val="-4"/>
                <w:sz w:val="18"/>
                <w:szCs w:val="18"/>
              </w:rPr>
              <w:t>试验</w:t>
            </w:r>
          </w:p>
        </w:tc>
        <w:tc>
          <w:tcPr>
            <w:tcW w:w="3131" w:type="dxa"/>
            <w:noWrap w:val="0"/>
            <w:vAlign w:val="center"/>
          </w:tcPr>
          <w:p w14:paraId="31C6D53A">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可检验内毒素、G 试验、GM 试验，包括前处理、孵育、清洗、读数及结果判断。</w:t>
            </w:r>
          </w:p>
          <w:p w14:paraId="667E51F0">
            <w:pPr>
              <w:numPr>
                <w:ilvl w:val="0"/>
                <w:numId w:val="0"/>
              </w:numPr>
              <w:spacing w:line="274" w:lineRule="exact"/>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单人份试剂条独立包装，随到随检， 减少浪费。仪器，试剂，耗材同一厂家生产，可溯源。</w:t>
            </w:r>
          </w:p>
        </w:tc>
        <w:tc>
          <w:tcPr>
            <w:tcW w:w="4853" w:type="dxa"/>
            <w:noWrap w:val="0"/>
            <w:vAlign w:val="center"/>
          </w:tcPr>
          <w:p w14:paraId="3962359F">
            <w:pPr>
              <w:spacing w:line="274" w:lineRule="exact"/>
              <w:jc w:val="both"/>
              <w:rPr>
                <w:rFonts w:hint="eastAsia" w:ascii="宋体" w:hAnsi="宋体" w:eastAsia="宋体" w:cs="宋体"/>
                <w:b w:val="0"/>
                <w:bCs w:val="0"/>
                <w:kern w:val="2"/>
                <w:sz w:val="18"/>
                <w:szCs w:val="18"/>
                <w:lang w:val="en-US" w:eastAsia="zh-CN" w:bidi="ar-SA"/>
              </w:rPr>
            </w:pPr>
          </w:p>
          <w:p w14:paraId="2140B2AC">
            <w:pPr>
              <w:spacing w:line="274" w:lineRule="exact"/>
              <w:jc w:val="both"/>
              <w:rPr>
                <w:rFonts w:hint="eastAsia" w:ascii="宋体" w:hAnsi="宋体" w:eastAsia="宋体" w:cs="宋体"/>
                <w:b w:val="0"/>
                <w:bCs w:val="0"/>
                <w:kern w:val="2"/>
                <w:sz w:val="18"/>
                <w:szCs w:val="18"/>
                <w:lang w:val="en-US" w:eastAsia="zh-CN" w:bidi="ar-SA"/>
              </w:rPr>
            </w:pPr>
          </w:p>
          <w:p w14:paraId="3862276B">
            <w:pPr>
              <w:spacing w:line="274" w:lineRule="exact"/>
              <w:jc w:val="both"/>
              <w:rPr>
                <w:rFonts w:hint="eastAsia" w:ascii="宋体" w:hAnsi="宋体" w:eastAsia="宋体" w:cs="宋体"/>
                <w:b w:val="0"/>
                <w:bCs w:val="0"/>
                <w:kern w:val="2"/>
                <w:sz w:val="18"/>
                <w:szCs w:val="18"/>
                <w:lang w:val="en-US" w:eastAsia="zh-CN" w:bidi="ar-SA"/>
              </w:rPr>
            </w:pPr>
          </w:p>
          <w:p w14:paraId="50FB69ED">
            <w:pPr>
              <w:spacing w:line="274" w:lineRule="exact"/>
              <w:jc w:val="both"/>
              <w:rPr>
                <w:rFonts w:hint="eastAsia" w:ascii="宋体" w:hAnsi="宋体" w:eastAsia="宋体" w:cs="宋体"/>
                <w:b w:val="0"/>
                <w:bCs w:val="0"/>
                <w:kern w:val="2"/>
                <w:sz w:val="18"/>
                <w:szCs w:val="18"/>
                <w:lang w:val="en-US" w:eastAsia="zh-CN" w:bidi="ar-SA"/>
              </w:rPr>
            </w:pPr>
          </w:p>
          <w:p w14:paraId="2E0AE9BA">
            <w:pPr>
              <w:spacing w:line="274" w:lineRule="exact"/>
              <w:jc w:val="both"/>
              <w:rPr>
                <w:rFonts w:hint="eastAsia" w:ascii="宋体" w:hAnsi="宋体" w:eastAsia="宋体" w:cs="宋体"/>
                <w:b w:val="0"/>
                <w:bCs w:val="0"/>
                <w:kern w:val="2"/>
                <w:sz w:val="18"/>
                <w:szCs w:val="18"/>
                <w:lang w:val="en-US" w:eastAsia="zh-CN" w:bidi="ar-SA"/>
              </w:rPr>
            </w:pPr>
          </w:p>
          <w:p w14:paraId="48A56DC5">
            <w:pPr>
              <w:spacing w:line="274" w:lineRule="exact"/>
              <w:jc w:val="both"/>
              <w:rPr>
                <w:rFonts w:hint="eastAsia" w:ascii="宋体" w:hAnsi="宋体" w:eastAsia="宋体" w:cs="宋体"/>
                <w:b w:val="0"/>
                <w:bCs w:val="0"/>
                <w:kern w:val="2"/>
                <w:sz w:val="18"/>
                <w:szCs w:val="18"/>
                <w:lang w:val="en-US" w:eastAsia="zh-CN" w:bidi="ar-SA"/>
              </w:rPr>
            </w:pPr>
          </w:p>
        </w:tc>
      </w:tr>
      <w:tr w14:paraId="0B59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4E4D22F7">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尿液干化学+沉渣流水线</w:t>
            </w:r>
          </w:p>
        </w:tc>
        <w:tc>
          <w:tcPr>
            <w:tcW w:w="557" w:type="dxa"/>
            <w:noWrap w:val="0"/>
            <w:vAlign w:val="center"/>
          </w:tcPr>
          <w:p w14:paraId="1BDDB84C">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399EAFFB">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尿液干化学+沉渣流水线</w:t>
            </w:r>
          </w:p>
        </w:tc>
        <w:tc>
          <w:tcPr>
            <w:tcW w:w="3131" w:type="dxa"/>
            <w:noWrap w:val="0"/>
            <w:vAlign w:val="center"/>
          </w:tcPr>
          <w:p w14:paraId="4E474E63">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测试项目：干化学≥11 项。</w:t>
            </w:r>
          </w:p>
          <w:p w14:paraId="7EC6847A">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检测速度: ≥100 测试/小时</w:t>
            </w:r>
          </w:p>
          <w:p w14:paraId="08FDC1D9">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全自动进样，仪器自动混匀、定量点样加样，连续进样。</w:t>
            </w:r>
          </w:p>
        </w:tc>
        <w:tc>
          <w:tcPr>
            <w:tcW w:w="4853" w:type="dxa"/>
            <w:noWrap w:val="0"/>
            <w:vAlign w:val="bottom"/>
          </w:tcPr>
          <w:p w14:paraId="451D5916">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要求：国家临床检验中心 2025 年第 1 次尿液化学分析按试剂分组统计结果，以常用项目比重统计独立分组且品牌下单一分组大于等于200家</w:t>
            </w:r>
            <w:r>
              <w:rPr>
                <w:rFonts w:hint="eastAsia" w:ascii="宋体" w:hAnsi="宋体" w:cs="宋体"/>
                <w:b w:val="0"/>
                <w:bCs w:val="0"/>
                <w:sz w:val="18"/>
                <w:szCs w:val="18"/>
                <w:lang w:val="en-US" w:eastAsia="zh-CN"/>
              </w:rPr>
              <w:t>。</w:t>
            </w:r>
          </w:p>
          <w:p w14:paraId="193F22B5">
            <w:pPr>
              <w:numPr>
                <w:ilvl w:val="0"/>
                <w:numId w:val="0"/>
              </w:numPr>
              <w:spacing w:line="274" w:lineRule="exact"/>
              <w:jc w:val="both"/>
              <w:rPr>
                <w:rFonts w:hint="eastAsia" w:ascii="宋体" w:hAnsi="宋体" w:eastAsia="宋体" w:cs="宋体"/>
                <w:b w:val="0"/>
                <w:bCs w:val="0"/>
                <w:sz w:val="18"/>
                <w:szCs w:val="18"/>
                <w:lang w:val="en-US" w:eastAsia="zh-CN"/>
              </w:rPr>
            </w:pPr>
          </w:p>
          <w:p w14:paraId="57A3D910">
            <w:pPr>
              <w:numPr>
                <w:ilvl w:val="0"/>
                <w:numId w:val="0"/>
              </w:numPr>
              <w:spacing w:line="274" w:lineRule="exact"/>
              <w:jc w:val="both"/>
              <w:rPr>
                <w:rFonts w:hint="eastAsia" w:ascii="宋体" w:hAnsi="宋体" w:eastAsia="宋体" w:cs="宋体"/>
                <w:b w:val="0"/>
                <w:bCs w:val="0"/>
                <w:sz w:val="18"/>
                <w:szCs w:val="18"/>
                <w:lang w:val="en-US" w:eastAsia="zh-CN"/>
              </w:rPr>
            </w:pPr>
          </w:p>
        </w:tc>
      </w:tr>
      <w:tr w14:paraId="4485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62ED19AA">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全自动化学发光</w:t>
            </w:r>
          </w:p>
          <w:p w14:paraId="4341F42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分析仪（小）</w:t>
            </w:r>
          </w:p>
        </w:tc>
        <w:tc>
          <w:tcPr>
            <w:tcW w:w="557" w:type="dxa"/>
            <w:noWrap w:val="0"/>
            <w:vAlign w:val="center"/>
          </w:tcPr>
          <w:p w14:paraId="111E33E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04978873">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全自动化学发光</w:t>
            </w:r>
          </w:p>
          <w:p w14:paraId="2167550C">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分析仪（急诊专用）</w:t>
            </w:r>
          </w:p>
        </w:tc>
        <w:tc>
          <w:tcPr>
            <w:tcW w:w="3131" w:type="dxa"/>
            <w:noWrap w:val="0"/>
            <w:vAlign w:val="center"/>
          </w:tcPr>
          <w:p w14:paraId="58A5C9B5">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检测速度: ≥100 测试/小时。</w:t>
            </w:r>
          </w:p>
          <w:p w14:paraId="52FF38CD">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项目：具备心肌标志物（高敏肌钙蛋白I，BNP，CK-MB，MYO）、炎症PCT、IL-6等。</w:t>
            </w:r>
          </w:p>
        </w:tc>
        <w:tc>
          <w:tcPr>
            <w:tcW w:w="4853" w:type="dxa"/>
            <w:noWrap w:val="0"/>
            <w:vAlign w:val="center"/>
          </w:tcPr>
          <w:p w14:paraId="46297A2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单样本检测时间≦12分钟</w:t>
            </w:r>
            <w:r>
              <w:rPr>
                <w:rFonts w:hint="eastAsia" w:ascii="宋体" w:hAnsi="宋体" w:cs="宋体"/>
                <w:b w:val="0"/>
                <w:bCs w:val="0"/>
                <w:sz w:val="18"/>
                <w:szCs w:val="18"/>
                <w:lang w:val="en-US" w:eastAsia="zh-CN"/>
              </w:rPr>
              <w:t>。</w:t>
            </w:r>
          </w:p>
          <w:p w14:paraId="5D2CCCBD">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具有自动进样，双通道LIS功能</w:t>
            </w:r>
            <w:r>
              <w:rPr>
                <w:rFonts w:hint="eastAsia" w:ascii="宋体" w:hAnsi="宋体" w:cs="宋体"/>
                <w:b w:val="0"/>
                <w:bCs w:val="0"/>
                <w:sz w:val="18"/>
                <w:szCs w:val="18"/>
                <w:lang w:val="en-US" w:eastAsia="zh-CN"/>
              </w:rPr>
              <w:t>。</w:t>
            </w:r>
          </w:p>
          <w:p w14:paraId="226FF90A">
            <w:pPr>
              <w:numPr>
                <w:ilvl w:val="0"/>
                <w:numId w:val="0"/>
              </w:numPr>
              <w:spacing w:line="274" w:lineRule="exact"/>
              <w:jc w:val="both"/>
              <w:rPr>
                <w:rFonts w:hint="eastAsia" w:ascii="宋体" w:hAnsi="宋体" w:eastAsia="宋体" w:cs="宋体"/>
                <w:b w:val="0"/>
                <w:bCs w:val="0"/>
                <w:w w:val="94"/>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加样针：一次性TIP，拒绝携带污染</w:t>
            </w:r>
            <w:r>
              <w:rPr>
                <w:rFonts w:hint="eastAsia" w:ascii="宋体" w:hAnsi="宋体" w:cs="宋体"/>
                <w:b w:val="0"/>
                <w:bCs w:val="0"/>
                <w:sz w:val="18"/>
                <w:szCs w:val="18"/>
                <w:lang w:val="en-US" w:eastAsia="zh-CN"/>
              </w:rPr>
              <w:t>。</w:t>
            </w:r>
          </w:p>
        </w:tc>
      </w:tr>
      <w:tr w14:paraId="7C30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14A6D01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全自动粪便分析仪</w:t>
            </w:r>
          </w:p>
        </w:tc>
        <w:tc>
          <w:tcPr>
            <w:tcW w:w="557" w:type="dxa"/>
            <w:noWrap w:val="0"/>
            <w:vAlign w:val="center"/>
          </w:tcPr>
          <w:p w14:paraId="2E9EBC3B">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10AFA715">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粪便分析仪</w:t>
            </w:r>
          </w:p>
        </w:tc>
        <w:tc>
          <w:tcPr>
            <w:tcW w:w="3131" w:type="dxa"/>
            <w:noWrap w:val="0"/>
            <w:vAlign w:val="center"/>
          </w:tcPr>
          <w:p w14:paraId="7BD83193">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1.工作原理：自动对大便颜色性状、金标卡、有形成分结果辩读、分类计数；</w:t>
            </w:r>
          </w:p>
          <w:p w14:paraId="6AA8C0F5">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2.送样装置：连续进样</w:t>
            </w:r>
          </w:p>
          <w:p w14:paraId="0AD73C08">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3.样本前处理：仪器自动完成样本稀释、搅拌、富集、过滤、加样；样本传送、检测及回收过程全密封。</w:t>
            </w:r>
          </w:p>
          <w:p w14:paraId="7C9CFC46">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4.全自控数码显微镜：高速显微镜结合高速摄像，快速采集有形成分图像，高低倍镜自动转换，自动更换视野，自动快速聚焦；</w:t>
            </w:r>
          </w:p>
          <w:p w14:paraId="6F91161E">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5.检测速度：综合速度≥50 个样本/小时；</w:t>
            </w:r>
          </w:p>
          <w:p w14:paraId="1C677535">
            <w:pPr>
              <w:numPr>
                <w:ilvl w:val="0"/>
                <w:numId w:val="0"/>
              </w:numPr>
              <w:spacing w:line="274" w:lineRule="exact"/>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6.报告方式：以数据、图像和文字描述相结合的方式发出综合报告， 为临床诊断提供全面参考信息；</w:t>
            </w:r>
          </w:p>
        </w:tc>
        <w:tc>
          <w:tcPr>
            <w:tcW w:w="4853" w:type="dxa"/>
            <w:noWrap w:val="0"/>
            <w:vAlign w:val="bottom"/>
          </w:tcPr>
          <w:p w14:paraId="6F0B90C4">
            <w:pPr>
              <w:spacing w:line="274" w:lineRule="exact"/>
              <w:rPr>
                <w:rFonts w:hint="eastAsia" w:ascii="宋体" w:hAnsi="宋体" w:eastAsia="宋体" w:cs="宋体"/>
                <w:b w:val="0"/>
                <w:bCs w:val="0"/>
                <w:kern w:val="2"/>
                <w:sz w:val="18"/>
                <w:szCs w:val="18"/>
                <w:lang w:val="en-US" w:eastAsia="zh-CN" w:bidi="ar-SA"/>
              </w:rPr>
            </w:pPr>
          </w:p>
          <w:p w14:paraId="13AE3841">
            <w:pPr>
              <w:spacing w:line="274" w:lineRule="exact"/>
              <w:rPr>
                <w:rFonts w:hint="eastAsia" w:ascii="宋体" w:hAnsi="宋体" w:eastAsia="宋体" w:cs="宋体"/>
                <w:b w:val="0"/>
                <w:bCs w:val="0"/>
                <w:kern w:val="2"/>
                <w:sz w:val="18"/>
                <w:szCs w:val="18"/>
                <w:lang w:val="en-US" w:eastAsia="zh-CN" w:bidi="ar-SA"/>
              </w:rPr>
            </w:pPr>
          </w:p>
          <w:p w14:paraId="03A0DBF5">
            <w:pPr>
              <w:spacing w:line="274" w:lineRule="exact"/>
              <w:rPr>
                <w:rFonts w:hint="eastAsia" w:ascii="宋体" w:hAnsi="宋体" w:eastAsia="宋体" w:cs="宋体"/>
                <w:b w:val="0"/>
                <w:bCs w:val="0"/>
                <w:kern w:val="2"/>
                <w:sz w:val="18"/>
                <w:szCs w:val="18"/>
                <w:lang w:val="en-US" w:eastAsia="zh-CN" w:bidi="ar-SA"/>
              </w:rPr>
            </w:pPr>
          </w:p>
        </w:tc>
      </w:tr>
      <w:tr w14:paraId="2EFB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483C913A">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血沉仪</w:t>
            </w:r>
          </w:p>
        </w:tc>
        <w:tc>
          <w:tcPr>
            <w:tcW w:w="557" w:type="dxa"/>
            <w:noWrap w:val="0"/>
            <w:vAlign w:val="center"/>
          </w:tcPr>
          <w:p w14:paraId="6FDEA163">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40016D2B">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血沉仪</w:t>
            </w:r>
          </w:p>
        </w:tc>
        <w:tc>
          <w:tcPr>
            <w:tcW w:w="3131" w:type="dxa"/>
            <w:noWrap w:val="0"/>
            <w:vAlign w:val="center"/>
          </w:tcPr>
          <w:p w14:paraId="7F9E2E95">
            <w:pPr>
              <w:pStyle w:val="3"/>
              <w:spacing w:line="360" w:lineRule="auto"/>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2O孔</w:t>
            </w:r>
          </w:p>
        </w:tc>
        <w:tc>
          <w:tcPr>
            <w:tcW w:w="4853" w:type="dxa"/>
            <w:noWrap w:val="0"/>
            <w:vAlign w:val="bottom"/>
          </w:tcPr>
          <w:p w14:paraId="60E77FC2">
            <w:pPr>
              <w:spacing w:line="274" w:lineRule="exact"/>
              <w:rPr>
                <w:rFonts w:hint="eastAsia" w:ascii="宋体" w:hAnsi="宋体" w:eastAsia="宋体" w:cs="宋体"/>
                <w:b w:val="0"/>
                <w:bCs w:val="0"/>
                <w:kern w:val="2"/>
                <w:sz w:val="18"/>
                <w:szCs w:val="18"/>
                <w:lang w:val="en-US" w:eastAsia="zh-CN" w:bidi="ar-SA"/>
              </w:rPr>
            </w:pPr>
          </w:p>
        </w:tc>
      </w:tr>
      <w:tr w14:paraId="6DD6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63D5DA11">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电解质分析仪（含CO2)</w:t>
            </w:r>
          </w:p>
        </w:tc>
        <w:tc>
          <w:tcPr>
            <w:tcW w:w="557" w:type="dxa"/>
            <w:noWrap w:val="0"/>
            <w:vAlign w:val="center"/>
          </w:tcPr>
          <w:p w14:paraId="1C0D0507">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208D6050">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电解质分析仪（含CO2)</w:t>
            </w:r>
          </w:p>
        </w:tc>
        <w:tc>
          <w:tcPr>
            <w:tcW w:w="3131" w:type="dxa"/>
            <w:noWrap w:val="0"/>
            <w:vAlign w:val="center"/>
          </w:tcPr>
          <w:p w14:paraId="2CAE5BBD">
            <w:pPr>
              <w:numPr>
                <w:ilvl w:val="0"/>
                <w:numId w:val="0"/>
              </w:numPr>
              <w:spacing w:line="274" w:lineRule="exact"/>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需含自动进样及项目K/NA/CI/TCa/TCO2</w:t>
            </w:r>
          </w:p>
        </w:tc>
        <w:tc>
          <w:tcPr>
            <w:tcW w:w="4853" w:type="dxa"/>
            <w:noWrap w:val="0"/>
            <w:vAlign w:val="bottom"/>
          </w:tcPr>
          <w:p w14:paraId="0973549A">
            <w:pPr>
              <w:spacing w:line="274" w:lineRule="exact"/>
              <w:rPr>
                <w:rFonts w:hint="eastAsia" w:ascii="宋体" w:hAnsi="宋体" w:eastAsia="宋体" w:cs="宋体"/>
                <w:b w:val="0"/>
                <w:bCs w:val="0"/>
                <w:kern w:val="2"/>
                <w:sz w:val="18"/>
                <w:szCs w:val="18"/>
                <w:lang w:val="en-US" w:eastAsia="zh-CN" w:bidi="ar-SA"/>
              </w:rPr>
            </w:pPr>
          </w:p>
        </w:tc>
      </w:tr>
      <w:tr w14:paraId="7F64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49BE4CAF">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全自动阴道炎分析系统</w:t>
            </w:r>
          </w:p>
        </w:tc>
        <w:tc>
          <w:tcPr>
            <w:tcW w:w="557" w:type="dxa"/>
            <w:noWrap w:val="0"/>
            <w:vAlign w:val="center"/>
          </w:tcPr>
          <w:p w14:paraId="2DAC7964">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015049C8">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全自动阴道炎分析仪</w:t>
            </w:r>
          </w:p>
        </w:tc>
        <w:tc>
          <w:tcPr>
            <w:tcW w:w="3131" w:type="dxa"/>
            <w:noWrap w:val="0"/>
            <w:vAlign w:val="bottom"/>
          </w:tcPr>
          <w:p w14:paraId="4CF10EA3">
            <w:pPr>
              <w:spacing w:line="274" w:lineRule="exact"/>
              <w:rPr>
                <w:rFonts w:hint="eastAsia" w:ascii="宋体" w:hAnsi="宋体" w:eastAsia="宋体" w:cs="宋体"/>
                <w:b w:val="0"/>
                <w:bCs w:val="0"/>
                <w:sz w:val="18"/>
                <w:szCs w:val="18"/>
              </w:rPr>
            </w:pPr>
          </w:p>
          <w:p w14:paraId="07903488">
            <w:pPr>
              <w:spacing w:line="274" w:lineRule="exact"/>
              <w:rPr>
                <w:rFonts w:hint="eastAsia" w:ascii="宋体" w:hAnsi="宋体" w:eastAsia="宋体" w:cs="宋体"/>
                <w:b w:val="0"/>
                <w:bCs w:val="0"/>
                <w:sz w:val="18"/>
                <w:szCs w:val="18"/>
              </w:rPr>
            </w:pPr>
          </w:p>
          <w:p w14:paraId="32B96444">
            <w:pPr>
              <w:spacing w:line="274"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检</w:t>
            </w:r>
            <w:r>
              <w:rPr>
                <w:rFonts w:hint="eastAsia" w:ascii="宋体" w:hAnsi="宋体" w:eastAsia="宋体" w:cs="宋体"/>
                <w:b w:val="0"/>
                <w:bCs w:val="0"/>
                <w:sz w:val="18"/>
                <w:szCs w:val="18"/>
                <w:lang w:val="en-US" w:eastAsia="zh-CN"/>
              </w:rPr>
              <w:t>测速度：≥30 标本/小时。</w:t>
            </w:r>
          </w:p>
          <w:p w14:paraId="7E492623">
            <w:pPr>
              <w:spacing w:line="274" w:lineRule="exact"/>
              <w:rPr>
                <w:rFonts w:hint="eastAsia" w:ascii="宋体" w:hAnsi="宋体" w:eastAsia="宋体" w:cs="宋体"/>
                <w:b w:val="0"/>
                <w:bCs w:val="0"/>
                <w:sz w:val="18"/>
                <w:szCs w:val="18"/>
              </w:rPr>
            </w:pPr>
          </w:p>
          <w:p w14:paraId="2A68019B">
            <w:pPr>
              <w:spacing w:line="274" w:lineRule="exact"/>
              <w:rPr>
                <w:rFonts w:hint="eastAsia" w:ascii="宋体" w:hAnsi="宋体" w:eastAsia="宋体" w:cs="宋体"/>
                <w:b w:val="0"/>
                <w:bCs w:val="0"/>
                <w:sz w:val="18"/>
                <w:szCs w:val="18"/>
              </w:rPr>
            </w:pPr>
          </w:p>
          <w:p w14:paraId="0A59D8A0">
            <w:pPr>
              <w:spacing w:line="274" w:lineRule="exact"/>
              <w:rPr>
                <w:rFonts w:hint="eastAsia" w:ascii="宋体" w:hAnsi="宋体" w:eastAsia="宋体" w:cs="宋体"/>
                <w:b w:val="0"/>
                <w:bCs w:val="0"/>
                <w:sz w:val="18"/>
                <w:szCs w:val="18"/>
              </w:rPr>
            </w:pPr>
          </w:p>
          <w:p w14:paraId="1FA7BA6C">
            <w:pPr>
              <w:spacing w:line="274" w:lineRule="exact"/>
              <w:rPr>
                <w:rFonts w:hint="eastAsia" w:ascii="宋体" w:hAnsi="宋体" w:eastAsia="宋体" w:cs="宋体"/>
                <w:b w:val="0"/>
                <w:bCs w:val="0"/>
                <w:sz w:val="18"/>
                <w:szCs w:val="18"/>
                <w:lang w:val="en-US" w:eastAsia="zh-CN"/>
              </w:rPr>
            </w:pPr>
          </w:p>
        </w:tc>
        <w:tc>
          <w:tcPr>
            <w:tcW w:w="4853" w:type="dxa"/>
            <w:noWrap w:val="0"/>
            <w:vAlign w:val="bottom"/>
          </w:tcPr>
          <w:p w14:paraId="52D93383">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干化学项目：检测项目须包括(不限于)pH 值、过氧化氢、白细胞酯酶、唾液酸苷酶、乙酰氨基葡萄糖苷酶、β-葡萄糖醛酸酶。</w:t>
            </w:r>
          </w:p>
          <w:p w14:paraId="56AF40A8">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有形成分：包括红细胞、白细胞、上皮细胞、线索细胞、阴道毛滴虫、真菌、细菌等所有镜下有形成分</w:t>
            </w:r>
          </w:p>
          <w:p w14:paraId="34FD432C">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可联合显微镜检结果和干化学检查结果对生殖微生态状况进行评价。</w:t>
            </w:r>
          </w:p>
          <w:p w14:paraId="328746D8">
            <w:pPr>
              <w:numPr>
                <w:ilvl w:val="0"/>
                <w:numId w:val="0"/>
              </w:numPr>
              <w:spacing w:line="274" w:lineRule="exact"/>
              <w:jc w:val="both"/>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4.</w:t>
            </w:r>
            <w:r>
              <w:rPr>
                <w:rFonts w:hint="eastAsia" w:ascii="宋体" w:hAnsi="宋体" w:eastAsia="宋体" w:cs="宋体"/>
                <w:b w:val="0"/>
                <w:bCs w:val="0"/>
                <w:sz w:val="18"/>
                <w:szCs w:val="18"/>
                <w:lang w:val="en-US" w:eastAsia="zh-CN"/>
              </w:rPr>
              <w:t>报告方式：可综合报告干化学及有形成分计数结果提供高低倍镜下实景图，图文并茂。</w:t>
            </w:r>
          </w:p>
        </w:tc>
      </w:tr>
      <w:tr w14:paraId="7C19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016DADA5">
            <w:pPr>
              <w:widowControl/>
              <w:jc w:val="both"/>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智能采血管分拣系统</w:t>
            </w:r>
          </w:p>
          <w:p w14:paraId="008169A8">
            <w:pPr>
              <w:widowControl/>
              <w:jc w:val="both"/>
              <w:rPr>
                <w:rFonts w:hint="eastAsia" w:ascii="宋体" w:hAnsi="宋体" w:eastAsia="宋体" w:cs="宋体"/>
                <w:b w:val="0"/>
                <w:bCs w:val="0"/>
                <w:kern w:val="0"/>
                <w:sz w:val="18"/>
                <w:szCs w:val="18"/>
                <w:lang w:val="en-US" w:eastAsia="zh-CN"/>
              </w:rPr>
            </w:pPr>
          </w:p>
        </w:tc>
        <w:tc>
          <w:tcPr>
            <w:tcW w:w="557" w:type="dxa"/>
            <w:noWrap w:val="0"/>
            <w:vAlign w:val="center"/>
          </w:tcPr>
          <w:p w14:paraId="57C1E531">
            <w:pPr>
              <w:widowControl/>
              <w:jc w:val="both"/>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1套</w:t>
            </w:r>
          </w:p>
        </w:tc>
        <w:tc>
          <w:tcPr>
            <w:tcW w:w="1686" w:type="dxa"/>
            <w:noWrap w:val="0"/>
            <w:vAlign w:val="center"/>
          </w:tcPr>
          <w:p w14:paraId="4E5FC828">
            <w:pPr>
              <w:widowControl/>
              <w:jc w:val="both"/>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智能采血管分拣系统</w:t>
            </w:r>
          </w:p>
        </w:tc>
        <w:tc>
          <w:tcPr>
            <w:tcW w:w="3131" w:type="dxa"/>
            <w:noWrap w:val="0"/>
            <w:vAlign w:val="center"/>
          </w:tcPr>
          <w:p w14:paraId="63C40B50">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1.设备用途：根据扫描血液标本条形码信息，实现标本全自动核收和分类，支持按需设置多种分拣规则。</w:t>
            </w:r>
          </w:p>
          <w:p w14:paraId="3CCCF433">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2、智能分拣速度≥1500 管/H。</w:t>
            </w:r>
          </w:p>
          <w:p w14:paraId="258FFFFC">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3、正常样本输出口≥12个，有不合格样本输出口。</w:t>
            </w:r>
          </w:p>
          <w:p w14:paraId="02848922">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4、实时监控分拣过程，记录样本分拣时间。</w:t>
            </w:r>
          </w:p>
          <w:p w14:paraId="53F2035B">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5、具有统计采血管数量和数据查询功能。</w:t>
            </w:r>
          </w:p>
          <w:p w14:paraId="55F1C6B8">
            <w:pPr>
              <w:numPr>
                <w:ilvl w:val="0"/>
                <w:numId w:val="0"/>
              </w:numPr>
              <w:spacing w:line="274" w:lineRule="exact"/>
              <w:jc w:val="both"/>
              <w:rPr>
                <w:rFonts w:hint="eastAsia" w:ascii="宋体" w:hAnsi="宋体" w:eastAsia="宋体" w:cs="宋体"/>
                <w:b w:val="0"/>
                <w:bCs w:val="0"/>
                <w:w w:val="94"/>
                <w:kern w:val="2"/>
                <w:sz w:val="18"/>
                <w:szCs w:val="18"/>
                <w:lang w:val="en-US" w:eastAsia="zh-CN" w:bidi="ar-SA"/>
              </w:rPr>
            </w:pPr>
            <w:r>
              <w:rPr>
                <w:rFonts w:hint="eastAsia" w:ascii="宋体" w:hAnsi="宋体" w:eastAsia="宋体" w:cs="宋体"/>
                <w:b w:val="0"/>
                <w:bCs w:val="0"/>
                <w:sz w:val="18"/>
                <w:szCs w:val="18"/>
                <w:lang w:val="en-US" w:eastAsia="zh-CN"/>
              </w:rPr>
              <w:t>不限于以上功能配置。</w:t>
            </w:r>
          </w:p>
        </w:tc>
        <w:tc>
          <w:tcPr>
            <w:tcW w:w="4853" w:type="dxa"/>
            <w:noWrap w:val="0"/>
            <w:vAlign w:val="center"/>
          </w:tcPr>
          <w:p w14:paraId="4FC8C480">
            <w:pPr>
              <w:spacing w:line="274" w:lineRule="exact"/>
              <w:jc w:val="both"/>
              <w:rPr>
                <w:rFonts w:hint="eastAsia" w:ascii="宋体" w:hAnsi="宋体" w:eastAsia="宋体" w:cs="宋体"/>
                <w:b w:val="0"/>
                <w:bCs w:val="0"/>
                <w:w w:val="96"/>
                <w:kern w:val="2"/>
                <w:sz w:val="18"/>
                <w:szCs w:val="18"/>
                <w:lang w:val="en-US" w:eastAsia="zh-CN" w:bidi="ar-SA"/>
              </w:rPr>
            </w:pPr>
          </w:p>
          <w:p w14:paraId="426C124A">
            <w:pPr>
              <w:spacing w:line="274" w:lineRule="exact"/>
              <w:jc w:val="both"/>
              <w:rPr>
                <w:rFonts w:hint="eastAsia" w:ascii="宋体" w:hAnsi="宋体" w:eastAsia="宋体" w:cs="宋体"/>
                <w:b w:val="0"/>
                <w:bCs w:val="0"/>
                <w:w w:val="96"/>
                <w:kern w:val="2"/>
                <w:sz w:val="18"/>
                <w:szCs w:val="18"/>
                <w:lang w:val="en-US" w:eastAsia="zh-CN" w:bidi="ar-SA"/>
              </w:rPr>
            </w:pPr>
          </w:p>
          <w:p w14:paraId="2F8403A5">
            <w:pPr>
              <w:spacing w:line="274" w:lineRule="exact"/>
              <w:jc w:val="both"/>
              <w:rPr>
                <w:rFonts w:hint="eastAsia" w:ascii="宋体" w:hAnsi="宋体" w:eastAsia="宋体" w:cs="宋体"/>
                <w:b w:val="0"/>
                <w:bCs w:val="0"/>
                <w:w w:val="96"/>
                <w:kern w:val="2"/>
                <w:sz w:val="18"/>
                <w:szCs w:val="18"/>
                <w:lang w:val="en-US" w:eastAsia="zh-CN" w:bidi="ar-SA"/>
              </w:rPr>
            </w:pPr>
          </w:p>
          <w:p w14:paraId="773BD0E1">
            <w:pPr>
              <w:spacing w:line="274" w:lineRule="exact"/>
              <w:jc w:val="both"/>
              <w:rPr>
                <w:rFonts w:hint="eastAsia" w:ascii="宋体" w:hAnsi="宋体" w:eastAsia="宋体" w:cs="宋体"/>
                <w:b w:val="0"/>
                <w:bCs w:val="0"/>
                <w:w w:val="96"/>
                <w:kern w:val="2"/>
                <w:sz w:val="18"/>
                <w:szCs w:val="18"/>
                <w:lang w:val="en-US" w:eastAsia="zh-CN" w:bidi="ar-SA"/>
              </w:rPr>
            </w:pPr>
          </w:p>
          <w:p w14:paraId="02A96C25">
            <w:pPr>
              <w:spacing w:line="274" w:lineRule="exact"/>
              <w:jc w:val="both"/>
              <w:rPr>
                <w:rFonts w:hint="eastAsia" w:ascii="宋体" w:hAnsi="宋体" w:eastAsia="宋体" w:cs="宋体"/>
                <w:b w:val="0"/>
                <w:bCs w:val="0"/>
                <w:w w:val="96"/>
                <w:kern w:val="2"/>
                <w:sz w:val="18"/>
                <w:szCs w:val="18"/>
                <w:lang w:val="en-US" w:eastAsia="zh-CN" w:bidi="ar-SA"/>
              </w:rPr>
            </w:pPr>
          </w:p>
          <w:p w14:paraId="00DA3341">
            <w:pPr>
              <w:spacing w:line="274" w:lineRule="exact"/>
              <w:jc w:val="both"/>
              <w:rPr>
                <w:rFonts w:hint="eastAsia" w:ascii="宋体" w:hAnsi="宋体" w:eastAsia="宋体" w:cs="宋体"/>
                <w:b w:val="0"/>
                <w:bCs w:val="0"/>
                <w:w w:val="96"/>
                <w:kern w:val="2"/>
                <w:sz w:val="18"/>
                <w:szCs w:val="18"/>
                <w:lang w:val="en-US" w:eastAsia="zh-CN" w:bidi="ar-SA"/>
              </w:rPr>
            </w:pPr>
          </w:p>
          <w:p w14:paraId="1B7EA9B4">
            <w:pPr>
              <w:spacing w:line="274" w:lineRule="exact"/>
              <w:jc w:val="both"/>
              <w:rPr>
                <w:rFonts w:hint="eastAsia" w:ascii="宋体" w:hAnsi="宋体" w:eastAsia="宋体" w:cs="宋体"/>
                <w:b w:val="0"/>
                <w:bCs w:val="0"/>
                <w:w w:val="96"/>
                <w:kern w:val="2"/>
                <w:sz w:val="18"/>
                <w:szCs w:val="18"/>
                <w:lang w:val="en-US" w:eastAsia="zh-CN" w:bidi="ar-SA"/>
              </w:rPr>
            </w:pPr>
          </w:p>
          <w:p w14:paraId="5E1D5009">
            <w:pPr>
              <w:spacing w:line="274" w:lineRule="exact"/>
              <w:jc w:val="both"/>
              <w:rPr>
                <w:rFonts w:hint="eastAsia" w:ascii="宋体" w:hAnsi="宋体" w:eastAsia="宋体" w:cs="宋体"/>
                <w:b w:val="0"/>
                <w:bCs w:val="0"/>
                <w:w w:val="96"/>
                <w:kern w:val="2"/>
                <w:sz w:val="18"/>
                <w:szCs w:val="18"/>
                <w:lang w:val="en-US" w:eastAsia="zh-CN" w:bidi="ar-SA"/>
              </w:rPr>
            </w:pPr>
          </w:p>
          <w:p w14:paraId="179CF244">
            <w:pPr>
              <w:spacing w:line="274" w:lineRule="exact"/>
              <w:jc w:val="both"/>
              <w:rPr>
                <w:rFonts w:hint="eastAsia" w:ascii="宋体" w:hAnsi="宋体" w:eastAsia="宋体" w:cs="宋体"/>
                <w:b w:val="0"/>
                <w:bCs w:val="0"/>
                <w:w w:val="96"/>
                <w:kern w:val="2"/>
                <w:sz w:val="18"/>
                <w:szCs w:val="18"/>
                <w:lang w:val="en-US" w:eastAsia="zh-CN" w:bidi="ar-SA"/>
              </w:rPr>
            </w:pPr>
          </w:p>
        </w:tc>
      </w:tr>
      <w:tr w14:paraId="07F5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70B5813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智能采血管理系统</w:t>
            </w:r>
          </w:p>
          <w:p w14:paraId="3AEA1F99">
            <w:pPr>
              <w:widowControl/>
              <w:jc w:val="center"/>
              <w:rPr>
                <w:rFonts w:hint="eastAsia" w:ascii="宋体" w:hAnsi="宋体" w:eastAsia="宋体" w:cs="宋体"/>
                <w:b w:val="0"/>
                <w:bCs w:val="0"/>
                <w:kern w:val="0"/>
                <w:sz w:val="18"/>
                <w:szCs w:val="18"/>
                <w:lang w:val="en-US" w:eastAsia="zh-CN"/>
              </w:rPr>
            </w:pPr>
          </w:p>
        </w:tc>
        <w:tc>
          <w:tcPr>
            <w:tcW w:w="557" w:type="dxa"/>
            <w:noWrap w:val="0"/>
            <w:vAlign w:val="center"/>
          </w:tcPr>
          <w:p w14:paraId="4D905B87">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2套</w:t>
            </w:r>
          </w:p>
        </w:tc>
        <w:tc>
          <w:tcPr>
            <w:tcW w:w="1686" w:type="dxa"/>
            <w:noWrap w:val="0"/>
            <w:vAlign w:val="center"/>
          </w:tcPr>
          <w:p w14:paraId="64793505">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智能采血管理系统</w:t>
            </w:r>
          </w:p>
        </w:tc>
        <w:tc>
          <w:tcPr>
            <w:tcW w:w="3131" w:type="dxa"/>
            <w:noWrap w:val="0"/>
            <w:vAlign w:val="bottom"/>
          </w:tcPr>
          <w:p w14:paraId="7034B9F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设备用途：可实现全自动选管贴标，通过扫描获取患者信息，根据检验医嘱自动选取所需试管，将标签规范黏贴至试管上并自动出管</w:t>
            </w:r>
            <w:r>
              <w:rPr>
                <w:rFonts w:hint="eastAsia" w:ascii="宋体" w:hAnsi="宋体" w:cs="宋体"/>
                <w:b w:val="0"/>
                <w:bCs w:val="0"/>
                <w:sz w:val="18"/>
                <w:szCs w:val="18"/>
                <w:lang w:val="en-US" w:eastAsia="zh-CN"/>
              </w:rPr>
              <w:t>。</w:t>
            </w:r>
          </w:p>
          <w:p w14:paraId="0EB06EE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单台设备试管容量≥500支，单台设备备管速度≥500支/小时。</w:t>
            </w:r>
          </w:p>
          <w:p w14:paraId="351CD36A">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条码标签输出格式可设定，支持条码类型：code128、code39、JAN、2of5、NW-7、UPC-A、UPC-E等；支持文字类型：汉字、英文、数字、标点符号等，同时可快速替换提前装好打印纸的打印模块</w:t>
            </w:r>
            <w:r>
              <w:rPr>
                <w:rFonts w:hint="eastAsia" w:ascii="宋体" w:hAnsi="宋体" w:cs="宋体"/>
                <w:b w:val="0"/>
                <w:bCs w:val="0"/>
                <w:sz w:val="18"/>
                <w:szCs w:val="18"/>
                <w:lang w:val="en-US" w:eastAsia="zh-CN"/>
              </w:rPr>
              <w:t>。</w:t>
            </w:r>
          </w:p>
          <w:p w14:paraId="076803BD">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w:t>
            </w:r>
            <w:r>
              <w:rPr>
                <w:rFonts w:hint="eastAsia" w:ascii="宋体" w:hAnsi="宋体" w:eastAsia="宋体" w:cs="宋体"/>
                <w:b w:val="0"/>
                <w:bCs w:val="0"/>
                <w:sz w:val="18"/>
                <w:szCs w:val="18"/>
                <w:lang w:val="en-US" w:eastAsia="zh-CN"/>
              </w:rPr>
              <w:t>采血管装载：滑道式试管道加管，试管呈垂直有序排列状态，配专用加管工具；非试管水平放入、倾倒式无序加管和整板加管。</w:t>
            </w:r>
          </w:p>
          <w:p w14:paraId="7D12D0D7">
            <w:pPr>
              <w:numPr>
                <w:ilvl w:val="0"/>
                <w:numId w:val="0"/>
              </w:numPr>
              <w:spacing w:line="274" w:lineRule="exact"/>
              <w:jc w:val="both"/>
              <w:rPr>
                <w:rFonts w:hint="eastAsia" w:ascii="宋体" w:hAnsi="宋体" w:eastAsia="宋体" w:cs="宋体"/>
                <w:bCs/>
                <w:sz w:val="18"/>
                <w:szCs w:val="18"/>
                <w:lang w:val="en-US" w:eastAsia="zh-CN"/>
              </w:rPr>
            </w:pPr>
            <w:r>
              <w:rPr>
                <w:rFonts w:hint="eastAsia" w:ascii="宋体" w:hAnsi="宋体" w:eastAsia="宋体" w:cs="宋体"/>
                <w:b w:val="0"/>
                <w:bCs w:val="0"/>
                <w:sz w:val="18"/>
                <w:szCs w:val="18"/>
                <w:lang w:val="en-US" w:eastAsia="zh-CN"/>
              </w:rPr>
              <w:t>不限于以上功能配置</w:t>
            </w:r>
            <w:r>
              <w:rPr>
                <w:rFonts w:hint="eastAsia" w:ascii="宋体" w:hAnsi="宋体" w:cs="宋体"/>
                <w:b w:val="0"/>
                <w:bCs w:val="0"/>
                <w:sz w:val="18"/>
                <w:szCs w:val="18"/>
                <w:lang w:val="en-US" w:eastAsia="zh-CN"/>
              </w:rPr>
              <w:t>。</w:t>
            </w:r>
          </w:p>
        </w:tc>
        <w:tc>
          <w:tcPr>
            <w:tcW w:w="4853" w:type="dxa"/>
            <w:noWrap w:val="0"/>
            <w:vAlign w:val="bottom"/>
          </w:tcPr>
          <w:p w14:paraId="283B6825">
            <w:pPr>
              <w:spacing w:line="274" w:lineRule="exact"/>
              <w:jc w:val="center"/>
              <w:rPr>
                <w:rFonts w:hint="eastAsia" w:ascii="宋体" w:hAnsi="宋体" w:eastAsia="宋体" w:cs="宋体"/>
                <w:b w:val="0"/>
                <w:bCs w:val="0"/>
                <w:w w:val="96"/>
                <w:kern w:val="2"/>
                <w:sz w:val="18"/>
                <w:szCs w:val="18"/>
                <w:lang w:val="en-US" w:eastAsia="zh-CN" w:bidi="ar-SA"/>
              </w:rPr>
            </w:pPr>
          </w:p>
        </w:tc>
      </w:tr>
      <w:tr w14:paraId="2DA9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008CA2AC">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血型鉴定配血系统</w:t>
            </w:r>
          </w:p>
        </w:tc>
        <w:tc>
          <w:tcPr>
            <w:tcW w:w="557" w:type="dxa"/>
            <w:noWrap w:val="0"/>
            <w:vAlign w:val="center"/>
          </w:tcPr>
          <w:p w14:paraId="3830DCEE">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0DA08AB7">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全自动血型鉴定/配血分析仪</w:t>
            </w:r>
          </w:p>
        </w:tc>
        <w:tc>
          <w:tcPr>
            <w:tcW w:w="3131" w:type="dxa"/>
            <w:noWrap w:val="0"/>
            <w:vAlign w:val="bottom"/>
          </w:tcPr>
          <w:p w14:paraId="7DDF5DAC">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样本位≥36 个。</w:t>
            </w:r>
          </w:p>
          <w:p w14:paraId="4D5209DE">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血型卡位≥80 个。</w:t>
            </w:r>
          </w:p>
          <w:p w14:paraId="59CE7D2E">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1 台独立封闭离心机，同时可离心≥8 张卡。</w:t>
            </w:r>
          </w:p>
          <w:p w14:paraId="7610C782">
            <w:pPr>
              <w:numPr>
                <w:ilvl w:val="0"/>
                <w:numId w:val="0"/>
              </w:numPr>
              <w:spacing w:line="274" w:lineRule="exact"/>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4</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结果拍照判读，图像清晰可保存备查。</w:t>
            </w:r>
          </w:p>
        </w:tc>
        <w:tc>
          <w:tcPr>
            <w:tcW w:w="4853" w:type="dxa"/>
            <w:noWrap w:val="0"/>
            <w:vAlign w:val="bottom"/>
          </w:tcPr>
          <w:p w14:paraId="39C624C8">
            <w:pPr>
              <w:spacing w:line="274" w:lineRule="exact"/>
              <w:rPr>
                <w:rFonts w:hint="eastAsia" w:ascii="宋体" w:hAnsi="宋体" w:eastAsia="宋体" w:cs="宋体"/>
                <w:b w:val="0"/>
                <w:bCs w:val="0"/>
                <w:w w:val="94"/>
                <w:kern w:val="2"/>
                <w:sz w:val="18"/>
                <w:szCs w:val="18"/>
                <w:lang w:val="en-US" w:eastAsia="zh-CN" w:bidi="ar-SA"/>
              </w:rPr>
            </w:pPr>
          </w:p>
          <w:p w14:paraId="0110C9F9">
            <w:pPr>
              <w:spacing w:line="274" w:lineRule="exact"/>
              <w:rPr>
                <w:rFonts w:hint="eastAsia" w:ascii="宋体" w:hAnsi="宋体" w:eastAsia="宋体" w:cs="宋体"/>
                <w:b w:val="0"/>
                <w:bCs w:val="0"/>
                <w:w w:val="94"/>
                <w:kern w:val="2"/>
                <w:sz w:val="18"/>
                <w:szCs w:val="18"/>
                <w:lang w:val="en-US" w:eastAsia="zh-CN" w:bidi="ar-SA"/>
              </w:rPr>
            </w:pPr>
          </w:p>
          <w:p w14:paraId="518B53B3">
            <w:pPr>
              <w:spacing w:line="274" w:lineRule="exact"/>
              <w:rPr>
                <w:rFonts w:hint="eastAsia" w:ascii="宋体" w:hAnsi="宋体" w:eastAsia="宋体" w:cs="宋体"/>
                <w:b w:val="0"/>
                <w:bCs w:val="0"/>
                <w:w w:val="94"/>
                <w:kern w:val="2"/>
                <w:sz w:val="18"/>
                <w:szCs w:val="18"/>
                <w:lang w:val="en-US" w:eastAsia="zh-CN" w:bidi="ar-SA"/>
              </w:rPr>
            </w:pPr>
          </w:p>
          <w:p w14:paraId="0EB794D3">
            <w:pPr>
              <w:spacing w:line="274" w:lineRule="exact"/>
              <w:rPr>
                <w:rFonts w:hint="eastAsia" w:ascii="宋体" w:hAnsi="宋体" w:eastAsia="宋体" w:cs="宋体"/>
                <w:b w:val="0"/>
                <w:bCs w:val="0"/>
                <w:w w:val="94"/>
                <w:kern w:val="2"/>
                <w:sz w:val="18"/>
                <w:szCs w:val="18"/>
                <w:lang w:val="en-US" w:eastAsia="zh-CN" w:bidi="ar-SA"/>
              </w:rPr>
            </w:pPr>
          </w:p>
        </w:tc>
      </w:tr>
      <w:tr w14:paraId="007E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0C0D81F6">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全自动染片机</w:t>
            </w:r>
          </w:p>
        </w:tc>
        <w:tc>
          <w:tcPr>
            <w:tcW w:w="557" w:type="dxa"/>
            <w:noWrap w:val="0"/>
            <w:vAlign w:val="center"/>
          </w:tcPr>
          <w:p w14:paraId="30680F85">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06944F4F">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全自动染片机</w:t>
            </w:r>
          </w:p>
        </w:tc>
        <w:tc>
          <w:tcPr>
            <w:tcW w:w="3131" w:type="dxa"/>
            <w:noWrap w:val="0"/>
            <w:vAlign w:val="bottom"/>
          </w:tcPr>
          <w:p w14:paraId="10AAB6A7">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同时染片数量≥32 片</w:t>
            </w:r>
          </w:p>
          <w:p w14:paraId="32F461F1">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可提供革兰氏染色和抗酸染色</w:t>
            </w:r>
          </w:p>
        </w:tc>
        <w:tc>
          <w:tcPr>
            <w:tcW w:w="4853" w:type="dxa"/>
            <w:noWrap w:val="0"/>
            <w:vAlign w:val="bottom"/>
          </w:tcPr>
          <w:p w14:paraId="6AE5B141">
            <w:pPr>
              <w:spacing w:line="274" w:lineRule="exact"/>
              <w:rPr>
                <w:rFonts w:hint="eastAsia" w:ascii="宋体" w:hAnsi="宋体" w:eastAsia="宋体" w:cs="宋体"/>
                <w:b w:val="0"/>
                <w:bCs w:val="0"/>
                <w:w w:val="98"/>
                <w:kern w:val="2"/>
                <w:sz w:val="18"/>
                <w:szCs w:val="18"/>
                <w:lang w:val="en-US" w:eastAsia="zh-CN" w:bidi="ar-SA"/>
              </w:rPr>
            </w:pPr>
          </w:p>
        </w:tc>
      </w:tr>
      <w:tr w14:paraId="6139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21BACCFC">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color w:val="auto"/>
                <w:sz w:val="18"/>
                <w:szCs w:val="18"/>
                <w:highlight w:val="none"/>
                <w:lang w:val="en-US" w:eastAsia="zh-CN"/>
              </w:rPr>
              <w:t>全自动凝血分析仪</w:t>
            </w:r>
          </w:p>
        </w:tc>
        <w:tc>
          <w:tcPr>
            <w:tcW w:w="557" w:type="dxa"/>
            <w:noWrap w:val="0"/>
            <w:vAlign w:val="center"/>
          </w:tcPr>
          <w:p w14:paraId="0ED5F01B">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7D4FF42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color w:val="auto"/>
                <w:sz w:val="18"/>
                <w:szCs w:val="18"/>
                <w:highlight w:val="none"/>
                <w:lang w:val="en-US" w:eastAsia="zh-CN"/>
              </w:rPr>
              <w:t>全自动凝血分析仪</w:t>
            </w:r>
          </w:p>
        </w:tc>
        <w:tc>
          <w:tcPr>
            <w:tcW w:w="3131" w:type="dxa"/>
            <w:noWrap w:val="0"/>
            <w:vAlign w:val="center"/>
          </w:tcPr>
          <w:p w14:paraId="6088C0E4">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开展 PT/APTT/TT/ Fbg, D-二聚体等</w:t>
            </w:r>
          </w:p>
          <w:p w14:paraId="4C320859">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测试速度: 血凝五项≥50T/h</w:t>
            </w:r>
          </w:p>
          <w:p w14:paraId="799B1109">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仪器、试剂同一品牌。</w:t>
            </w:r>
          </w:p>
        </w:tc>
        <w:tc>
          <w:tcPr>
            <w:tcW w:w="4853" w:type="dxa"/>
            <w:noWrap w:val="0"/>
            <w:vAlign w:val="bottom"/>
          </w:tcPr>
          <w:p w14:paraId="2C893A1A">
            <w:pPr>
              <w:numPr>
                <w:ilvl w:val="0"/>
                <w:numId w:val="0"/>
              </w:numPr>
              <w:spacing w:line="274" w:lineRule="exact"/>
              <w:jc w:val="both"/>
              <w:rPr>
                <w:rFonts w:hint="eastAsia" w:ascii="宋体" w:hAnsi="宋体" w:eastAsia="宋体" w:cs="宋体"/>
                <w:b w:val="0"/>
                <w:bCs w:val="0"/>
                <w:w w:val="98"/>
                <w:kern w:val="2"/>
                <w:sz w:val="18"/>
                <w:szCs w:val="18"/>
                <w:lang w:val="en-US" w:eastAsia="zh-CN" w:bidi="ar-SA"/>
              </w:rPr>
            </w:pPr>
            <w:r>
              <w:rPr>
                <w:rFonts w:hint="eastAsia" w:ascii="宋体" w:hAnsi="宋体" w:eastAsia="宋体" w:cs="宋体"/>
                <w:b w:val="0"/>
                <w:bCs w:val="0"/>
                <w:sz w:val="18"/>
                <w:szCs w:val="18"/>
                <w:lang w:val="en-US" w:eastAsia="zh-CN"/>
              </w:rPr>
              <w:t>要求：国家临床检验中心 2025 年第 1 次凝血分析按试剂分组统计结果，以常用项目PT统计独立分组且品牌下单一分组大于等于 200家。</w:t>
            </w:r>
          </w:p>
        </w:tc>
      </w:tr>
      <w:tr w14:paraId="226D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0867C0DF">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低速脱帽离心机</w:t>
            </w:r>
          </w:p>
        </w:tc>
        <w:tc>
          <w:tcPr>
            <w:tcW w:w="557" w:type="dxa"/>
            <w:noWrap w:val="0"/>
            <w:vAlign w:val="center"/>
          </w:tcPr>
          <w:p w14:paraId="3FA1B76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52E35F17">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低速脱帽离心机</w:t>
            </w:r>
          </w:p>
        </w:tc>
        <w:tc>
          <w:tcPr>
            <w:tcW w:w="3131" w:type="dxa"/>
            <w:noWrap w:val="0"/>
            <w:vAlign w:val="center"/>
          </w:tcPr>
          <w:p w14:paraId="116B335C">
            <w:pPr>
              <w:pStyle w:val="3"/>
              <w:numPr>
                <w:ilvl w:val="0"/>
                <w:numId w:val="0"/>
              </w:numPr>
              <w:spacing w:line="360" w:lineRule="auto"/>
              <w:ind w:leftChars="0"/>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转子≧80孔</w:t>
            </w:r>
          </w:p>
        </w:tc>
        <w:tc>
          <w:tcPr>
            <w:tcW w:w="4853" w:type="dxa"/>
            <w:noWrap w:val="0"/>
            <w:vAlign w:val="bottom"/>
          </w:tcPr>
          <w:p w14:paraId="06007285">
            <w:pPr>
              <w:spacing w:line="274" w:lineRule="exact"/>
              <w:rPr>
                <w:rFonts w:hint="eastAsia" w:ascii="宋体" w:hAnsi="宋体" w:eastAsia="宋体" w:cs="宋体"/>
                <w:b w:val="0"/>
                <w:bCs w:val="0"/>
                <w:w w:val="98"/>
                <w:kern w:val="2"/>
                <w:sz w:val="18"/>
                <w:szCs w:val="18"/>
                <w:lang w:val="en-US" w:eastAsia="zh-CN" w:bidi="ar-SA"/>
              </w:rPr>
            </w:pPr>
          </w:p>
        </w:tc>
      </w:tr>
      <w:tr w14:paraId="7E75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5DC80387">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低温脱帽离心机</w:t>
            </w:r>
          </w:p>
        </w:tc>
        <w:tc>
          <w:tcPr>
            <w:tcW w:w="557" w:type="dxa"/>
            <w:noWrap w:val="0"/>
            <w:vAlign w:val="center"/>
          </w:tcPr>
          <w:p w14:paraId="0B14C688">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0BD847DF">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低温脱帽离心机</w:t>
            </w:r>
          </w:p>
        </w:tc>
        <w:tc>
          <w:tcPr>
            <w:tcW w:w="3131" w:type="dxa"/>
            <w:noWrap w:val="0"/>
            <w:vAlign w:val="center"/>
          </w:tcPr>
          <w:p w14:paraId="672DCDF9">
            <w:pPr>
              <w:pStyle w:val="3"/>
              <w:numPr>
                <w:ilvl w:val="0"/>
                <w:numId w:val="0"/>
              </w:numPr>
              <w:spacing w:line="360" w:lineRule="auto"/>
              <w:ind w:leftChars="0"/>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转子≧60孔</w:t>
            </w:r>
          </w:p>
        </w:tc>
        <w:tc>
          <w:tcPr>
            <w:tcW w:w="4853" w:type="dxa"/>
            <w:noWrap w:val="0"/>
            <w:vAlign w:val="center"/>
          </w:tcPr>
          <w:p w14:paraId="3FEC3126">
            <w:pPr>
              <w:numPr>
                <w:ilvl w:val="0"/>
                <w:numId w:val="0"/>
              </w:numPr>
              <w:spacing w:line="274" w:lineRule="exact"/>
              <w:jc w:val="both"/>
              <w:rPr>
                <w:rFonts w:hint="eastAsia" w:ascii="宋体" w:hAnsi="宋体" w:eastAsia="宋体" w:cs="宋体"/>
                <w:b w:val="0"/>
                <w:bCs w:val="0"/>
                <w:w w:val="98"/>
                <w:kern w:val="2"/>
                <w:sz w:val="18"/>
                <w:szCs w:val="18"/>
                <w:lang w:val="en-US" w:eastAsia="zh-CN" w:bidi="ar-SA"/>
              </w:rPr>
            </w:pPr>
            <w:r>
              <w:rPr>
                <w:rFonts w:hint="eastAsia" w:ascii="宋体" w:hAnsi="宋体" w:eastAsia="宋体" w:cs="宋体"/>
                <w:b w:val="0"/>
                <w:bCs w:val="0"/>
                <w:sz w:val="18"/>
                <w:szCs w:val="18"/>
                <w:lang w:val="en-US" w:eastAsia="zh-CN"/>
              </w:rPr>
              <w:t>血凝专用。</w:t>
            </w:r>
          </w:p>
        </w:tc>
      </w:tr>
      <w:tr w14:paraId="5307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3803C065">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全自动核酸检测系统</w:t>
            </w:r>
          </w:p>
        </w:tc>
        <w:tc>
          <w:tcPr>
            <w:tcW w:w="557" w:type="dxa"/>
            <w:noWrap w:val="0"/>
            <w:vAlign w:val="center"/>
          </w:tcPr>
          <w:p w14:paraId="757B359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02C7402A">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全自动快速核酸提纯及实时荧光PCR扩增仪</w:t>
            </w:r>
          </w:p>
        </w:tc>
        <w:tc>
          <w:tcPr>
            <w:tcW w:w="3131" w:type="dxa"/>
            <w:noWrap w:val="0"/>
            <w:vAlign w:val="center"/>
          </w:tcPr>
          <w:p w14:paraId="3126189D">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对样本进行自动加样、核酸提取、PCR体系构建及扩增检测一体化完成。2</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检测方法：磁珠提取法及实时荧光定量PCR法。</w:t>
            </w:r>
          </w:p>
          <w:p w14:paraId="05A16C5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检测标本类型：血清、血浆、全血、痰液、拭子等。</w:t>
            </w:r>
          </w:p>
          <w:p w14:paraId="320129D9">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检测模式：支持样本独立检测，随来随检，有急诊检测模式。</w:t>
            </w:r>
          </w:p>
          <w:p w14:paraId="6C0420C2">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检测通量：可循环上样，≥200个样本检测/8h。</w:t>
            </w:r>
          </w:p>
          <w:p w14:paraId="771A21A2">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进样模式：原始样本管直接进样。</w:t>
            </w:r>
          </w:p>
          <w:p w14:paraId="0B0DED21">
            <w:pPr>
              <w:numPr>
                <w:ilvl w:val="0"/>
                <w:numId w:val="0"/>
              </w:numPr>
              <w:spacing w:line="274" w:lineRule="exact"/>
              <w:jc w:val="both"/>
              <w:rPr>
                <w:rFonts w:hint="eastAsia" w:ascii="宋体" w:hAnsi="宋体" w:eastAsia="宋体" w:cs="宋体"/>
                <w:b w:val="0"/>
                <w:bCs w:val="0"/>
                <w:kern w:val="2"/>
                <w:sz w:val="18"/>
                <w:szCs w:val="18"/>
                <w:lang w:val="en-US" w:eastAsia="zh-CN" w:bidi="ar-SA"/>
              </w:rPr>
            </w:pPr>
          </w:p>
        </w:tc>
        <w:tc>
          <w:tcPr>
            <w:tcW w:w="4853" w:type="dxa"/>
            <w:noWrap w:val="0"/>
            <w:vAlign w:val="center"/>
          </w:tcPr>
          <w:p w14:paraId="3E0D0F28">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至少可用于检测呼吸道甲型流感病毒、乙型流感病毒、呼吸道合胞病毒、肺炎支原体、肺炎衣原体、腺病毒、乙型肝炎病毒、丙型肝炎病毒、人偏肺病毒、人副流感病毒、肺炎链球菌、嗜肺军团菌、卡他莫拉菌核酸。</w:t>
            </w:r>
          </w:p>
          <w:p w14:paraId="7BCBB50B">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可开展同品牌人CYP2C19基因多态性（三个基因位点）、人ALDH2基因多态性。</w:t>
            </w:r>
          </w:p>
          <w:p w14:paraId="08175CFA">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扩增方式：单管PCR管扩增。</w:t>
            </w:r>
          </w:p>
          <w:p w14:paraId="7AED4F1C">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4.生物安全：封闭式的核酸提取模块，降低提取过程中气溶胶溢出；具备全内排层流净化通风系统以及紫外消毒功能。</w:t>
            </w:r>
          </w:p>
        </w:tc>
      </w:tr>
      <w:tr w14:paraId="4714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311B0E93">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三目电子显微镜</w:t>
            </w:r>
          </w:p>
        </w:tc>
        <w:tc>
          <w:tcPr>
            <w:tcW w:w="557" w:type="dxa"/>
            <w:noWrap w:val="0"/>
            <w:vAlign w:val="center"/>
          </w:tcPr>
          <w:p w14:paraId="3F0E5399">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487C4839">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三目电子显微镜</w:t>
            </w:r>
          </w:p>
        </w:tc>
        <w:tc>
          <w:tcPr>
            <w:tcW w:w="3131" w:type="dxa"/>
            <w:noWrap w:val="0"/>
            <w:vAlign w:val="center"/>
          </w:tcPr>
          <w:p w14:paraId="3CDBE814">
            <w:pPr>
              <w:pStyle w:val="3"/>
              <w:spacing w:line="360" w:lineRule="auto"/>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配备电脑图像分析工作站</w:t>
            </w:r>
          </w:p>
        </w:tc>
        <w:tc>
          <w:tcPr>
            <w:tcW w:w="4853" w:type="dxa"/>
            <w:noWrap w:val="0"/>
            <w:vAlign w:val="bottom"/>
          </w:tcPr>
          <w:p w14:paraId="65250C2B">
            <w:pPr>
              <w:spacing w:line="274" w:lineRule="exact"/>
              <w:rPr>
                <w:rFonts w:hint="eastAsia" w:ascii="宋体" w:hAnsi="宋体" w:eastAsia="宋体" w:cs="宋体"/>
                <w:b w:val="0"/>
                <w:bCs w:val="0"/>
                <w:sz w:val="18"/>
                <w:szCs w:val="18"/>
                <w:lang w:val="en-US" w:eastAsia="zh-CN"/>
              </w:rPr>
            </w:pPr>
          </w:p>
        </w:tc>
      </w:tr>
      <w:tr w14:paraId="1371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015" w:type="dxa"/>
            <w:noWrap w:val="0"/>
            <w:vAlign w:val="center"/>
          </w:tcPr>
          <w:p w14:paraId="3AF882A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血细胞分析（CRP)分析仪</w:t>
            </w:r>
          </w:p>
          <w:p w14:paraId="7098B263">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(平岗分院）</w:t>
            </w:r>
          </w:p>
        </w:tc>
        <w:tc>
          <w:tcPr>
            <w:tcW w:w="557" w:type="dxa"/>
            <w:noWrap w:val="0"/>
            <w:vAlign w:val="center"/>
          </w:tcPr>
          <w:p w14:paraId="31EB6481">
            <w:pPr>
              <w:widowControl/>
              <w:jc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32EB5C3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血细胞+CRP一体机</w:t>
            </w:r>
          </w:p>
          <w:p w14:paraId="2D28B54F">
            <w:pPr>
              <w:widowControl/>
              <w:jc w:val="center"/>
              <w:rPr>
                <w:rFonts w:hint="eastAsia" w:ascii="宋体" w:hAnsi="宋体" w:eastAsia="宋体" w:cs="宋体"/>
                <w:b w:val="0"/>
                <w:bCs w:val="0"/>
                <w:kern w:val="0"/>
                <w:sz w:val="18"/>
                <w:szCs w:val="18"/>
                <w:lang w:val="en-US" w:eastAsia="zh-CN"/>
              </w:rPr>
            </w:pPr>
          </w:p>
        </w:tc>
        <w:tc>
          <w:tcPr>
            <w:tcW w:w="3131" w:type="dxa"/>
            <w:noWrap w:val="0"/>
            <w:vAlign w:val="center"/>
          </w:tcPr>
          <w:p w14:paraId="7E144039">
            <w:pPr>
              <w:pStyle w:val="3"/>
              <w:spacing w:line="360" w:lineRule="auto"/>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血球：</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50T/H；</w:t>
            </w:r>
          </w:p>
        </w:tc>
        <w:tc>
          <w:tcPr>
            <w:tcW w:w="4853" w:type="dxa"/>
            <w:noWrap w:val="0"/>
            <w:vAlign w:val="center"/>
          </w:tcPr>
          <w:p w14:paraId="2575B365">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1.要求：国家临床检验中心2025 年第 1 次全血细胞计数按仪器分组统计结果，以常用项目WBC统计有独立分组且品牌下单一分组≥200 家。</w:t>
            </w:r>
          </w:p>
          <w:p w14:paraId="11319BC1">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需包含静脉血/末梢血/体液模式及自动进样功能。</w:t>
            </w:r>
          </w:p>
          <w:p w14:paraId="10F5A44E">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仪器、试剂同一品牌。</w:t>
            </w:r>
          </w:p>
          <w:p w14:paraId="779ADF45">
            <w:pPr>
              <w:spacing w:line="274" w:lineRule="exact"/>
              <w:jc w:val="both"/>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4.</w:t>
            </w:r>
            <w:r>
              <w:rPr>
                <w:rFonts w:hint="eastAsia" w:ascii="宋体" w:hAnsi="宋体" w:eastAsia="宋体" w:cs="宋体"/>
                <w:b w:val="0"/>
                <w:bCs w:val="0"/>
                <w:sz w:val="18"/>
                <w:szCs w:val="18"/>
                <w:lang w:val="en-US" w:eastAsia="zh-CN"/>
              </w:rPr>
              <w:t>包括五分类血常规、C-反应蛋白（CRP）检测功能</w:t>
            </w:r>
            <w:r>
              <w:rPr>
                <w:rFonts w:hint="eastAsia" w:ascii="宋体" w:hAnsi="宋体" w:cs="宋体"/>
                <w:b w:val="0"/>
                <w:bCs w:val="0"/>
                <w:sz w:val="18"/>
                <w:szCs w:val="18"/>
                <w:lang w:val="en-US" w:eastAsia="zh-CN"/>
              </w:rPr>
              <w:t>。</w:t>
            </w:r>
          </w:p>
        </w:tc>
      </w:tr>
      <w:tr w14:paraId="5D19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69CD2F8A">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电解质分析仪</w:t>
            </w:r>
          </w:p>
          <w:p w14:paraId="1D1FB6F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(平岗分院）</w:t>
            </w:r>
          </w:p>
        </w:tc>
        <w:tc>
          <w:tcPr>
            <w:tcW w:w="557" w:type="dxa"/>
            <w:noWrap w:val="0"/>
            <w:vAlign w:val="center"/>
          </w:tcPr>
          <w:p w14:paraId="4F538108">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008A2A99">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电解质分析仪</w:t>
            </w:r>
          </w:p>
        </w:tc>
        <w:tc>
          <w:tcPr>
            <w:tcW w:w="3131" w:type="dxa"/>
            <w:noWrap w:val="0"/>
            <w:vAlign w:val="center"/>
          </w:tcPr>
          <w:p w14:paraId="4915ED3B">
            <w:pPr>
              <w:numPr>
                <w:ilvl w:val="0"/>
                <w:numId w:val="0"/>
              </w:numPr>
              <w:spacing w:line="274" w:lineRule="exact"/>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需含自动进样及项目K/NA/CI/TCa/TCO2</w:t>
            </w:r>
          </w:p>
        </w:tc>
        <w:tc>
          <w:tcPr>
            <w:tcW w:w="4853" w:type="dxa"/>
            <w:noWrap w:val="0"/>
            <w:vAlign w:val="center"/>
          </w:tcPr>
          <w:p w14:paraId="25E8B973">
            <w:pPr>
              <w:spacing w:line="274" w:lineRule="exact"/>
              <w:jc w:val="both"/>
              <w:rPr>
                <w:rFonts w:hint="eastAsia" w:ascii="宋体" w:hAnsi="宋体" w:eastAsia="宋体" w:cs="宋体"/>
                <w:b w:val="0"/>
                <w:bCs w:val="0"/>
                <w:color w:val="FF0000"/>
                <w:kern w:val="2"/>
                <w:sz w:val="18"/>
                <w:szCs w:val="18"/>
                <w:highlight w:val="yellow"/>
                <w:lang w:val="en-US" w:eastAsia="zh-CN" w:bidi="ar-SA"/>
              </w:rPr>
            </w:pPr>
          </w:p>
        </w:tc>
      </w:tr>
      <w:tr w14:paraId="3F52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015" w:type="dxa"/>
            <w:noWrap w:val="0"/>
            <w:vAlign w:val="center"/>
          </w:tcPr>
          <w:p w14:paraId="6CE7F0E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全自动尿液干化学分析仪</w:t>
            </w:r>
          </w:p>
          <w:p w14:paraId="25ACBDF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(平岗分院）</w:t>
            </w:r>
          </w:p>
        </w:tc>
        <w:tc>
          <w:tcPr>
            <w:tcW w:w="557" w:type="dxa"/>
            <w:noWrap w:val="0"/>
            <w:vAlign w:val="center"/>
          </w:tcPr>
          <w:p w14:paraId="5244BCA9">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52AB6C5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全自动尿液干化学分析仪</w:t>
            </w:r>
          </w:p>
          <w:p w14:paraId="233E6930">
            <w:pPr>
              <w:widowControl/>
              <w:jc w:val="center"/>
              <w:rPr>
                <w:rFonts w:hint="eastAsia" w:ascii="宋体" w:hAnsi="宋体" w:eastAsia="宋体" w:cs="宋体"/>
                <w:b w:val="0"/>
                <w:bCs w:val="0"/>
                <w:kern w:val="0"/>
                <w:sz w:val="18"/>
                <w:szCs w:val="18"/>
                <w:lang w:val="en-US" w:eastAsia="zh-CN"/>
              </w:rPr>
            </w:pPr>
          </w:p>
        </w:tc>
        <w:tc>
          <w:tcPr>
            <w:tcW w:w="3131" w:type="dxa"/>
            <w:noWrap w:val="0"/>
            <w:vAlign w:val="center"/>
          </w:tcPr>
          <w:p w14:paraId="280DB6AC">
            <w:pPr>
              <w:pStyle w:val="3"/>
              <w:spacing w:line="360" w:lineRule="auto"/>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检测速度: ≥</w:t>
            </w:r>
            <w:r>
              <w:rPr>
                <w:rFonts w:hint="eastAsia" w:ascii="宋体" w:hAnsi="宋体" w:eastAsia="宋体" w:cs="宋体"/>
                <w:b w:val="0"/>
                <w:bCs w:val="0"/>
                <w:sz w:val="18"/>
                <w:szCs w:val="18"/>
                <w:lang w:val="en-US" w:eastAsia="zh-CN"/>
              </w:rPr>
              <w:t>50</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lang w:val="en-US" w:eastAsia="zh-CN"/>
              </w:rPr>
              <w:t>T</w:t>
            </w:r>
            <w:r>
              <w:rPr>
                <w:rFonts w:hint="eastAsia" w:ascii="宋体" w:hAnsi="宋体" w:eastAsia="宋体" w:cs="宋体"/>
                <w:b w:val="0"/>
                <w:bCs w:val="0"/>
                <w:sz w:val="18"/>
                <w:szCs w:val="18"/>
              </w:rPr>
              <w:t>/小时</w:t>
            </w:r>
          </w:p>
        </w:tc>
        <w:tc>
          <w:tcPr>
            <w:tcW w:w="4853" w:type="dxa"/>
            <w:noWrap w:val="0"/>
            <w:vAlign w:val="center"/>
          </w:tcPr>
          <w:p w14:paraId="499CEAAC">
            <w:pPr>
              <w:spacing w:line="274" w:lineRule="exact"/>
              <w:jc w:val="both"/>
              <w:rPr>
                <w:rFonts w:hint="eastAsia" w:ascii="宋体" w:hAnsi="宋体" w:eastAsia="宋体" w:cs="宋体"/>
                <w:b w:val="0"/>
                <w:bCs w:val="0"/>
                <w:color w:val="FF0000"/>
                <w:kern w:val="2"/>
                <w:sz w:val="18"/>
                <w:szCs w:val="18"/>
                <w:highlight w:val="yellow"/>
                <w:lang w:val="en-US" w:eastAsia="zh-CN" w:bidi="ar-SA"/>
              </w:rPr>
            </w:pPr>
            <w:r>
              <w:rPr>
                <w:rFonts w:hint="eastAsia" w:ascii="宋体" w:hAnsi="宋体" w:eastAsia="宋体" w:cs="宋体"/>
                <w:b w:val="0"/>
                <w:bCs w:val="0"/>
                <w:color w:val="000000"/>
                <w:kern w:val="2"/>
                <w:sz w:val="18"/>
                <w:szCs w:val="18"/>
                <w:highlight w:val="none"/>
                <w:lang w:val="en-US" w:eastAsia="zh-CN" w:bidi="ar-SA"/>
              </w:rPr>
              <w:t>要求：国家临床检验中心 2025 年第 1 次尿液化学分析按试剂分组统计结果，以常用项目比重统计独立分组且品牌下单一分组大于等于200家。</w:t>
            </w:r>
          </w:p>
        </w:tc>
      </w:tr>
      <w:tr w14:paraId="269D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34223D3B">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低速离心机</w:t>
            </w:r>
          </w:p>
          <w:p w14:paraId="5494433E">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(平岗分院）</w:t>
            </w:r>
          </w:p>
        </w:tc>
        <w:tc>
          <w:tcPr>
            <w:tcW w:w="557" w:type="dxa"/>
            <w:noWrap w:val="0"/>
            <w:vAlign w:val="center"/>
          </w:tcPr>
          <w:p w14:paraId="791E9F7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12A89E79">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低速离心机</w:t>
            </w:r>
          </w:p>
        </w:tc>
        <w:tc>
          <w:tcPr>
            <w:tcW w:w="3131" w:type="dxa"/>
            <w:noWrap w:val="0"/>
            <w:vAlign w:val="center"/>
          </w:tcPr>
          <w:p w14:paraId="3555BCEC">
            <w:pPr>
              <w:pStyle w:val="3"/>
              <w:spacing w:line="360" w:lineRule="auto"/>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转子≧40孔</w:t>
            </w:r>
          </w:p>
        </w:tc>
        <w:tc>
          <w:tcPr>
            <w:tcW w:w="4853" w:type="dxa"/>
            <w:noWrap w:val="0"/>
            <w:vAlign w:val="center"/>
          </w:tcPr>
          <w:p w14:paraId="60A8DCAB">
            <w:pPr>
              <w:spacing w:line="274" w:lineRule="exact"/>
              <w:jc w:val="both"/>
              <w:rPr>
                <w:rFonts w:hint="eastAsia" w:ascii="宋体" w:hAnsi="宋体" w:eastAsia="宋体" w:cs="宋体"/>
                <w:b w:val="0"/>
                <w:bCs w:val="0"/>
                <w:color w:val="FF0000"/>
                <w:kern w:val="2"/>
                <w:sz w:val="18"/>
                <w:szCs w:val="18"/>
                <w:highlight w:val="yellow"/>
                <w:lang w:val="en-US" w:eastAsia="zh-CN" w:bidi="ar-SA"/>
              </w:rPr>
            </w:pPr>
          </w:p>
        </w:tc>
      </w:tr>
      <w:tr w14:paraId="3994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2F862FBB">
            <w:pPr>
              <w:widowControl/>
              <w:jc w:val="center"/>
              <w:rPr>
                <w:rFonts w:hint="eastAsia" w:ascii="宋体" w:hAnsi="宋体" w:eastAsia="宋体" w:cs="宋体"/>
                <w:b w:val="0"/>
                <w:bCs w:val="0"/>
                <w:kern w:val="0"/>
                <w:sz w:val="18"/>
                <w:szCs w:val="18"/>
                <w:lang w:val="en-US" w:eastAsia="zh-CN"/>
              </w:rPr>
            </w:pPr>
          </w:p>
          <w:p w14:paraId="3C8A42E5">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全自动尿液干化学分析仪</w:t>
            </w:r>
          </w:p>
          <w:p w14:paraId="43898EDE">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(三元分院）</w:t>
            </w:r>
          </w:p>
        </w:tc>
        <w:tc>
          <w:tcPr>
            <w:tcW w:w="557" w:type="dxa"/>
            <w:noWrap w:val="0"/>
            <w:vAlign w:val="center"/>
          </w:tcPr>
          <w:p w14:paraId="55032050">
            <w:pPr>
              <w:widowControl/>
              <w:jc w:val="center"/>
              <w:rPr>
                <w:rFonts w:hint="eastAsia" w:ascii="宋体" w:hAnsi="宋体" w:eastAsia="宋体" w:cs="宋体"/>
                <w:b w:val="0"/>
                <w:bCs w:val="0"/>
                <w:kern w:val="0"/>
                <w:sz w:val="18"/>
                <w:szCs w:val="18"/>
                <w:lang w:val="en-US" w:eastAsia="zh-CN"/>
              </w:rPr>
            </w:pPr>
          </w:p>
          <w:p w14:paraId="20105189">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5F39B1F1">
            <w:pPr>
              <w:widowControl/>
              <w:jc w:val="center"/>
              <w:rPr>
                <w:rFonts w:hint="eastAsia" w:ascii="宋体" w:hAnsi="宋体" w:eastAsia="宋体" w:cs="宋体"/>
                <w:b w:val="0"/>
                <w:bCs w:val="0"/>
                <w:kern w:val="0"/>
                <w:sz w:val="18"/>
                <w:szCs w:val="18"/>
                <w:lang w:val="en-US" w:eastAsia="zh-CN"/>
              </w:rPr>
            </w:pPr>
          </w:p>
          <w:p w14:paraId="1D82CF30">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全自动尿液干化学分析仪</w:t>
            </w:r>
          </w:p>
        </w:tc>
        <w:tc>
          <w:tcPr>
            <w:tcW w:w="3131" w:type="dxa"/>
            <w:noWrap w:val="0"/>
            <w:vAlign w:val="center"/>
          </w:tcPr>
          <w:p w14:paraId="4AB6D45C">
            <w:pPr>
              <w:pStyle w:val="3"/>
              <w:spacing w:line="360" w:lineRule="auto"/>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检测速度: ≥</w:t>
            </w:r>
            <w:r>
              <w:rPr>
                <w:rFonts w:hint="eastAsia" w:ascii="宋体" w:hAnsi="宋体" w:eastAsia="宋体" w:cs="宋体"/>
                <w:b w:val="0"/>
                <w:bCs w:val="0"/>
                <w:sz w:val="18"/>
                <w:szCs w:val="18"/>
                <w:lang w:val="en-US" w:eastAsia="zh-CN"/>
              </w:rPr>
              <w:t>50</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lang w:val="en-US" w:eastAsia="zh-CN"/>
              </w:rPr>
              <w:t>T</w:t>
            </w:r>
            <w:r>
              <w:rPr>
                <w:rFonts w:hint="eastAsia" w:ascii="宋体" w:hAnsi="宋体" w:eastAsia="宋体" w:cs="宋体"/>
                <w:b w:val="0"/>
                <w:bCs w:val="0"/>
                <w:sz w:val="18"/>
                <w:szCs w:val="18"/>
              </w:rPr>
              <w:t>/小时</w:t>
            </w:r>
          </w:p>
        </w:tc>
        <w:tc>
          <w:tcPr>
            <w:tcW w:w="4853" w:type="dxa"/>
            <w:noWrap w:val="0"/>
            <w:vAlign w:val="center"/>
          </w:tcPr>
          <w:p w14:paraId="0785BF4B">
            <w:pPr>
              <w:spacing w:line="274" w:lineRule="exact"/>
              <w:jc w:val="both"/>
              <w:rPr>
                <w:rFonts w:hint="eastAsia" w:ascii="宋体" w:hAnsi="宋体" w:eastAsia="宋体" w:cs="宋体"/>
                <w:b w:val="0"/>
                <w:bCs w:val="0"/>
                <w:color w:val="FF0000"/>
                <w:kern w:val="2"/>
                <w:sz w:val="18"/>
                <w:szCs w:val="18"/>
                <w:highlight w:val="yellow"/>
                <w:lang w:val="en-US" w:eastAsia="zh-CN" w:bidi="ar-SA"/>
              </w:rPr>
            </w:pPr>
            <w:r>
              <w:rPr>
                <w:rFonts w:hint="eastAsia" w:ascii="宋体" w:hAnsi="宋体" w:eastAsia="宋体" w:cs="宋体"/>
                <w:b w:val="0"/>
                <w:bCs w:val="0"/>
                <w:color w:val="000000"/>
                <w:kern w:val="2"/>
                <w:sz w:val="18"/>
                <w:szCs w:val="18"/>
                <w:highlight w:val="none"/>
                <w:lang w:val="en-US" w:eastAsia="zh-CN" w:bidi="ar-SA"/>
              </w:rPr>
              <w:t>要求：国家临床检验中心 2025 年第 1 次尿液化学分析按试剂分组统计结果，以常用项目比重统计独立分组且品牌下单一分组大于等于200家。</w:t>
            </w:r>
          </w:p>
        </w:tc>
      </w:tr>
      <w:tr w14:paraId="0F7C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4918A466">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血细胞分析（CRP)分析仪</w:t>
            </w:r>
          </w:p>
          <w:p w14:paraId="69D21D7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(孙岗分院）</w:t>
            </w:r>
          </w:p>
          <w:p w14:paraId="529E3C45">
            <w:pPr>
              <w:widowControl/>
              <w:jc w:val="center"/>
              <w:rPr>
                <w:rFonts w:hint="eastAsia" w:ascii="宋体" w:hAnsi="宋体" w:eastAsia="宋体" w:cs="宋体"/>
                <w:b w:val="0"/>
                <w:bCs w:val="0"/>
                <w:kern w:val="0"/>
                <w:sz w:val="18"/>
                <w:szCs w:val="18"/>
                <w:lang w:val="en-US" w:eastAsia="zh-CN"/>
              </w:rPr>
            </w:pPr>
          </w:p>
        </w:tc>
        <w:tc>
          <w:tcPr>
            <w:tcW w:w="557" w:type="dxa"/>
            <w:noWrap w:val="0"/>
            <w:vAlign w:val="center"/>
          </w:tcPr>
          <w:p w14:paraId="0183B2D0">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56C9CD4E">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血细胞+CRP一体机</w:t>
            </w:r>
          </w:p>
        </w:tc>
        <w:tc>
          <w:tcPr>
            <w:tcW w:w="3131" w:type="dxa"/>
            <w:noWrap w:val="0"/>
            <w:vAlign w:val="center"/>
          </w:tcPr>
          <w:p w14:paraId="15D81793">
            <w:pPr>
              <w:pStyle w:val="3"/>
              <w:spacing w:line="360" w:lineRule="auto"/>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血球：</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50T/H；</w:t>
            </w:r>
          </w:p>
        </w:tc>
        <w:tc>
          <w:tcPr>
            <w:tcW w:w="4853" w:type="dxa"/>
            <w:noWrap w:val="0"/>
            <w:vAlign w:val="center"/>
          </w:tcPr>
          <w:p w14:paraId="1E4EB532">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1.要求：国家临床检验中心2025 年第 1 次全血细胞计数按仪器分组统计结果，以常用项目WBC统计有独立分组且品牌下单一分组≥200 家。</w:t>
            </w:r>
          </w:p>
          <w:p w14:paraId="446BF5EB">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val="en-US" w:eastAsia="zh-CN"/>
              </w:rPr>
              <w:t>需包含静脉血/末梢血/体液模式及自动进样功能。</w:t>
            </w:r>
          </w:p>
          <w:p w14:paraId="4CF9838D">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r>
              <w:rPr>
                <w:rFonts w:hint="eastAsia" w:ascii="宋体" w:hAnsi="宋体" w:eastAsia="宋体" w:cs="宋体"/>
                <w:b w:val="0"/>
                <w:bCs w:val="0"/>
                <w:sz w:val="18"/>
                <w:szCs w:val="18"/>
                <w:lang w:val="en-US" w:eastAsia="zh-CN"/>
              </w:rPr>
              <w:t>仪器、试剂同一品牌。</w:t>
            </w:r>
          </w:p>
          <w:p w14:paraId="6207F936">
            <w:pPr>
              <w:spacing w:line="274" w:lineRule="exact"/>
              <w:jc w:val="both"/>
              <w:rPr>
                <w:rFonts w:hint="eastAsia" w:ascii="宋体" w:hAnsi="宋体" w:eastAsia="宋体" w:cs="宋体"/>
                <w:b w:val="0"/>
                <w:bCs w:val="0"/>
                <w:color w:val="FF0000"/>
                <w:kern w:val="2"/>
                <w:sz w:val="18"/>
                <w:szCs w:val="18"/>
                <w:highlight w:val="yellow"/>
                <w:lang w:val="en-US" w:eastAsia="zh-CN" w:bidi="ar-SA"/>
              </w:rPr>
            </w:pPr>
            <w:r>
              <w:rPr>
                <w:rFonts w:hint="eastAsia" w:ascii="宋体" w:hAnsi="宋体" w:cs="宋体"/>
                <w:b w:val="0"/>
                <w:bCs w:val="0"/>
                <w:sz w:val="18"/>
                <w:szCs w:val="18"/>
                <w:lang w:val="en-US" w:eastAsia="zh-CN"/>
              </w:rPr>
              <w:t>4.</w:t>
            </w:r>
            <w:r>
              <w:rPr>
                <w:rFonts w:hint="eastAsia" w:ascii="宋体" w:hAnsi="宋体" w:eastAsia="宋体" w:cs="宋体"/>
                <w:b w:val="0"/>
                <w:bCs w:val="0"/>
                <w:sz w:val="18"/>
                <w:szCs w:val="18"/>
                <w:lang w:val="en-US" w:eastAsia="zh-CN"/>
              </w:rPr>
              <w:t>包括五分类血常规、C-反应蛋白（CRP）、检测功能</w:t>
            </w:r>
            <w:r>
              <w:rPr>
                <w:rFonts w:hint="eastAsia" w:ascii="宋体" w:hAnsi="宋体" w:cs="宋体"/>
                <w:b w:val="0"/>
                <w:bCs w:val="0"/>
                <w:sz w:val="18"/>
                <w:szCs w:val="18"/>
                <w:lang w:val="en-US" w:eastAsia="zh-CN"/>
              </w:rPr>
              <w:t>。</w:t>
            </w:r>
          </w:p>
        </w:tc>
      </w:tr>
      <w:tr w14:paraId="0E99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54A2E62C">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全自动凝血分析仪</w:t>
            </w:r>
          </w:p>
          <w:p w14:paraId="43A2FF88">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(孙岗分院）</w:t>
            </w:r>
          </w:p>
          <w:p w14:paraId="01571168">
            <w:pPr>
              <w:widowControl/>
              <w:jc w:val="center"/>
              <w:rPr>
                <w:rFonts w:hint="eastAsia" w:ascii="宋体" w:hAnsi="宋体" w:eastAsia="宋体" w:cs="宋体"/>
                <w:b w:val="0"/>
                <w:bCs w:val="0"/>
                <w:kern w:val="0"/>
                <w:sz w:val="18"/>
                <w:szCs w:val="18"/>
                <w:lang w:val="en-US" w:eastAsia="zh-CN"/>
              </w:rPr>
            </w:pPr>
          </w:p>
        </w:tc>
        <w:tc>
          <w:tcPr>
            <w:tcW w:w="557" w:type="dxa"/>
            <w:noWrap w:val="0"/>
            <w:vAlign w:val="center"/>
          </w:tcPr>
          <w:p w14:paraId="323749E7">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3CDDC5E1">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全自动凝血分析仪</w:t>
            </w:r>
          </w:p>
          <w:p w14:paraId="00C2BF2A">
            <w:pPr>
              <w:widowControl/>
              <w:jc w:val="center"/>
              <w:rPr>
                <w:rFonts w:hint="eastAsia" w:ascii="宋体" w:hAnsi="宋体" w:eastAsia="宋体" w:cs="宋体"/>
                <w:b w:val="0"/>
                <w:bCs w:val="0"/>
                <w:kern w:val="0"/>
                <w:sz w:val="18"/>
                <w:szCs w:val="18"/>
                <w:lang w:val="en-US" w:eastAsia="zh-CN"/>
              </w:rPr>
            </w:pPr>
          </w:p>
        </w:tc>
        <w:tc>
          <w:tcPr>
            <w:tcW w:w="3131" w:type="dxa"/>
            <w:noWrap w:val="0"/>
            <w:vAlign w:val="center"/>
          </w:tcPr>
          <w:p w14:paraId="234B4A7E">
            <w:pPr>
              <w:pStyle w:val="3"/>
              <w:spacing w:line="360" w:lineRule="auto"/>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检测速度: ≥</w:t>
            </w:r>
            <w:r>
              <w:rPr>
                <w:rFonts w:hint="eastAsia" w:ascii="宋体" w:hAnsi="宋体" w:eastAsia="宋体" w:cs="宋体"/>
                <w:b w:val="0"/>
                <w:bCs w:val="0"/>
                <w:sz w:val="18"/>
                <w:szCs w:val="18"/>
                <w:lang w:val="en-US" w:eastAsia="zh-CN"/>
              </w:rPr>
              <w:t>20</w:t>
            </w:r>
            <w:r>
              <w:rPr>
                <w:rFonts w:hint="eastAsia" w:ascii="宋体" w:hAnsi="宋体" w:eastAsia="宋体" w:cs="宋体"/>
                <w:b w:val="0"/>
                <w:bCs w:val="0"/>
                <w:sz w:val="18"/>
                <w:szCs w:val="18"/>
              </w:rPr>
              <w:t xml:space="preserve"> </w:t>
            </w:r>
            <w:r>
              <w:rPr>
                <w:rFonts w:hint="eastAsia" w:ascii="宋体" w:hAnsi="宋体" w:eastAsia="宋体" w:cs="宋体"/>
                <w:b w:val="0"/>
                <w:bCs w:val="0"/>
                <w:sz w:val="18"/>
                <w:szCs w:val="18"/>
                <w:lang w:val="en-US" w:eastAsia="zh-CN"/>
              </w:rPr>
              <w:t>T</w:t>
            </w:r>
            <w:r>
              <w:rPr>
                <w:rFonts w:hint="eastAsia" w:ascii="宋体" w:hAnsi="宋体" w:eastAsia="宋体" w:cs="宋体"/>
                <w:b w:val="0"/>
                <w:bCs w:val="0"/>
                <w:sz w:val="18"/>
                <w:szCs w:val="18"/>
              </w:rPr>
              <w:t>/小时</w:t>
            </w:r>
          </w:p>
        </w:tc>
        <w:tc>
          <w:tcPr>
            <w:tcW w:w="4853" w:type="dxa"/>
            <w:noWrap w:val="0"/>
            <w:vAlign w:val="center"/>
          </w:tcPr>
          <w:p w14:paraId="16181436">
            <w:pPr>
              <w:spacing w:line="274" w:lineRule="exact"/>
              <w:jc w:val="both"/>
              <w:rPr>
                <w:rFonts w:hint="eastAsia" w:ascii="宋体" w:hAnsi="宋体" w:eastAsia="宋体" w:cs="宋体"/>
                <w:b w:val="0"/>
                <w:bCs w:val="0"/>
                <w:color w:val="FF0000"/>
                <w:kern w:val="2"/>
                <w:sz w:val="18"/>
                <w:szCs w:val="18"/>
                <w:highlight w:val="yellow"/>
                <w:lang w:val="en-US" w:eastAsia="zh-CN" w:bidi="ar-SA"/>
              </w:rPr>
            </w:pPr>
            <w:r>
              <w:rPr>
                <w:rFonts w:hint="eastAsia" w:ascii="宋体" w:hAnsi="宋体" w:eastAsia="宋体" w:cs="宋体"/>
                <w:b w:val="0"/>
                <w:bCs w:val="0"/>
                <w:color w:val="000000"/>
                <w:kern w:val="2"/>
                <w:sz w:val="18"/>
                <w:szCs w:val="18"/>
                <w:highlight w:val="none"/>
                <w:lang w:val="en-US" w:eastAsia="zh-CN" w:bidi="ar-SA"/>
              </w:rPr>
              <w:t>要求：国家临床检验中心 2025 年第 1 次凝血分析按试剂分组统计结果，以常用项目PT统计独立分组且品牌下单一分组大于等于 200家。</w:t>
            </w:r>
          </w:p>
        </w:tc>
      </w:tr>
      <w:tr w14:paraId="7425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0951A32D">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全自动生化分析仪</w:t>
            </w:r>
          </w:p>
          <w:p w14:paraId="752602F5">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(史河分院）</w:t>
            </w:r>
          </w:p>
        </w:tc>
        <w:tc>
          <w:tcPr>
            <w:tcW w:w="557" w:type="dxa"/>
            <w:noWrap w:val="0"/>
            <w:vAlign w:val="center"/>
          </w:tcPr>
          <w:p w14:paraId="682D4732">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1台</w:t>
            </w:r>
          </w:p>
        </w:tc>
        <w:tc>
          <w:tcPr>
            <w:tcW w:w="1686" w:type="dxa"/>
            <w:noWrap w:val="0"/>
            <w:vAlign w:val="center"/>
          </w:tcPr>
          <w:p w14:paraId="3487CBEA">
            <w:pPr>
              <w:widowControl/>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全自动生化分析仪</w:t>
            </w:r>
          </w:p>
          <w:p w14:paraId="0EA68D68">
            <w:pPr>
              <w:widowControl/>
              <w:jc w:val="center"/>
              <w:rPr>
                <w:rFonts w:hint="eastAsia" w:ascii="宋体" w:hAnsi="宋体" w:eastAsia="宋体" w:cs="宋体"/>
                <w:b w:val="0"/>
                <w:bCs w:val="0"/>
                <w:kern w:val="0"/>
                <w:sz w:val="18"/>
                <w:szCs w:val="18"/>
                <w:lang w:val="en-US" w:eastAsia="zh-CN"/>
              </w:rPr>
            </w:pPr>
          </w:p>
        </w:tc>
        <w:tc>
          <w:tcPr>
            <w:tcW w:w="3131" w:type="dxa"/>
            <w:noWrap w:val="0"/>
            <w:vAlign w:val="center"/>
          </w:tcPr>
          <w:p w14:paraId="3135697D">
            <w:pPr>
              <w:pStyle w:val="3"/>
              <w:spacing w:line="360" w:lineRule="auto"/>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测试速度：</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800测试/H；</w:t>
            </w:r>
          </w:p>
        </w:tc>
        <w:tc>
          <w:tcPr>
            <w:tcW w:w="4853" w:type="dxa"/>
            <w:noWrap w:val="0"/>
            <w:vAlign w:val="center"/>
          </w:tcPr>
          <w:p w14:paraId="41D542B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1.要求：国家临床检验中心2025年第1次常规化学A按仪器分组统计结果，以常用项目葡萄糖统计，有独立分组且品牌下单一分组≥200家。</w:t>
            </w:r>
          </w:p>
          <w:p w14:paraId="51444E9A">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2.仪器、试剂同一品牌。</w:t>
            </w:r>
          </w:p>
          <w:p w14:paraId="53611CA7">
            <w:pPr>
              <w:spacing w:line="274" w:lineRule="exact"/>
              <w:jc w:val="both"/>
              <w:rPr>
                <w:rFonts w:hint="eastAsia" w:ascii="宋体" w:hAnsi="宋体" w:eastAsia="宋体" w:cs="宋体"/>
                <w:b w:val="0"/>
                <w:bCs w:val="0"/>
                <w:color w:val="FF0000"/>
                <w:kern w:val="2"/>
                <w:sz w:val="18"/>
                <w:szCs w:val="18"/>
                <w:highlight w:val="yellow"/>
                <w:lang w:val="en-US" w:eastAsia="zh-CN" w:bidi="ar-SA"/>
              </w:rPr>
            </w:pPr>
            <w:r>
              <w:rPr>
                <w:rFonts w:hint="eastAsia" w:ascii="宋体" w:hAnsi="宋体" w:eastAsia="宋体" w:cs="宋体"/>
                <w:b w:val="0"/>
                <w:bCs w:val="0"/>
                <w:sz w:val="18"/>
                <w:szCs w:val="18"/>
                <w:lang w:val="en-US" w:eastAsia="zh-CN"/>
              </w:rPr>
              <w:t>3.配置符合仪器参数的UPS/纯水机等相关使用的辅助设备。</w:t>
            </w:r>
          </w:p>
        </w:tc>
      </w:tr>
      <w:tr w14:paraId="2E3D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535A26C9">
            <w:pPr>
              <w:widowControl/>
              <w:jc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自助机系统</w:t>
            </w:r>
          </w:p>
        </w:tc>
        <w:tc>
          <w:tcPr>
            <w:tcW w:w="557" w:type="dxa"/>
            <w:noWrap w:val="0"/>
            <w:vAlign w:val="center"/>
          </w:tcPr>
          <w:p w14:paraId="3CE91773">
            <w:pPr>
              <w:widowControl/>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1套</w:t>
            </w:r>
          </w:p>
        </w:tc>
        <w:tc>
          <w:tcPr>
            <w:tcW w:w="1686" w:type="dxa"/>
            <w:noWrap w:val="0"/>
            <w:vAlign w:val="center"/>
          </w:tcPr>
          <w:p w14:paraId="2014EE54">
            <w:pPr>
              <w:widowControl/>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自助机系统</w:t>
            </w:r>
          </w:p>
        </w:tc>
        <w:tc>
          <w:tcPr>
            <w:tcW w:w="3131" w:type="dxa"/>
            <w:noWrap w:val="0"/>
            <w:vAlign w:val="center"/>
          </w:tcPr>
          <w:p w14:paraId="26C77DF1">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b w:val="0"/>
                <w:bCs w:val="0"/>
                <w:color w:val="000000"/>
                <w:kern w:val="0"/>
                <w:sz w:val="18"/>
                <w:szCs w:val="18"/>
                <w:lang w:val="en-US" w:eastAsia="zh-CN"/>
              </w:rPr>
              <w:t>1</w:t>
            </w:r>
            <w:r>
              <w:rPr>
                <w:rFonts w:hint="eastAsia" w:ascii="宋体" w:hAnsi="宋体" w:eastAsia="宋体" w:cs="宋体"/>
                <w:b w:val="0"/>
                <w:bCs w:val="0"/>
                <w:sz w:val="18"/>
                <w:szCs w:val="18"/>
                <w:lang w:val="en-US" w:eastAsia="zh-CN"/>
              </w:rPr>
              <w:t>、建档及办卡：支持身份证、社保卡（含二代和三代）、医保电子凭证、人脸、电子健康码、安徽码等信息源建档及办卡；支持无证手工输入身份证信息建档及办卡；支持自助办卡（实体卡、虚拟卡）、身份证补卡；可读写磁卡、接触式IC 卡、非接触式IC 卡，并发放就诊卡。</w:t>
            </w:r>
          </w:p>
          <w:p w14:paraId="28234C99">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2、挂号：当日挂号、预约挂号、预约取号、预约取消、签到（支持条码扫码、就诊卡、社保卡等各种介质签到），打印预约、签到、挂号凭条。</w:t>
            </w:r>
          </w:p>
          <w:p w14:paraId="086D33F2">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3、充值缴费：支持就诊卡、社保卡、微信扫码、微信刷脸、支付宝扫码、支付宝刷脸、医保刷脸、医保电子凭证扫码等方式进行账户充值、门诊缴费、预交金缴费等。</w:t>
            </w:r>
          </w:p>
          <w:p w14:paraId="75C01CA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4、自助：支持自助一键开单、自助入院、自助出院、自助医技预约。</w:t>
            </w:r>
          </w:p>
          <w:p w14:paraId="559F01F9">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5、结算：支持刷脸方式的医保、医保和自费混合自助结算（含慢病结算）。</w:t>
            </w:r>
          </w:p>
          <w:p w14:paraId="2E9034A0">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6、单据打印：充值凭条打印、电子就诊卡二维码凭条打印、检查检验报告打印（可打印院内各种报告单，支持A4、A5 格式）、电子发票生成及查询、纸质发票、缴费单打印及相关电子文书打印。</w:t>
            </w:r>
          </w:p>
          <w:p w14:paraId="68D32D9F">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7、退款：支持账户余额退回至原支付渠道。</w:t>
            </w:r>
          </w:p>
          <w:p w14:paraId="5B8BA227">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8、自助查询：医院信息、专家信息、专科信息、设备信息、就诊报到（支持查询患者挂号科室队列情况及二次报到）、就诊信息、收退费信息、</w:t>
            </w:r>
          </w:p>
          <w:p w14:paraId="15E955BA">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药品信息、收费项目、住院查询、报告查询、医生排班、满意度调查等。</w:t>
            </w:r>
          </w:p>
          <w:p w14:paraId="6345FAFF">
            <w:pPr>
              <w:numPr>
                <w:ilvl w:val="0"/>
                <w:numId w:val="0"/>
              </w:numPr>
              <w:spacing w:line="274" w:lineRule="exact"/>
              <w:jc w:val="both"/>
              <w:rPr>
                <w:rFonts w:hint="eastAsia" w:ascii="宋体" w:hAnsi="宋体" w:eastAsia="宋体" w:cs="宋体"/>
                <w:b w:val="0"/>
                <w:bCs w:val="0"/>
                <w:color w:val="0000FF"/>
                <w:kern w:val="0"/>
                <w:sz w:val="18"/>
                <w:szCs w:val="18"/>
                <w:lang w:val="en-US" w:eastAsia="zh-CN"/>
              </w:rPr>
            </w:pPr>
            <w:r>
              <w:rPr>
                <w:rFonts w:hint="eastAsia" w:ascii="宋体" w:hAnsi="宋体" w:eastAsia="宋体" w:cs="宋体"/>
                <w:b w:val="0"/>
                <w:bCs w:val="0"/>
                <w:sz w:val="18"/>
                <w:szCs w:val="18"/>
                <w:lang w:val="en-US" w:eastAsia="zh-CN"/>
              </w:rPr>
              <w:t>9、其它功能：设备需经过相关部门检验认证。内置社保卡密码键盘。支持条码扫描、自动开关机、灯光板提示、声音提示。支持后台统一查看管理：支持各模块连接状态、耗材余量的预警、告警和查看，例如就诊卡余量、热敏纸余量、打印纸余量，支持后台接口调用情况的可视化查看和统计分析，支持查看所有自助机的编号、IP 地址、分布位置等信息，支持管理后台操作记录查看等。</w:t>
            </w:r>
          </w:p>
        </w:tc>
        <w:tc>
          <w:tcPr>
            <w:tcW w:w="4853" w:type="dxa"/>
            <w:noWrap w:val="0"/>
            <w:vAlign w:val="center"/>
          </w:tcPr>
          <w:p w14:paraId="07EDB3D5">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需和我院业务系统建立数据接口，实现快速安全有效的数据交换，投标供应商需在支付“医院HIS”和“支付平台”接口费用后完成与“医院HIS”、“支付平台”等其他软件系统对接，“医院HIS”和“支付平台”提供对接服务。</w:t>
            </w:r>
          </w:p>
          <w:p w14:paraId="2F857A39">
            <w:pPr>
              <w:numPr>
                <w:ilvl w:val="0"/>
                <w:numId w:val="0"/>
              </w:numPr>
              <w:spacing w:line="274" w:lineRule="exact"/>
              <w:jc w:val="both"/>
              <w:rPr>
                <w:rFonts w:hint="eastAsia" w:ascii="宋体" w:hAnsi="宋体" w:eastAsia="宋体" w:cs="宋体"/>
                <w:b w:val="0"/>
                <w:bCs w:val="0"/>
                <w:color w:val="0000FF"/>
                <w:kern w:val="2"/>
                <w:sz w:val="18"/>
                <w:szCs w:val="18"/>
                <w:lang w:val="en-US" w:eastAsia="zh-CN" w:bidi="ar-SA"/>
              </w:rPr>
            </w:pPr>
            <w:r>
              <w:rPr>
                <w:rFonts w:hint="eastAsia" w:ascii="宋体" w:hAnsi="宋体" w:eastAsia="宋体" w:cs="宋体"/>
                <w:b w:val="0"/>
                <w:bCs w:val="0"/>
                <w:sz w:val="18"/>
                <w:szCs w:val="18"/>
                <w:lang w:val="en-US" w:eastAsia="zh-CN"/>
              </w:rPr>
              <w:t>投标供应商提供的系统软件免费为医院其他系统开放接口并完成对接。</w:t>
            </w:r>
          </w:p>
        </w:tc>
      </w:tr>
      <w:tr w14:paraId="4BDF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5" w:type="dxa"/>
            <w:noWrap w:val="0"/>
            <w:vAlign w:val="center"/>
          </w:tcPr>
          <w:p w14:paraId="378B9CA8">
            <w:pPr>
              <w:widowControl/>
              <w:jc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自助硬件（设备）</w:t>
            </w:r>
          </w:p>
        </w:tc>
        <w:tc>
          <w:tcPr>
            <w:tcW w:w="557" w:type="dxa"/>
            <w:noWrap w:val="0"/>
            <w:vAlign w:val="center"/>
          </w:tcPr>
          <w:p w14:paraId="52AA7CC4">
            <w:pPr>
              <w:widowControl/>
              <w:jc w:val="center"/>
              <w:rPr>
                <w:rFonts w:hint="eastAsia"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2台</w:t>
            </w:r>
          </w:p>
        </w:tc>
        <w:tc>
          <w:tcPr>
            <w:tcW w:w="1686" w:type="dxa"/>
            <w:noWrap w:val="0"/>
            <w:vAlign w:val="center"/>
          </w:tcPr>
          <w:p w14:paraId="4DBD2BD7">
            <w:pPr>
              <w:widowControl/>
              <w:jc w:val="center"/>
              <w:rPr>
                <w:rFonts w:hint="eastAsia"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自助机设备</w:t>
            </w:r>
          </w:p>
        </w:tc>
        <w:tc>
          <w:tcPr>
            <w:tcW w:w="3131" w:type="dxa"/>
            <w:noWrap w:val="0"/>
            <w:vAlign w:val="center"/>
          </w:tcPr>
          <w:p w14:paraId="75CABA7F">
            <w:pPr>
              <w:widowControl/>
              <w:spacing w:beforeLines="0" w:afterLine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eastAsia="宋体" w:cs="宋体"/>
                <w:color w:val="000000"/>
                <w:kern w:val="0"/>
                <w:sz w:val="18"/>
                <w:szCs w:val="18"/>
              </w:rPr>
              <w:t>主控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处理器：Intel，i5 10 代4 核2.9GHZ 及以上</w:t>
            </w:r>
          </w:p>
          <w:p w14:paraId="0457D35D">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显示输出：VGA、HDMI</w:t>
            </w:r>
          </w:p>
          <w:p w14:paraId="2CC49AA0">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内存：8GB DDR4</w:t>
            </w:r>
          </w:p>
          <w:p w14:paraId="7567D81E">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硬盘存储：512GB SSD</w:t>
            </w:r>
          </w:p>
          <w:p w14:paraId="43388361">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USB：10*USB，COM：6*COM</w:t>
            </w:r>
          </w:p>
          <w:p w14:paraId="521F604B">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供电：DC12V 供电接口</w:t>
            </w:r>
          </w:p>
          <w:p w14:paraId="32740484">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自带显卡、声卡、网卡</w:t>
            </w:r>
          </w:p>
          <w:p w14:paraId="07722B61">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接口： 1×RJ45 LAN (RTL8111H PCIe 总线网卡芯片),1*LPT 1*PS/2,1*M.2M KEY，1*SATA</w:t>
            </w:r>
          </w:p>
          <w:p w14:paraId="2058E2D3">
            <w:pPr>
              <w:widowControl/>
              <w:spacing w:beforeLines="0" w:afterLine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2、</w:t>
            </w:r>
            <w:r>
              <w:rPr>
                <w:rFonts w:hint="eastAsia" w:ascii="宋体" w:hAnsi="宋体" w:eastAsia="宋体" w:cs="宋体"/>
                <w:color w:val="000000"/>
                <w:kern w:val="0"/>
                <w:sz w:val="18"/>
                <w:szCs w:val="18"/>
              </w:rPr>
              <w:t>触摸显示屏</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显示类型：TFT-LCD，液晶模组，主屏≥31.5 英寸；副屏≥19 英寸，主屏与副屏协调美观</w:t>
            </w:r>
          </w:p>
          <w:p w14:paraId="4788CD35">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分辨率：1920*1080</w:t>
            </w:r>
          </w:p>
          <w:p w14:paraId="4D89E2FA">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像素排列RGB 垂直条状像素间距0.24795*0.24795mm (H×V)</w:t>
            </w:r>
          </w:p>
          <w:p w14:paraId="1B983283">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表面处理，雾面,Hard coating(3H)</w:t>
            </w:r>
          </w:p>
          <w:p w14:paraId="5DE86A5E">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显示模式：常黑显示，透射式</w:t>
            </w:r>
          </w:p>
          <w:p w14:paraId="12C66E47">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面板亮度：250 nits</w:t>
            </w:r>
          </w:p>
          <w:p w14:paraId="788EF23B">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对比度1200:1（Typ.）(透射)</w:t>
            </w:r>
          </w:p>
          <w:p w14:paraId="583E894A">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触摸方案：投射式G+G 电容触摸技术表面硬度：6H</w:t>
            </w:r>
          </w:p>
          <w:p w14:paraId="10408A46">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响应时间：&lt;10ms</w:t>
            </w:r>
          </w:p>
          <w:p w14:paraId="7B3D3003">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最大支持点数：10点触控</w:t>
            </w:r>
          </w:p>
          <w:p w14:paraId="6C3D5CB2">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扫描精度：4096*4096</w:t>
            </w:r>
          </w:p>
          <w:p w14:paraId="739D2677">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通信方式：全速USB2.0，USB3.0</w:t>
            </w:r>
          </w:p>
          <w:p w14:paraId="5B9D3C86">
            <w:pPr>
              <w:widowControl/>
              <w:numPr>
                <w:ilvl w:val="0"/>
                <w:numId w:val="0"/>
              </w:numPr>
              <w:spacing w:line="240" w:lineRule="auto"/>
              <w:ind w:left="0" w:leftChars="0" w:firstLine="0" w:firstLineChars="0"/>
              <w:jc w:val="left"/>
              <w:rPr>
                <w:rFonts w:hint="eastAsia" w:ascii="宋体" w:hAnsi="宋体" w:eastAsia="宋体" w:cs="宋体"/>
                <w:b w:val="0"/>
                <w:bCs w:val="0"/>
                <w:color w:val="000000"/>
                <w:kern w:val="0"/>
                <w:sz w:val="18"/>
                <w:szCs w:val="18"/>
                <w:lang w:val="en-US" w:eastAsia="zh-CN"/>
              </w:rPr>
            </w:pPr>
            <w:r>
              <w:rPr>
                <w:rFonts w:hint="eastAsia" w:ascii="宋体" w:hAnsi="宋体" w:eastAsia="宋体" w:cs="宋体"/>
                <w:color w:val="000000"/>
                <w:kern w:val="0"/>
                <w:sz w:val="18"/>
                <w:szCs w:val="18"/>
              </w:rPr>
              <w:t>触摸寿命：＞3亿次</w:t>
            </w:r>
          </w:p>
          <w:p w14:paraId="53C515CF">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读卡</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支持读取二代、三代社保卡、身份证、磁条卡、IC 卡、银行卡等身份证读卡器：公安部认证模块，USB 接口；支持卡型：符合ISO/IEC14443 TYPE B 标准的非接触卡；工作频率：13.56MHz；通讯速率：</w:t>
            </w:r>
          </w:p>
          <w:p w14:paraId="1811FEEE">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106Kbps；校验：循环冗余校验（CRC）；感应面积：100*120mm；感</w:t>
            </w:r>
          </w:p>
          <w:p w14:paraId="30DBDCB2">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应距离：大于50mm；</w:t>
            </w:r>
          </w:p>
          <w:p w14:paraId="79C76773">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电源：计算机供电（USB 接口）；工作电流：220mA/DC</w:t>
            </w:r>
          </w:p>
          <w:p w14:paraId="33DCC36E">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平均无故障工作时间：大于等于30000 小时</w:t>
            </w:r>
          </w:p>
          <w:p w14:paraId="13DD1D64">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磁条卡支持1、2、3 磁道读取</w:t>
            </w:r>
          </w:p>
          <w:p w14:paraId="436DD53C">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电动吸卡吐卡：自动吸卡，受控进、退、吞卡</w:t>
            </w:r>
          </w:p>
          <w:p w14:paraId="460FAD98">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多样化的卡传动：前后进卡，前后退卡，卡机内部走动，清理断卡</w:t>
            </w:r>
          </w:p>
          <w:p w14:paraId="7586550F">
            <w:pPr>
              <w:widowControl/>
              <w:numPr>
                <w:ilvl w:val="0"/>
                <w:numId w:val="0"/>
              </w:numPr>
              <w:spacing w:line="240" w:lineRule="auto"/>
              <w:ind w:left="0" w:leftChars="0" w:firstLine="0" w:firstLineChars="0"/>
              <w:jc w:val="left"/>
              <w:rPr>
                <w:rFonts w:hint="eastAsia" w:ascii="宋体" w:hAnsi="宋体" w:eastAsia="宋体" w:cs="宋体"/>
                <w:b w:val="0"/>
                <w:bCs w:val="0"/>
                <w:color w:val="000000"/>
                <w:kern w:val="0"/>
                <w:sz w:val="18"/>
                <w:szCs w:val="18"/>
                <w:lang w:val="en-US" w:eastAsia="zh-CN"/>
              </w:rPr>
            </w:pPr>
            <w:r>
              <w:rPr>
                <w:rFonts w:hint="eastAsia" w:ascii="宋体" w:hAnsi="宋体" w:eastAsia="宋体" w:cs="宋体"/>
                <w:color w:val="000000"/>
                <w:kern w:val="0"/>
                <w:sz w:val="18"/>
                <w:szCs w:val="18"/>
              </w:rPr>
              <w:t>各类部件均在50 万次以上的操作寿命</w:t>
            </w:r>
          </w:p>
          <w:p w14:paraId="0930E258">
            <w:pPr>
              <w:widowControl/>
              <w:spacing w:beforeLines="0" w:afterLine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eastAsia="宋体" w:cs="宋体"/>
                <w:color w:val="000000"/>
                <w:kern w:val="0"/>
                <w:sz w:val="18"/>
                <w:szCs w:val="18"/>
              </w:rPr>
              <w:t>密码键盘</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4*4 键金属数字加密键盘，支持RSA、DES、Triple DES、AES 硬件加密以及SM2/SM3/SM4 国密算法参照CSA B651.1 标准进行无障碍设计，按照ISO13491 标准进行安全设计，具有多种独立的检测机制，可以保证密钥的安全性</w:t>
            </w:r>
          </w:p>
          <w:p w14:paraId="1BBFB7F5">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内置DES/3DES/RSA 算法，国密SM2/SM3/SM4 算法，MAC 算法</w:t>
            </w:r>
          </w:p>
          <w:p w14:paraId="0C106891">
            <w:pPr>
              <w:widowControl/>
              <w:numPr>
                <w:ilvl w:val="0"/>
                <w:numId w:val="0"/>
              </w:numPr>
              <w:spacing w:line="240" w:lineRule="auto"/>
              <w:ind w:left="0" w:leftChars="0" w:firstLine="0" w:firstLineChars="0"/>
              <w:jc w:val="left"/>
              <w:rPr>
                <w:rFonts w:hint="eastAsia" w:ascii="宋体" w:hAnsi="宋体" w:eastAsia="宋体" w:cs="宋体"/>
                <w:b w:val="0"/>
                <w:bCs w:val="0"/>
                <w:color w:val="000000"/>
                <w:kern w:val="0"/>
                <w:sz w:val="18"/>
                <w:szCs w:val="18"/>
                <w:lang w:val="en-US" w:eastAsia="zh-CN"/>
              </w:rPr>
            </w:pPr>
            <w:r>
              <w:rPr>
                <w:rFonts w:hint="eastAsia" w:ascii="宋体" w:hAnsi="宋体" w:eastAsia="宋体" w:cs="宋体"/>
                <w:color w:val="000000"/>
                <w:kern w:val="0"/>
                <w:sz w:val="18"/>
                <w:szCs w:val="18"/>
              </w:rPr>
              <w:t>安全特性：防水、防尘、防暴、防钻、防拆卸、防监听、防置换</w:t>
            </w:r>
          </w:p>
          <w:p w14:paraId="5F9473BC">
            <w:pPr>
              <w:widowControl/>
              <w:spacing w:beforeLines="0" w:afterLine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eastAsia="宋体" w:cs="宋体"/>
                <w:color w:val="000000"/>
                <w:kern w:val="0"/>
                <w:sz w:val="18"/>
                <w:szCs w:val="18"/>
              </w:rPr>
              <w:t>条码扫描</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传感器：CMOSsensor，pixels：640*480，60fps</w:t>
            </w:r>
          </w:p>
          <w:p w14:paraId="049C7836">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照明：LED 白光</w:t>
            </w:r>
          </w:p>
          <w:p w14:paraId="0DD71FF2">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扫描角度：转角360°，仰角±55°，偏角±55°</w:t>
            </w:r>
          </w:p>
          <w:p w14:paraId="58B0D4E5">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识别精度：二维≤5mil，一维≤5mil</w:t>
            </w:r>
          </w:p>
          <w:p w14:paraId="38DFBF92">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码制：符合国际、国内通用二维码标准QR Code, Data Matrix, PDF417，汉信码等符合国际、国内通用一维码标准UPC-A, UPC-E, EAN-8, EAN-13ISBN, Code 128, GS1 128,ISBT 128, Code 39, Code93,Code 11,</w:t>
            </w:r>
          </w:p>
          <w:p w14:paraId="4AFA0081">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Interleaved 2 of 5,Industrial 2 of 5,Matrix 25, Standard 25,</w:t>
            </w:r>
          </w:p>
          <w:p w14:paraId="02F66D9A">
            <w:pPr>
              <w:widowControl/>
              <w:numPr>
                <w:ilvl w:val="0"/>
                <w:numId w:val="0"/>
              </w:numPr>
              <w:spacing w:line="240" w:lineRule="auto"/>
              <w:ind w:left="0" w:leftChars="0" w:firstLine="0" w:firstLineChars="0"/>
              <w:jc w:val="left"/>
              <w:rPr>
                <w:rFonts w:hint="eastAsia" w:ascii="宋体" w:hAnsi="宋体" w:eastAsia="宋体" w:cs="宋体"/>
                <w:b w:val="0"/>
                <w:bCs w:val="0"/>
                <w:color w:val="000000"/>
                <w:kern w:val="0"/>
                <w:sz w:val="18"/>
                <w:szCs w:val="18"/>
                <w:lang w:val="en-US" w:eastAsia="zh-CN"/>
              </w:rPr>
            </w:pPr>
            <w:r>
              <w:rPr>
                <w:rFonts w:hint="eastAsia" w:ascii="宋体" w:hAnsi="宋体" w:eastAsia="宋体" w:cs="宋体"/>
                <w:color w:val="000000"/>
                <w:kern w:val="0"/>
                <w:sz w:val="18"/>
                <w:szCs w:val="18"/>
              </w:rPr>
              <w:t>Codabar,MSI/MSI PLESSEY, GS1 DataBar 等</w:t>
            </w:r>
          </w:p>
          <w:p w14:paraId="13E484FE">
            <w:pPr>
              <w:widowControl/>
              <w:numPr>
                <w:ilvl w:val="0"/>
                <w:numId w:val="0"/>
              </w:numPr>
              <w:spacing w:line="240" w:lineRule="auto"/>
              <w:ind w:left="0" w:leftChars="0" w:firstLine="0" w:firstLineChars="0"/>
              <w:jc w:val="left"/>
              <w:rPr>
                <w:rFonts w:hint="eastAsia" w:ascii="宋体" w:hAnsi="宋体" w:eastAsia="宋体" w:cs="宋体"/>
                <w:b w:val="0"/>
                <w:bCs w:val="0"/>
                <w:color w:val="000000"/>
                <w:kern w:val="0"/>
                <w:sz w:val="18"/>
                <w:szCs w:val="18"/>
                <w:lang w:val="en-US" w:eastAsia="zh-CN"/>
              </w:rPr>
            </w:pPr>
            <w:r>
              <w:rPr>
                <w:rFonts w:hint="eastAsia" w:ascii="宋体" w:hAnsi="宋体" w:cs="宋体"/>
                <w:color w:val="000000"/>
                <w:kern w:val="0"/>
                <w:sz w:val="18"/>
                <w:szCs w:val="18"/>
                <w:lang w:val="en-US" w:eastAsia="zh-CN"/>
              </w:rPr>
              <w:t>6、</w:t>
            </w:r>
            <w:r>
              <w:rPr>
                <w:rFonts w:hint="eastAsia" w:ascii="宋体" w:hAnsi="宋体" w:eastAsia="宋体" w:cs="宋体"/>
                <w:color w:val="000000"/>
                <w:kern w:val="0"/>
                <w:sz w:val="18"/>
                <w:szCs w:val="18"/>
              </w:rPr>
              <w:t>发卡</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支持磁条卡发放；具有废卡回收功能；卡盒容量≥100 张；具有入卡槽卡片用完及废卡槽满自动告警；具有回收槽满、卡箱预空、卡箱空、卡位置多组传感器检测，卡片位置和卡片状态提示功能</w:t>
            </w:r>
          </w:p>
          <w:p w14:paraId="5E71EB4C">
            <w:pPr>
              <w:widowControl/>
              <w:spacing w:beforeLines="0" w:afterLine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7、</w:t>
            </w:r>
            <w:r>
              <w:rPr>
                <w:rFonts w:hint="eastAsia" w:ascii="宋体" w:hAnsi="宋体" w:eastAsia="宋体" w:cs="宋体"/>
                <w:color w:val="000000"/>
                <w:kern w:val="0"/>
                <w:sz w:val="18"/>
                <w:szCs w:val="18"/>
              </w:rPr>
              <w:t>凭条打印机</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打印方式：行式热敏打印机</w:t>
            </w:r>
          </w:p>
          <w:p w14:paraId="565812F1">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走纸速度：150mm/S（MAX）</w:t>
            </w:r>
          </w:p>
          <w:p w14:paraId="391E90EE">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打印宽度：72MM（MAX）</w:t>
            </w:r>
          </w:p>
          <w:p w14:paraId="06496A29">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打印长度：100KM</w:t>
            </w:r>
          </w:p>
          <w:p w14:paraId="636DF732">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切纸方式：滑动式</w:t>
            </w:r>
          </w:p>
          <w:p w14:paraId="459B07CF">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切纸条件：半切、全切</w:t>
            </w:r>
          </w:p>
          <w:p w14:paraId="20469514">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切刀寿命：100W 次</w:t>
            </w:r>
          </w:p>
          <w:p w14:paraId="7CF24CE2">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可装入纸卷最大直径：80mm</w:t>
            </w:r>
          </w:p>
          <w:p w14:paraId="19752FC7">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开门方式：自动、手动</w:t>
            </w:r>
          </w:p>
          <w:p w14:paraId="3F891EB8">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具有打印头温度传感器、开盖检测、切纸检测、黑标传感器、堵纸检</w:t>
            </w:r>
          </w:p>
          <w:p w14:paraId="4F4BAD8F">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测、纸将尽和最后一张纸检测</w:t>
            </w:r>
          </w:p>
          <w:p w14:paraId="3B1A1F8B">
            <w:pPr>
              <w:widowControl/>
              <w:numPr>
                <w:ilvl w:val="0"/>
                <w:numId w:val="0"/>
              </w:numPr>
              <w:spacing w:line="240" w:lineRule="auto"/>
              <w:ind w:left="0" w:leftChars="0" w:firstLine="0" w:firstLineChars="0"/>
              <w:jc w:val="left"/>
              <w:rPr>
                <w:rFonts w:hint="eastAsia" w:ascii="宋体" w:hAnsi="宋体" w:eastAsia="宋体" w:cs="宋体"/>
                <w:b w:val="0"/>
                <w:bCs w:val="0"/>
                <w:color w:val="000000"/>
                <w:kern w:val="0"/>
                <w:sz w:val="18"/>
                <w:szCs w:val="18"/>
                <w:lang w:val="en-US" w:eastAsia="zh-CN"/>
              </w:rPr>
            </w:pPr>
            <w:r>
              <w:rPr>
                <w:rFonts w:hint="eastAsia" w:ascii="宋体" w:hAnsi="宋体" w:eastAsia="宋体" w:cs="宋体"/>
                <w:color w:val="000000"/>
                <w:kern w:val="0"/>
                <w:sz w:val="18"/>
                <w:szCs w:val="18"/>
              </w:rPr>
              <w:t>工作电压：直流+24.0 V ± 2.4 V</w:t>
            </w:r>
          </w:p>
          <w:p w14:paraId="2FCCAAE7">
            <w:pPr>
              <w:widowControl/>
              <w:spacing w:beforeLines="0" w:afterLine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eastAsia="宋体" w:cs="宋体"/>
                <w:color w:val="000000"/>
                <w:kern w:val="0"/>
                <w:sz w:val="18"/>
                <w:szCs w:val="18"/>
              </w:rPr>
              <w:t>黑白激光打印</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双面打印选项：自动（标配）打印速度：A4 高达38 页/分钟</w:t>
            </w:r>
          </w:p>
          <w:p w14:paraId="49229E5F">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首页输出时间：6.9S</w:t>
            </w:r>
          </w:p>
          <w:p w14:paraId="56EE2188">
            <w:pPr>
              <w:widowControl/>
              <w:spacing w:beforeLines="0" w:afterLine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进纸盒：250 页</w:t>
            </w:r>
          </w:p>
          <w:p w14:paraId="738357E2">
            <w:pPr>
              <w:widowControl/>
              <w:numPr>
                <w:ilvl w:val="0"/>
                <w:numId w:val="0"/>
              </w:numPr>
              <w:spacing w:line="240" w:lineRule="auto"/>
              <w:ind w:left="0" w:leftChars="0" w:firstLine="0" w:firstLineChars="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出纸盒：150 页</w:t>
            </w:r>
          </w:p>
          <w:p w14:paraId="516225D2">
            <w:pPr>
              <w:widowControl/>
              <w:numPr>
                <w:ilvl w:val="0"/>
                <w:numId w:val="0"/>
              </w:numPr>
              <w:spacing w:line="240" w:lineRule="auto"/>
              <w:ind w:left="0" w:leftChars="0" w:firstLine="0" w:firstLineChars="0"/>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r>
              <w:rPr>
                <w:rFonts w:hint="eastAsia" w:ascii="宋体" w:hAnsi="宋体" w:eastAsia="宋体" w:cs="宋体"/>
                <w:color w:val="000000"/>
                <w:kern w:val="0"/>
                <w:sz w:val="18"/>
                <w:szCs w:val="18"/>
              </w:rPr>
              <w:t>UPS 电源</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不间断电源，容量≥1500V/A；配套软件支持停电提醒</w:t>
            </w:r>
          </w:p>
          <w:p w14:paraId="34313837">
            <w:pPr>
              <w:widowControl/>
              <w:spacing w:beforeLines="0" w:afterLine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eastAsia="宋体" w:cs="宋体"/>
                <w:color w:val="000000"/>
                <w:kern w:val="0"/>
                <w:sz w:val="18"/>
                <w:szCs w:val="18"/>
              </w:rPr>
              <w:t>医保刷脸模块</w:t>
            </w:r>
          </w:p>
          <w:p w14:paraId="3A9173E6">
            <w:pPr>
              <w:widowControl/>
              <w:numPr>
                <w:ilvl w:val="0"/>
                <w:numId w:val="0"/>
              </w:numPr>
              <w:spacing w:line="240" w:lineRule="auto"/>
              <w:ind w:left="0" w:leftChars="0" w:firstLine="0" w:firstLineChars="0"/>
              <w:jc w:val="left"/>
              <w:rPr>
                <w:rFonts w:hint="eastAsia" w:ascii="宋体" w:hAnsi="宋体" w:cs="宋体"/>
                <w:color w:val="000000"/>
                <w:kern w:val="0"/>
                <w:sz w:val="18"/>
                <w:szCs w:val="18"/>
                <w:lang w:eastAsia="zh-CN"/>
              </w:rPr>
            </w:pPr>
            <w:r>
              <w:rPr>
                <w:rFonts w:hint="eastAsia" w:ascii="宋体" w:hAnsi="宋体" w:eastAsia="宋体" w:cs="宋体"/>
                <w:color w:val="000000"/>
                <w:kern w:val="0"/>
                <w:sz w:val="18"/>
                <w:szCs w:val="18"/>
              </w:rPr>
              <w:t>要求</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投标产品通过国家医保局医保业务综合服务终端（Ⅲ类）设备的检测</w:t>
            </w:r>
            <w:r>
              <w:rPr>
                <w:rFonts w:hint="eastAsia" w:ascii="宋体" w:hAnsi="宋体" w:cs="宋体"/>
                <w:color w:val="000000"/>
                <w:kern w:val="0"/>
                <w:sz w:val="18"/>
                <w:szCs w:val="18"/>
                <w:lang w:eastAsia="zh-CN"/>
              </w:rPr>
              <w:t>。</w:t>
            </w:r>
          </w:p>
          <w:p w14:paraId="1501A7CA">
            <w:pPr>
              <w:numPr>
                <w:ilvl w:val="0"/>
                <w:numId w:val="0"/>
              </w:numPr>
              <w:spacing w:line="274" w:lineRule="exact"/>
              <w:jc w:val="both"/>
              <w:rPr>
                <w:rFonts w:hint="eastAsia" w:ascii="宋体" w:hAnsi="宋体" w:eastAsia="宋体" w:cs="宋体"/>
                <w:b w:val="0"/>
                <w:bCs w:val="0"/>
                <w:sz w:val="18"/>
                <w:szCs w:val="18"/>
                <w:lang w:val="en-US" w:eastAsia="zh-CN"/>
              </w:rPr>
            </w:pPr>
            <w:r>
              <w:rPr>
                <w:rFonts w:hint="eastAsia" w:ascii="宋体" w:hAnsi="宋体" w:cs="宋体"/>
                <w:color w:val="000000"/>
                <w:kern w:val="0"/>
                <w:sz w:val="18"/>
                <w:szCs w:val="18"/>
                <w:lang w:val="en-US" w:eastAsia="zh-CN"/>
              </w:rPr>
              <w:t>11、</w:t>
            </w:r>
            <w:r>
              <w:rPr>
                <w:rFonts w:hint="eastAsia" w:ascii="宋体" w:hAnsi="宋体" w:eastAsia="宋体" w:cs="宋体"/>
                <w:color w:val="000000"/>
                <w:kern w:val="0"/>
                <w:sz w:val="18"/>
                <w:szCs w:val="18"/>
              </w:rPr>
              <w:t>机柜</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内部布线采用塑料线槽、扎线扣，部件各电源线、通讯线用缠绕管扎好，整齐规范外部；各部件模块与机柜结合紧密，布局合理</w:t>
            </w:r>
            <w:r>
              <w:rPr>
                <w:rFonts w:hint="eastAsia" w:ascii="宋体" w:hAnsi="宋体" w:cs="宋体"/>
                <w:color w:val="000000"/>
                <w:kern w:val="0"/>
                <w:sz w:val="18"/>
                <w:szCs w:val="18"/>
                <w:lang w:eastAsia="zh-CN"/>
              </w:rPr>
              <w:t>。</w:t>
            </w:r>
          </w:p>
        </w:tc>
        <w:tc>
          <w:tcPr>
            <w:tcW w:w="4853" w:type="dxa"/>
            <w:noWrap w:val="0"/>
            <w:vAlign w:val="center"/>
          </w:tcPr>
          <w:p w14:paraId="1BBB50B2">
            <w:pPr>
              <w:numPr>
                <w:ilvl w:val="0"/>
                <w:numId w:val="0"/>
              </w:numPr>
              <w:spacing w:line="274" w:lineRule="exact"/>
              <w:jc w:val="both"/>
              <w:rPr>
                <w:rFonts w:hint="eastAsia" w:ascii="宋体" w:hAnsi="宋体" w:eastAsia="宋体" w:cs="宋体"/>
                <w:b w:val="0"/>
                <w:bCs w:val="0"/>
                <w:sz w:val="18"/>
                <w:szCs w:val="18"/>
                <w:lang w:val="en-US" w:eastAsia="zh-CN"/>
              </w:rPr>
            </w:pPr>
          </w:p>
        </w:tc>
      </w:tr>
    </w:tbl>
    <w:p w14:paraId="4AF51AAA">
      <w:pPr>
        <w:pageBreakBefore w:val="0"/>
        <w:widowControl w:val="0"/>
        <w:kinsoku/>
        <w:overflowPunct/>
        <w:topLinePunct w:val="0"/>
        <w:bidi w:val="0"/>
        <w:snapToGrid/>
        <w:spacing w:line="360" w:lineRule="auto"/>
        <w:ind w:right="31"/>
        <w:textAlignment w:val="auto"/>
        <w:rPr>
          <w:rFonts w:hint="eastAsia" w:ascii="宋体" w:hAnsi="宋体" w:eastAsia="宋体" w:cs="宋体"/>
          <w:b/>
          <w:bCs/>
          <w:spacing w:val="-3"/>
          <w:kern w:val="2"/>
          <w:sz w:val="24"/>
          <w:szCs w:val="24"/>
          <w:lang w:val="en-US" w:eastAsia="zh-CN" w:bidi="ar-SA"/>
        </w:rPr>
      </w:pPr>
    </w:p>
    <w:p w14:paraId="6741D85D">
      <w:pPr>
        <w:pageBreakBefore w:val="0"/>
        <w:widowControl w:val="0"/>
        <w:kinsoku/>
        <w:overflowPunct/>
        <w:topLinePunct w:val="0"/>
        <w:bidi w:val="0"/>
        <w:snapToGrid/>
        <w:spacing w:line="360" w:lineRule="auto"/>
        <w:ind w:right="31"/>
        <w:textAlignment w:val="auto"/>
        <w:rPr>
          <w:rFonts w:hint="eastAsia" w:ascii="宋体" w:hAnsi="宋体" w:eastAsia="宋体" w:cs="宋体"/>
          <w:b/>
          <w:bCs/>
          <w:spacing w:val="-3"/>
          <w:kern w:val="2"/>
          <w:sz w:val="24"/>
          <w:szCs w:val="24"/>
          <w:lang w:val="en-US" w:eastAsia="zh-CN" w:bidi="ar-SA"/>
        </w:rPr>
      </w:pPr>
      <w:r>
        <w:rPr>
          <w:rFonts w:hint="eastAsia" w:ascii="宋体" w:hAnsi="宋体" w:eastAsia="宋体" w:cs="宋体"/>
          <w:b/>
          <w:bCs/>
          <w:spacing w:val="-3"/>
          <w:kern w:val="2"/>
          <w:sz w:val="24"/>
          <w:szCs w:val="24"/>
          <w:lang w:val="en-US" w:eastAsia="zh-CN" w:bidi="ar-SA"/>
        </w:rPr>
        <w:br w:type="textWrapping"/>
      </w:r>
    </w:p>
    <w:p w14:paraId="15D4EB9E">
      <w:pPr>
        <w:rPr>
          <w:rFonts w:hint="eastAsia" w:ascii="宋体" w:hAnsi="宋体" w:eastAsia="宋体" w:cs="宋体"/>
          <w:b/>
          <w:bCs/>
          <w:spacing w:val="-3"/>
          <w:kern w:val="2"/>
          <w:sz w:val="24"/>
          <w:szCs w:val="24"/>
          <w:lang w:val="en-US" w:eastAsia="zh-CN" w:bidi="ar-SA"/>
        </w:rPr>
      </w:pPr>
      <w:r>
        <w:rPr>
          <w:rFonts w:hint="eastAsia" w:ascii="宋体" w:hAnsi="宋体" w:eastAsia="宋体" w:cs="宋体"/>
          <w:b/>
          <w:bCs/>
          <w:spacing w:val="-3"/>
          <w:kern w:val="2"/>
          <w:sz w:val="24"/>
          <w:szCs w:val="24"/>
          <w:lang w:val="en-US" w:eastAsia="zh-CN" w:bidi="ar-SA"/>
        </w:rPr>
        <w:br w:type="page"/>
      </w:r>
    </w:p>
    <w:p w14:paraId="0152B135">
      <w:pPr>
        <w:spacing w:before="120" w:beforeLines="50" w:line="360" w:lineRule="auto"/>
        <w:ind w:firstLine="3759" w:firstLineChars="1600"/>
        <w:rPr>
          <w:rFonts w:ascii="宋体" w:hAnsi="宋体"/>
          <w:sz w:val="24"/>
          <w:szCs w:val="24"/>
        </w:rPr>
      </w:pPr>
      <w:r>
        <w:rPr>
          <w:rFonts w:hint="eastAsia" w:ascii="宋体" w:hAnsi="宋体" w:cs="宋体"/>
          <w:b/>
          <w:bCs/>
          <w:spacing w:val="-3"/>
          <w:kern w:val="2"/>
          <w:sz w:val="24"/>
          <w:szCs w:val="24"/>
          <w:lang w:val="en-US" w:eastAsia="zh-CN" w:bidi="ar-SA"/>
        </w:rPr>
        <w:t>评分细则</w:t>
      </w:r>
      <w:r>
        <w:rPr>
          <w:rFonts w:hint="eastAsia" w:ascii="宋体" w:hAnsi="宋体" w:cs="宋体"/>
          <w:b/>
          <w:bCs/>
          <w:spacing w:val="-3"/>
          <w:kern w:val="2"/>
          <w:sz w:val="24"/>
          <w:szCs w:val="24"/>
          <w:lang w:val="en-US" w:eastAsia="zh-CN" w:bidi="ar-SA"/>
        </w:rPr>
        <w:br w:type="textWrapping"/>
      </w:r>
      <w:r>
        <w:rPr>
          <w:rFonts w:hint="eastAsia" w:ascii="宋体" w:hAnsi="宋体" w:eastAsia="宋体" w:cs="宋体"/>
          <w:sz w:val="24"/>
          <w:szCs w:val="24"/>
        </w:rPr>
        <w:t>评标委员会只对通过资格审查的，实质上响应招标文件要求的投标文件按照下述指标表进行详细</w:t>
      </w:r>
      <w:r>
        <w:rPr>
          <w:rFonts w:hint="eastAsia" w:ascii="宋体" w:hAnsi="宋体"/>
          <w:sz w:val="24"/>
          <w:szCs w:val="24"/>
        </w:rPr>
        <w:t>审查。</w:t>
      </w:r>
    </w:p>
    <w:p w14:paraId="304C0EB5">
      <w:pPr>
        <w:pStyle w:val="2"/>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本项目技术分值占总分值的权重为</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80</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%，价格分值占总分值的权重为</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olor w:val="000000" w:themeColor="text1"/>
          <w:sz w:val="24"/>
          <w:szCs w:val="24"/>
          <w:highlight w:val="none"/>
          <w14:textFill>
            <w14:solidFill>
              <w14:schemeClr w14:val="tx1"/>
            </w14:solidFill>
          </w14:textFill>
        </w:rPr>
        <w:t>%。具体评分细则如下：</w:t>
      </w:r>
    </w:p>
    <w:p w14:paraId="0C317637">
      <w:pPr>
        <w:pageBreakBefore w:val="0"/>
        <w:widowControl w:val="0"/>
        <w:kinsoku/>
        <w:overflowPunct/>
        <w:topLinePunct w:val="0"/>
        <w:bidi w:val="0"/>
        <w:snapToGrid/>
        <w:spacing w:line="360" w:lineRule="auto"/>
        <w:ind w:right="31"/>
        <w:jc w:val="center"/>
        <w:textAlignment w:val="auto"/>
        <w:rPr>
          <w:rFonts w:hint="default" w:ascii="宋体" w:hAnsi="宋体" w:eastAsia="宋体" w:cs="宋体"/>
          <w:b/>
          <w:bCs/>
          <w:spacing w:val="-3"/>
          <w:kern w:val="2"/>
          <w:sz w:val="24"/>
          <w:szCs w:val="24"/>
          <w:lang w:val="en-US" w:eastAsia="zh-CN" w:bidi="ar-S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0"/>
        <w:gridCol w:w="1609"/>
        <w:gridCol w:w="4539"/>
        <w:gridCol w:w="1770"/>
      </w:tblGrid>
      <w:tr w14:paraId="0548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021D531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r>
              <w:rPr>
                <w:rFonts w:hint="eastAsia" w:ascii="宋体" w:hAnsi="宋体"/>
                <w:b/>
                <w:bCs/>
                <w:sz w:val="24"/>
                <w:szCs w:val="24"/>
              </w:rPr>
              <w:t>类别</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1B6235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r>
              <w:rPr>
                <w:rFonts w:hint="eastAsia" w:ascii="宋体" w:hAnsi="宋体" w:cs="宋体"/>
                <w:b/>
                <w:bCs/>
                <w:sz w:val="24"/>
                <w:szCs w:val="24"/>
              </w:rPr>
              <w:t>评分内容</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4F8EA43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r>
              <w:rPr>
                <w:rFonts w:hint="eastAsia" w:ascii="宋体" w:hAnsi="宋体" w:cs="宋体"/>
                <w:b/>
                <w:bCs/>
                <w:sz w:val="24"/>
                <w:szCs w:val="24"/>
              </w:rPr>
              <w:t>评分标准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68C19F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r>
              <w:rPr>
                <w:rFonts w:hint="eastAsia" w:ascii="宋体" w:hAnsi="宋体" w:cs="宋体"/>
                <w:b/>
                <w:bCs/>
                <w:sz w:val="24"/>
                <w:szCs w:val="24"/>
              </w:rPr>
              <w:t>分值范围</w:t>
            </w:r>
          </w:p>
        </w:tc>
      </w:tr>
      <w:tr w14:paraId="16F0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restart"/>
            <w:tcBorders>
              <w:top w:val="single" w:color="auto" w:sz="4" w:space="0"/>
              <w:left w:val="single" w:color="auto" w:sz="4" w:space="0"/>
              <w:right w:val="single" w:color="auto" w:sz="4" w:space="0"/>
            </w:tcBorders>
            <w:noWrap w:val="0"/>
            <w:vAlign w:val="center"/>
          </w:tcPr>
          <w:p w14:paraId="442030F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技术标分</w:t>
            </w:r>
          </w:p>
          <w:p w14:paraId="370ADE4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80</w:t>
            </w:r>
            <w:r>
              <w:rPr>
                <w:rFonts w:hint="eastAsia" w:ascii="宋体" w:hAnsi="宋体"/>
                <w:sz w:val="24"/>
                <w:szCs w:val="24"/>
                <w:u w:val="single"/>
              </w:rPr>
              <w:t xml:space="preserve"> </w:t>
            </w:r>
            <w:r>
              <w:rPr>
                <w:rFonts w:hint="eastAsia" w:ascii="宋体" w:hAnsi="宋体"/>
                <w:sz w:val="24"/>
                <w:szCs w:val="24"/>
              </w:rPr>
              <w:t>分）</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09CD6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企业体系</w:t>
            </w:r>
          </w:p>
          <w:p w14:paraId="404BDD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sz w:val="24"/>
                <w:szCs w:val="24"/>
                <w:lang w:val="en-US" w:eastAsia="zh-CN"/>
              </w:rPr>
            </w:pPr>
            <w:r>
              <w:rPr>
                <w:rFonts w:hint="eastAsia" w:ascii="宋体" w:hAnsi="宋体"/>
                <w:b w:val="0"/>
                <w:bCs w:val="0"/>
                <w:sz w:val="24"/>
                <w:szCs w:val="24"/>
                <w:lang w:val="en-US" w:eastAsia="zh-CN"/>
              </w:rPr>
              <w:t>证书</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5DC15C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lang w:val="en-US" w:eastAsia="zh-CN"/>
              </w:rPr>
              <w:t>投标人</w:t>
            </w:r>
            <w:r>
              <w:rPr>
                <w:rFonts w:hint="eastAsia" w:ascii="宋体" w:hAnsi="宋体"/>
                <w:b w:val="0"/>
                <w:bCs w:val="0"/>
                <w:sz w:val="24"/>
                <w:szCs w:val="24"/>
              </w:rPr>
              <w:t>具有经中国国家认证认可监督管理委员会认证机构颁发有效的：</w:t>
            </w:r>
          </w:p>
          <w:p w14:paraId="1FC97DA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质量管理体系认证证书；</w:t>
            </w:r>
          </w:p>
          <w:p w14:paraId="0FA657D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eastAsia="宋体"/>
                <w:b w:val="0"/>
                <w:bCs w:val="0"/>
                <w:sz w:val="24"/>
                <w:szCs w:val="24"/>
                <w:lang w:val="en-US" w:eastAsia="zh-CN"/>
              </w:rPr>
              <w:t>2、</w:t>
            </w:r>
            <w:r>
              <w:rPr>
                <w:rFonts w:ascii="宋体" w:hAnsi="宋体" w:eastAsia="宋体" w:cs="宋体"/>
                <w:sz w:val="24"/>
                <w:szCs w:val="24"/>
              </w:rPr>
              <w:t>环境管理体系认证证书</w:t>
            </w:r>
            <w:r>
              <w:rPr>
                <w:rFonts w:hint="eastAsia" w:ascii="宋体" w:hAnsi="宋体" w:eastAsia="宋体" w:cs="宋体"/>
                <w:sz w:val="24"/>
                <w:szCs w:val="24"/>
                <w:lang w:eastAsia="zh-CN"/>
              </w:rPr>
              <w:t>；</w:t>
            </w:r>
          </w:p>
          <w:p w14:paraId="4CF6D56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lang w:eastAsia="zh-CN"/>
              </w:rPr>
            </w:pPr>
            <w:r>
              <w:rPr>
                <w:rFonts w:hint="eastAsia" w:ascii="宋体" w:hAnsi="宋体"/>
                <w:b w:val="0"/>
                <w:bCs w:val="0"/>
                <w:sz w:val="24"/>
                <w:szCs w:val="24"/>
                <w:lang w:val="en-US" w:eastAsia="zh-CN"/>
              </w:rPr>
              <w:t>3、</w:t>
            </w:r>
            <w:r>
              <w:rPr>
                <w:rFonts w:hint="eastAsia" w:ascii="宋体" w:hAnsi="宋体"/>
                <w:b w:val="0"/>
                <w:bCs w:val="0"/>
                <w:sz w:val="24"/>
                <w:szCs w:val="24"/>
              </w:rPr>
              <w:t>职业健康安全管理体系认证证书</w:t>
            </w:r>
            <w:r>
              <w:rPr>
                <w:rFonts w:hint="eastAsia" w:ascii="宋体" w:hAnsi="宋体"/>
                <w:b w:val="0"/>
                <w:bCs w:val="0"/>
                <w:sz w:val="24"/>
                <w:szCs w:val="24"/>
                <w:lang w:eastAsia="zh-CN"/>
              </w:rPr>
              <w:t>；</w:t>
            </w:r>
          </w:p>
          <w:p w14:paraId="557D724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每提供一个得</w:t>
            </w:r>
            <w:r>
              <w:rPr>
                <w:rFonts w:hint="eastAsia" w:ascii="宋体" w:hAnsi="宋体"/>
                <w:b w:val="0"/>
                <w:bCs w:val="0"/>
                <w:sz w:val="24"/>
                <w:szCs w:val="24"/>
                <w:lang w:val="en-US" w:eastAsia="zh-CN"/>
              </w:rPr>
              <w:t>1</w:t>
            </w:r>
            <w:r>
              <w:rPr>
                <w:rFonts w:hint="eastAsia" w:ascii="宋体" w:hAnsi="宋体"/>
                <w:b w:val="0"/>
                <w:bCs w:val="0"/>
                <w:sz w:val="24"/>
                <w:szCs w:val="24"/>
              </w:rPr>
              <w:t>分，本项最高得</w:t>
            </w:r>
            <w:r>
              <w:rPr>
                <w:rFonts w:hint="eastAsia" w:ascii="宋体" w:hAnsi="宋体"/>
                <w:b w:val="0"/>
                <w:bCs w:val="0"/>
                <w:sz w:val="24"/>
                <w:szCs w:val="24"/>
                <w:lang w:val="en-US" w:eastAsia="zh-CN"/>
              </w:rPr>
              <w:t>3</w:t>
            </w:r>
            <w:r>
              <w:rPr>
                <w:rFonts w:hint="eastAsia" w:ascii="宋体" w:hAnsi="宋体"/>
                <w:b w:val="0"/>
                <w:bCs w:val="0"/>
                <w:sz w:val="24"/>
                <w:szCs w:val="24"/>
              </w:rPr>
              <w:t>分。</w:t>
            </w:r>
            <w:r>
              <w:rPr>
                <w:rFonts w:hint="eastAsia" w:ascii="宋体" w:hAnsi="宋体"/>
                <w:b w:val="0"/>
                <w:bCs w:val="0"/>
                <w:sz w:val="24"/>
                <w:szCs w:val="24"/>
              </w:rPr>
              <w:br w:type="textWrapping"/>
            </w:r>
            <w:r>
              <w:rPr>
                <w:rFonts w:hint="eastAsia" w:ascii="宋体" w:hAnsi="宋体"/>
                <w:b w:val="0"/>
                <w:bCs w:val="0"/>
                <w:sz w:val="24"/>
                <w:szCs w:val="24"/>
              </w:rPr>
              <w:t>注：</w:t>
            </w:r>
            <w:r>
              <w:rPr>
                <w:rFonts w:hint="eastAsia" w:ascii="宋体" w:hAnsi="宋体"/>
                <w:b w:val="0"/>
                <w:bCs w:val="0"/>
                <w:sz w:val="24"/>
                <w:szCs w:val="24"/>
                <w:lang w:val="en-US" w:eastAsia="zh-CN"/>
              </w:rPr>
              <w:t>投标</w:t>
            </w:r>
            <w:r>
              <w:rPr>
                <w:rFonts w:hint="eastAsia" w:ascii="宋体" w:hAnsi="宋体"/>
                <w:b w:val="0"/>
                <w:bCs w:val="0"/>
                <w:sz w:val="24"/>
                <w:szCs w:val="24"/>
              </w:rPr>
              <w:t>文件中提供有效证书及全国认证认可信息公共服务平台网站的查询截图</w:t>
            </w:r>
            <w:r>
              <w:rPr>
                <w:rFonts w:hint="eastAsia" w:ascii="宋体" w:hAnsi="宋体"/>
                <w:b w:val="0"/>
                <w:bCs w:val="0"/>
                <w:sz w:val="24"/>
                <w:szCs w:val="24"/>
                <w:lang w:eastAsia="zh-CN"/>
              </w:rPr>
              <w:t>，未提供或提供不全不得分</w:t>
            </w:r>
            <w:r>
              <w:rPr>
                <w:rFonts w:hint="eastAsia" w:ascii="宋体" w:hAnsi="宋体"/>
                <w:b w:val="0"/>
                <w:bCs w:val="0"/>
                <w:sz w:val="24"/>
                <w:szCs w:val="24"/>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71C702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0-3</w:t>
            </w:r>
          </w:p>
        </w:tc>
      </w:tr>
      <w:tr w14:paraId="29EC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66BCBF1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B7C4FA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企业业绩</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6C9EAD8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lang w:val="en-US" w:eastAsia="zh-CN"/>
              </w:rPr>
            </w:pPr>
            <w:r>
              <w:rPr>
                <w:rFonts w:hint="eastAsia" w:ascii="宋体" w:hAnsi="宋体"/>
                <w:b w:val="0"/>
                <w:bCs w:val="0"/>
                <w:color w:val="000000"/>
                <w:sz w:val="24"/>
                <w:szCs w:val="24"/>
                <w:lang w:val="en-US" w:eastAsia="zh-CN"/>
              </w:rPr>
              <w:t>投标人承担过类似项目业绩的，每提供一个得5分，本项最高得15分。</w:t>
            </w:r>
            <w:r>
              <w:rPr>
                <w:rFonts w:hint="eastAsia" w:ascii="宋体" w:hAnsi="宋体"/>
                <w:b w:val="0"/>
                <w:bCs w:val="0"/>
                <w:sz w:val="24"/>
                <w:szCs w:val="24"/>
                <w:lang w:val="en-US" w:eastAsia="zh-CN"/>
              </w:rPr>
              <w:br w:type="textWrapping"/>
            </w:r>
            <w:r>
              <w:rPr>
                <w:rFonts w:hint="eastAsia" w:ascii="宋体" w:hAnsi="宋体"/>
                <w:b w:val="0"/>
                <w:bCs w:val="0"/>
                <w:sz w:val="24"/>
                <w:szCs w:val="24"/>
                <w:lang w:val="en-US" w:eastAsia="zh-CN"/>
              </w:rPr>
              <w:t>注：（1）</w:t>
            </w:r>
            <w:r>
              <w:rPr>
                <w:rFonts w:hint="eastAsia" w:ascii="宋体" w:hAnsi="宋体"/>
                <w:b w:val="0"/>
                <w:bCs w:val="0"/>
                <w:color w:val="000000"/>
                <w:sz w:val="24"/>
                <w:szCs w:val="24"/>
                <w:highlight w:val="none"/>
                <w:lang w:val="en-US" w:eastAsia="zh-CN"/>
              </w:rPr>
              <w:t>类似项目业绩合同需包含检验试剂耗材配送（或合作项目）</w:t>
            </w:r>
            <w:r>
              <w:rPr>
                <w:rFonts w:hint="eastAsia" w:ascii="宋体" w:hAnsi="宋体"/>
                <w:b w:val="0"/>
                <w:bCs w:val="0"/>
                <w:sz w:val="24"/>
                <w:szCs w:val="24"/>
                <w:lang w:val="en-US" w:eastAsia="zh-CN"/>
              </w:rPr>
              <w:t>；（2）投标文件中提供业绩合同。如合同文本未能清晰反映相关评审要素的，应同时提供由合同甲方出具并加盖公章的有效证明文件。正在履行或已履行完毕的业绩均可作为有效业绩。</w:t>
            </w:r>
          </w:p>
          <w:p w14:paraId="06F5BD3F">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（3）同一合同甲方的业绩，仅计取一次分数。未提供或未按要求提供完整材料的，本项不得分。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D6C346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0-15</w:t>
            </w:r>
          </w:p>
        </w:tc>
      </w:tr>
      <w:tr w14:paraId="44D6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6F05B2E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98A5A6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人员配备资历</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2EB2ACEB">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1、投标人拟派项目负责人具有医学类相关专业证书的，每提供一个得3分，本项最高得3分。</w:t>
            </w:r>
            <w:r>
              <w:rPr>
                <w:rFonts w:hint="eastAsia" w:ascii="宋体" w:hAnsi="宋体"/>
                <w:b w:val="0"/>
                <w:bCs w:val="0"/>
                <w:sz w:val="24"/>
                <w:szCs w:val="24"/>
                <w:lang w:val="en-US" w:eastAsia="zh-CN"/>
              </w:rPr>
              <w:br w:type="textWrapping"/>
            </w:r>
            <w:r>
              <w:rPr>
                <w:rFonts w:hint="eastAsia" w:ascii="宋体" w:hAnsi="宋体"/>
                <w:b w:val="0"/>
                <w:bCs w:val="0"/>
                <w:sz w:val="24"/>
                <w:szCs w:val="24"/>
                <w:lang w:val="en-US" w:eastAsia="zh-CN"/>
              </w:rPr>
              <w:t>注：投标文件中提供项目负责人身份证明和证书，未提供的本项不得分。</w:t>
            </w:r>
            <w:r>
              <w:rPr>
                <w:rFonts w:hint="eastAsia" w:ascii="宋体" w:hAnsi="宋体"/>
                <w:b w:val="0"/>
                <w:bCs w:val="0"/>
                <w:sz w:val="24"/>
                <w:szCs w:val="24"/>
                <w:lang w:val="en-US" w:eastAsia="zh-CN"/>
              </w:rPr>
              <w:br w:type="textWrapping"/>
            </w:r>
            <w:r>
              <w:rPr>
                <w:rFonts w:hint="eastAsia" w:ascii="宋体" w:hAnsi="宋体"/>
                <w:b w:val="0"/>
                <w:bCs w:val="0"/>
                <w:sz w:val="24"/>
                <w:szCs w:val="24"/>
                <w:lang w:val="en-US" w:eastAsia="zh-CN"/>
              </w:rPr>
              <w:t>2、投标人拟派项目负责人</w:t>
            </w:r>
            <w:r>
              <w:rPr>
                <w:rFonts w:hint="eastAsia" w:ascii="宋体" w:hAnsi="宋体"/>
                <w:b w:val="0"/>
                <w:bCs w:val="0"/>
                <w:color w:val="000000"/>
                <w:sz w:val="24"/>
                <w:szCs w:val="24"/>
                <w:lang w:val="en-US" w:eastAsia="zh-CN"/>
              </w:rPr>
              <w:t>承担过类似项目业绩的，每提供一个得5分，本项最高得5分。</w:t>
            </w:r>
            <w:r>
              <w:rPr>
                <w:rFonts w:hint="eastAsia" w:ascii="宋体" w:hAnsi="宋体"/>
                <w:b w:val="0"/>
                <w:bCs w:val="0"/>
                <w:color w:val="000000"/>
                <w:sz w:val="24"/>
                <w:szCs w:val="24"/>
                <w:lang w:val="en-US" w:eastAsia="zh-CN"/>
              </w:rPr>
              <w:br w:type="textWrapping"/>
            </w:r>
            <w:r>
              <w:rPr>
                <w:rFonts w:hint="eastAsia" w:ascii="宋体" w:hAnsi="宋体"/>
                <w:b w:val="0"/>
                <w:bCs w:val="0"/>
                <w:color w:val="000000"/>
                <w:sz w:val="24"/>
                <w:szCs w:val="24"/>
                <w:lang w:val="en-US" w:eastAsia="zh-CN"/>
              </w:rPr>
              <w:t>注：</w:t>
            </w:r>
            <w:r>
              <w:rPr>
                <w:rFonts w:hint="eastAsia" w:ascii="宋体" w:hAnsi="宋体"/>
                <w:b w:val="0"/>
                <w:bCs w:val="0"/>
                <w:sz w:val="24"/>
                <w:szCs w:val="24"/>
                <w:lang w:val="en-US" w:eastAsia="zh-CN"/>
              </w:rPr>
              <w:t>（1）</w:t>
            </w:r>
            <w:r>
              <w:rPr>
                <w:rFonts w:hint="eastAsia" w:ascii="宋体" w:hAnsi="宋体"/>
                <w:b w:val="0"/>
                <w:bCs w:val="0"/>
                <w:color w:val="000000"/>
                <w:sz w:val="24"/>
                <w:szCs w:val="24"/>
                <w:highlight w:val="none"/>
                <w:lang w:val="en-US" w:eastAsia="zh-CN"/>
              </w:rPr>
              <w:t>类似项目业绩合同需包含检验试剂耗材配送（或合作项目）；</w:t>
            </w:r>
            <w:r>
              <w:rPr>
                <w:rFonts w:hint="eastAsia" w:ascii="宋体" w:hAnsi="宋体"/>
                <w:b w:val="0"/>
                <w:bCs w:val="0"/>
                <w:sz w:val="24"/>
                <w:szCs w:val="24"/>
                <w:lang w:val="en-US" w:eastAsia="zh-CN"/>
              </w:rPr>
              <w:t>（2）投标文件中提供业绩合同。如合同文本未能清晰反映相关评审要素的，应同时提供由合同甲方出具并加盖公章的有效证明文件。正在履行或已履行完毕的业绩均可作为有效业绩。</w:t>
            </w:r>
            <w:r>
              <w:rPr>
                <w:rFonts w:hint="eastAsia" w:ascii="宋体" w:hAnsi="宋体"/>
                <w:b w:val="0"/>
                <w:bCs w:val="0"/>
                <w:sz w:val="24"/>
                <w:szCs w:val="24"/>
                <w:lang w:val="en-US" w:eastAsia="zh-CN"/>
              </w:rPr>
              <w:br w:type="textWrapping"/>
            </w:r>
            <w:r>
              <w:rPr>
                <w:rFonts w:hint="eastAsia" w:ascii="宋体" w:hAnsi="宋体"/>
                <w:b w:val="0"/>
                <w:bCs w:val="0"/>
                <w:sz w:val="24"/>
                <w:szCs w:val="24"/>
                <w:lang w:val="en-US" w:eastAsia="zh-CN"/>
              </w:rPr>
              <w:t>3、投标人拟派驻场管理人员（项目负责人除外）：每配备一名具有医学类相关专业的人员，得1分，本项最高得2分。</w:t>
            </w:r>
            <w:r>
              <w:rPr>
                <w:rFonts w:hint="eastAsia" w:ascii="宋体" w:hAnsi="宋体"/>
                <w:b w:val="0"/>
                <w:bCs w:val="0"/>
                <w:sz w:val="24"/>
                <w:szCs w:val="24"/>
                <w:lang w:val="en-US" w:eastAsia="zh-CN"/>
              </w:rPr>
              <w:br w:type="textWrapping"/>
            </w:r>
            <w:r>
              <w:rPr>
                <w:rFonts w:hint="eastAsia" w:ascii="宋体" w:hAnsi="宋体"/>
                <w:b w:val="0"/>
                <w:bCs w:val="0"/>
                <w:sz w:val="24"/>
                <w:szCs w:val="24"/>
                <w:lang w:val="en-US" w:eastAsia="zh-CN"/>
              </w:rPr>
              <w:t>4、投标人拟派驻场设备维保人员（项目负责人除外）：每配备一名具有医学类相关专业或机电类专业的人员，得2分，本项最高得2分。</w:t>
            </w:r>
            <w:r>
              <w:rPr>
                <w:rFonts w:hint="eastAsia" w:ascii="宋体" w:hAnsi="宋体"/>
                <w:b w:val="0"/>
                <w:bCs w:val="0"/>
                <w:sz w:val="24"/>
                <w:szCs w:val="24"/>
                <w:lang w:val="en-US" w:eastAsia="zh-CN"/>
              </w:rPr>
              <w:br w:type="textWrapping"/>
            </w:r>
            <w:r>
              <w:rPr>
                <w:rFonts w:hint="eastAsia" w:ascii="宋体" w:hAnsi="宋体"/>
                <w:b w:val="0"/>
                <w:bCs w:val="0"/>
                <w:sz w:val="24"/>
                <w:szCs w:val="24"/>
                <w:lang w:val="en-US" w:eastAsia="zh-CN"/>
              </w:rPr>
              <w:t>注：（1）第3、4项，投标文件中提供以上人员身份证明和证书等证明材料；同一人持多项证书的不重复计分。（2）未提供或未按要求提供完整材料的，本项不得分。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34F4A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0-12</w:t>
            </w:r>
          </w:p>
        </w:tc>
      </w:tr>
      <w:tr w14:paraId="119C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25783C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9FFCA6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配送率</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63D3CE58">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投标人承诺本次采购检验集采类试剂耗材和检验非集采类试剂耗材品种正常供应配送率100%的，得</w:t>
            </w:r>
            <w:r>
              <w:rPr>
                <w:rFonts w:hint="eastAsia" w:ascii="宋体" w:hAnsi="宋体" w:eastAsia="宋体"/>
                <w:b w:val="0"/>
                <w:bCs w:val="0"/>
                <w:sz w:val="24"/>
                <w:szCs w:val="24"/>
                <w:lang w:val="en-US" w:eastAsia="zh-CN"/>
              </w:rPr>
              <w:t>5</w:t>
            </w:r>
            <w:r>
              <w:rPr>
                <w:rFonts w:hint="default" w:ascii="宋体" w:hAnsi="宋体" w:eastAsia="宋体"/>
                <w:b w:val="0"/>
                <w:bCs w:val="0"/>
                <w:sz w:val="24"/>
                <w:szCs w:val="24"/>
                <w:lang w:val="en-US" w:eastAsia="zh-CN"/>
              </w:rPr>
              <w:t>分（配送率=规定时间内实际配送耗材数量/规定时间内计划耗材数量×100%）。</w:t>
            </w:r>
          </w:p>
          <w:p w14:paraId="15B95A44">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注：投标文件中提供承诺函，格式自拟，配送率</w:t>
            </w:r>
            <w:r>
              <w:rPr>
                <w:rFonts w:hint="eastAsia" w:ascii="宋体" w:hAnsi="宋体" w:eastAsia="宋体"/>
                <w:b w:val="0"/>
                <w:bCs w:val="0"/>
                <w:sz w:val="24"/>
                <w:szCs w:val="24"/>
                <w:lang w:val="en-US" w:eastAsia="zh-CN"/>
              </w:rPr>
              <w:t>承诺</w:t>
            </w:r>
            <w:r>
              <w:rPr>
                <w:rFonts w:hint="default" w:ascii="宋体" w:hAnsi="宋体" w:eastAsia="宋体"/>
                <w:b w:val="0"/>
                <w:bCs w:val="0"/>
                <w:sz w:val="24"/>
                <w:szCs w:val="24"/>
                <w:lang w:val="en-US" w:eastAsia="zh-CN"/>
              </w:rPr>
              <w:t>达不到100%的</w:t>
            </w:r>
            <w:r>
              <w:rPr>
                <w:rFonts w:hint="eastAsia" w:ascii="宋体" w:hAnsi="宋体" w:eastAsia="宋体"/>
                <w:b w:val="0"/>
                <w:bCs w:val="0"/>
                <w:sz w:val="24"/>
                <w:szCs w:val="24"/>
                <w:lang w:val="en-US" w:eastAsia="zh-CN"/>
              </w:rPr>
              <w:t>，未提供本项</w:t>
            </w:r>
            <w:r>
              <w:rPr>
                <w:rFonts w:hint="default" w:ascii="宋体" w:hAnsi="宋体" w:eastAsia="宋体"/>
                <w:b w:val="0"/>
                <w:bCs w:val="0"/>
                <w:sz w:val="24"/>
                <w:szCs w:val="24"/>
                <w:lang w:val="en-US" w:eastAsia="zh-CN"/>
              </w:rPr>
              <w:t>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CB998A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0-5</w:t>
            </w:r>
          </w:p>
        </w:tc>
      </w:tr>
      <w:tr w14:paraId="61BA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274C1B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F1506B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实验室能力提升</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5D82FAF0">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投标人具有开展院企合作科研项目的能力，每提供一个院企合作科研项目合同书或结题报告</w:t>
            </w:r>
            <w:r>
              <w:rPr>
                <w:rFonts w:hint="eastAsia" w:ascii="宋体" w:hAnsi="宋体" w:eastAsia="宋体"/>
                <w:b w:val="0"/>
                <w:bCs w:val="0"/>
                <w:sz w:val="24"/>
                <w:szCs w:val="24"/>
                <w:lang w:val="en-US" w:eastAsia="zh-CN"/>
              </w:rPr>
              <w:t>的</w:t>
            </w:r>
            <w:r>
              <w:rPr>
                <w:rFonts w:hint="default" w:ascii="宋体" w:hAnsi="宋体" w:eastAsia="宋体"/>
                <w:b w:val="0"/>
                <w:bCs w:val="0"/>
                <w:sz w:val="24"/>
                <w:szCs w:val="24"/>
                <w:lang w:val="en-US" w:eastAsia="zh-CN"/>
              </w:rPr>
              <w:t>得</w:t>
            </w:r>
            <w:r>
              <w:rPr>
                <w:rFonts w:hint="eastAsia" w:ascii="宋体" w:hAnsi="宋体" w:eastAsia="宋体"/>
                <w:b w:val="0"/>
                <w:bCs w:val="0"/>
                <w:sz w:val="24"/>
                <w:szCs w:val="24"/>
                <w:lang w:val="en-US" w:eastAsia="zh-CN"/>
              </w:rPr>
              <w:t>2.5</w:t>
            </w:r>
            <w:r>
              <w:rPr>
                <w:rFonts w:hint="default" w:ascii="宋体" w:hAnsi="宋体" w:eastAsia="宋体"/>
                <w:b w:val="0"/>
                <w:bCs w:val="0"/>
                <w:sz w:val="24"/>
                <w:szCs w:val="24"/>
                <w:lang w:val="en-US" w:eastAsia="zh-CN"/>
              </w:rPr>
              <w:t>分，本项最高得</w:t>
            </w:r>
            <w:r>
              <w:rPr>
                <w:rFonts w:hint="eastAsia" w:ascii="宋体" w:hAnsi="宋体" w:eastAsia="宋体"/>
                <w:b w:val="0"/>
                <w:bCs w:val="0"/>
                <w:sz w:val="24"/>
                <w:szCs w:val="24"/>
                <w:lang w:val="en-US" w:eastAsia="zh-CN"/>
              </w:rPr>
              <w:t>5</w:t>
            </w:r>
            <w:r>
              <w:rPr>
                <w:rFonts w:hint="default" w:ascii="宋体" w:hAnsi="宋体" w:eastAsia="宋体"/>
                <w:b w:val="0"/>
                <w:bCs w:val="0"/>
                <w:sz w:val="24"/>
                <w:szCs w:val="24"/>
                <w:lang w:val="en-US" w:eastAsia="zh-CN"/>
              </w:rPr>
              <w:t>分。</w:t>
            </w:r>
            <w:r>
              <w:rPr>
                <w:rFonts w:hint="default" w:ascii="宋体" w:hAnsi="宋体" w:eastAsia="宋体"/>
                <w:b w:val="0"/>
                <w:bCs w:val="0"/>
                <w:sz w:val="24"/>
                <w:szCs w:val="24"/>
                <w:lang w:val="en-US" w:eastAsia="zh-CN"/>
              </w:rPr>
              <w:br w:type="textWrapping"/>
            </w:r>
            <w:r>
              <w:rPr>
                <w:rFonts w:hint="eastAsia" w:ascii="宋体" w:hAnsi="宋体" w:eastAsia="宋体"/>
                <w:b w:val="0"/>
                <w:bCs w:val="0"/>
                <w:sz w:val="24"/>
                <w:szCs w:val="24"/>
                <w:lang w:val="en-US" w:eastAsia="zh-CN"/>
              </w:rPr>
              <w:t>注：投标文件中提供合同书或结题报告证明材料。</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5792F7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0-5</w:t>
            </w:r>
          </w:p>
        </w:tc>
      </w:tr>
      <w:tr w14:paraId="1E81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53E058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C2631C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库房管理</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16123034">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 xml:space="preserve">投标人承诺建立一级库并保证后续全部纳入医院 SPD管理和提升二级库的能力，得 </w:t>
            </w:r>
            <w:r>
              <w:rPr>
                <w:rFonts w:hint="eastAsia" w:ascii="宋体" w:hAnsi="宋体" w:eastAsia="宋体"/>
                <w:b w:val="0"/>
                <w:bCs w:val="0"/>
                <w:sz w:val="24"/>
                <w:szCs w:val="24"/>
                <w:lang w:val="en-US" w:eastAsia="zh-CN"/>
              </w:rPr>
              <w:t>5</w:t>
            </w:r>
            <w:r>
              <w:rPr>
                <w:rFonts w:hint="default" w:ascii="宋体" w:hAnsi="宋体" w:eastAsia="宋体"/>
                <w:b w:val="0"/>
                <w:bCs w:val="0"/>
                <w:sz w:val="24"/>
                <w:szCs w:val="24"/>
                <w:lang w:val="en-US" w:eastAsia="zh-CN"/>
              </w:rPr>
              <w:t>分，本项最高得</w:t>
            </w:r>
            <w:r>
              <w:rPr>
                <w:rFonts w:hint="eastAsia" w:ascii="宋体" w:hAnsi="宋体" w:eastAsia="宋体"/>
                <w:b w:val="0"/>
                <w:bCs w:val="0"/>
                <w:sz w:val="24"/>
                <w:szCs w:val="24"/>
                <w:lang w:val="en-US" w:eastAsia="zh-CN"/>
              </w:rPr>
              <w:t>5</w:t>
            </w:r>
            <w:r>
              <w:rPr>
                <w:rFonts w:hint="default" w:ascii="宋体" w:hAnsi="宋体" w:eastAsia="宋体"/>
                <w:b w:val="0"/>
                <w:bCs w:val="0"/>
                <w:sz w:val="24"/>
                <w:szCs w:val="24"/>
                <w:lang w:val="en-US" w:eastAsia="zh-CN"/>
              </w:rPr>
              <w:t>分。</w:t>
            </w:r>
            <w:r>
              <w:rPr>
                <w:rFonts w:hint="default" w:ascii="宋体" w:hAnsi="宋体" w:eastAsia="宋体"/>
                <w:b w:val="0"/>
                <w:bCs w:val="0"/>
                <w:sz w:val="24"/>
                <w:szCs w:val="24"/>
                <w:lang w:val="en-US" w:eastAsia="zh-CN"/>
              </w:rPr>
              <w:br w:type="textWrapping"/>
            </w:r>
            <w:r>
              <w:rPr>
                <w:rFonts w:hint="eastAsia" w:ascii="宋体" w:hAnsi="宋体" w:eastAsia="宋体"/>
                <w:b w:val="0"/>
                <w:bCs w:val="0"/>
                <w:sz w:val="24"/>
                <w:szCs w:val="24"/>
                <w:lang w:val="en-US" w:eastAsia="zh-CN"/>
              </w:rPr>
              <w:t>注：投标文件中提供承诺函，格式自拟，未提供本项</w:t>
            </w:r>
            <w:r>
              <w:rPr>
                <w:rFonts w:hint="default" w:ascii="宋体" w:hAnsi="宋体" w:eastAsia="宋体"/>
                <w:b w:val="0"/>
                <w:bCs w:val="0"/>
                <w:sz w:val="24"/>
                <w:szCs w:val="24"/>
                <w:lang w:val="en-US" w:eastAsia="zh-CN"/>
              </w:rPr>
              <w:t>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1ACBE4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0-5</w:t>
            </w:r>
          </w:p>
        </w:tc>
      </w:tr>
      <w:tr w14:paraId="1474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65B993A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3800EE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sz w:val="24"/>
                <w:szCs w:val="24"/>
                <w:lang w:val="en-US" w:eastAsia="zh-CN"/>
              </w:rPr>
            </w:pPr>
            <w:r>
              <w:rPr>
                <w:rFonts w:hint="default" w:ascii="宋体" w:hAnsi="宋体" w:eastAsia="宋体" w:cs="Times New Roman"/>
                <w:b w:val="0"/>
                <w:bCs w:val="0"/>
                <w:sz w:val="24"/>
                <w:szCs w:val="24"/>
                <w:lang w:val="en-US" w:eastAsia="zh-CN"/>
              </w:rPr>
              <w:t>区域医学检验信息</w:t>
            </w:r>
            <w:r>
              <w:rPr>
                <w:rFonts w:hint="eastAsia" w:ascii="宋体" w:hAnsi="宋体" w:cs="Times New Roman"/>
                <w:b w:val="0"/>
                <w:bCs w:val="0"/>
                <w:sz w:val="24"/>
                <w:szCs w:val="24"/>
                <w:lang w:val="en-US" w:eastAsia="zh-CN"/>
              </w:rPr>
              <w:t>系统</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3CF3B38E">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val="0"/>
                <w:bCs w:val="0"/>
                <w:sz w:val="24"/>
                <w:szCs w:val="24"/>
                <w:lang w:val="en-US" w:eastAsia="zh-CN"/>
              </w:rPr>
            </w:pPr>
            <w:r>
              <w:rPr>
                <w:rFonts w:hint="default" w:ascii="宋体" w:hAnsi="宋体" w:eastAsia="宋体" w:cs="Times New Roman"/>
                <w:b/>
                <w:bCs/>
                <w:sz w:val="24"/>
                <w:szCs w:val="24"/>
                <w:lang w:val="en-US" w:eastAsia="zh-CN"/>
              </w:rPr>
              <w:t>1.</w:t>
            </w:r>
            <w:bookmarkStart w:id="0" w:name="OLE_LINK1"/>
            <w:r>
              <w:rPr>
                <w:rFonts w:hint="default" w:ascii="宋体" w:hAnsi="宋体" w:eastAsia="宋体" w:cs="Times New Roman"/>
                <w:b w:val="0"/>
                <w:bCs w:val="0"/>
                <w:sz w:val="24"/>
                <w:szCs w:val="24"/>
                <w:lang w:val="en-US" w:eastAsia="zh-CN"/>
              </w:rPr>
              <w:t>区域医学检验信息</w:t>
            </w:r>
            <w:r>
              <w:rPr>
                <w:rFonts w:hint="eastAsia" w:ascii="宋体" w:hAnsi="宋体" w:cs="Times New Roman"/>
                <w:b w:val="0"/>
                <w:bCs w:val="0"/>
                <w:sz w:val="24"/>
                <w:szCs w:val="24"/>
                <w:lang w:val="en-US" w:eastAsia="zh-CN"/>
              </w:rPr>
              <w:t>系统</w:t>
            </w:r>
            <w:bookmarkEnd w:id="0"/>
            <w:r>
              <w:rPr>
                <w:rFonts w:hint="default" w:ascii="宋体" w:hAnsi="宋体" w:eastAsia="宋体" w:cs="Times New Roman"/>
                <w:b/>
                <w:bCs/>
                <w:sz w:val="24"/>
                <w:szCs w:val="24"/>
                <w:lang w:val="en-US" w:eastAsia="zh-CN"/>
              </w:rPr>
              <w:t>基础功能与对接（2分）：</w:t>
            </w:r>
            <w:r>
              <w:rPr>
                <w:rFonts w:hint="default" w:ascii="宋体" w:hAnsi="宋体" w:eastAsia="宋体" w:cs="Times New Roman"/>
                <w:b w:val="0"/>
                <w:bCs w:val="0"/>
                <w:sz w:val="24"/>
                <w:szCs w:val="24"/>
                <w:lang w:val="en-US" w:eastAsia="zh-CN"/>
              </w:rPr>
              <w:t>投标人承诺其信息化</w:t>
            </w:r>
            <w:r>
              <w:rPr>
                <w:rFonts w:hint="eastAsia" w:ascii="宋体" w:hAnsi="宋体" w:cs="Times New Roman"/>
                <w:b w:val="0"/>
                <w:bCs w:val="0"/>
                <w:sz w:val="24"/>
                <w:szCs w:val="24"/>
                <w:lang w:val="en-US" w:eastAsia="zh-CN"/>
              </w:rPr>
              <w:t>系统</w:t>
            </w:r>
            <w:r>
              <w:rPr>
                <w:rFonts w:hint="default" w:ascii="宋体" w:hAnsi="宋体" w:eastAsia="宋体" w:cs="Times New Roman"/>
                <w:b w:val="0"/>
                <w:bCs w:val="0"/>
                <w:sz w:val="24"/>
                <w:szCs w:val="24"/>
                <w:lang w:val="en-US" w:eastAsia="zh-CN"/>
              </w:rPr>
              <w:t>能够实现与招标人及区域内各成员单位现有HIS、电子病历（EMR）</w:t>
            </w:r>
            <w:r>
              <w:rPr>
                <w:rFonts w:hint="eastAsia" w:ascii="宋体" w:hAnsi="宋体" w:cs="Times New Roman"/>
                <w:b w:val="0"/>
                <w:bCs w:val="0"/>
                <w:sz w:val="24"/>
                <w:szCs w:val="24"/>
                <w:lang w:val="en-US" w:eastAsia="zh-CN"/>
              </w:rPr>
              <w:t>等</w:t>
            </w:r>
            <w:r>
              <w:rPr>
                <w:rFonts w:hint="default" w:ascii="宋体" w:hAnsi="宋体" w:eastAsia="宋体" w:cs="Times New Roman"/>
                <w:b w:val="0"/>
                <w:bCs w:val="0"/>
                <w:sz w:val="24"/>
                <w:szCs w:val="24"/>
                <w:lang w:val="en-US" w:eastAsia="zh-CN"/>
              </w:rPr>
              <w:t>信息系统的无缝对接与数据交互，得2分。</w:t>
            </w:r>
            <w:r>
              <w:rPr>
                <w:rFonts w:hint="default" w:ascii="宋体" w:hAnsi="宋体" w:eastAsia="宋体" w:cs="Times New Roman"/>
                <w:b w:val="0"/>
                <w:bCs w:val="0"/>
                <w:sz w:val="24"/>
                <w:szCs w:val="24"/>
                <w:lang w:val="en-US" w:eastAsia="zh-CN"/>
              </w:rPr>
              <w:br w:type="textWrapping"/>
            </w:r>
            <w:r>
              <w:rPr>
                <w:rFonts w:hint="default" w:ascii="宋体" w:hAnsi="宋体" w:eastAsia="宋体" w:cs="Times New Roman"/>
                <w:b/>
                <w:bCs/>
                <w:sz w:val="24"/>
                <w:szCs w:val="24"/>
                <w:lang w:val="en-US" w:eastAsia="zh-CN"/>
              </w:rPr>
              <w:t>2.核心功能响应（6分）：</w:t>
            </w:r>
            <w:r>
              <w:rPr>
                <w:rFonts w:hint="default" w:ascii="宋体" w:hAnsi="宋体" w:eastAsia="宋体" w:cs="Times New Roman"/>
                <w:b w:val="0"/>
                <w:bCs w:val="0"/>
                <w:sz w:val="24"/>
                <w:szCs w:val="24"/>
                <w:lang w:val="en-US" w:eastAsia="zh-CN"/>
              </w:rPr>
              <w:t>投标方案中对“区域医学检验信息</w:t>
            </w:r>
            <w:r>
              <w:rPr>
                <w:rFonts w:hint="eastAsia" w:ascii="宋体" w:hAnsi="宋体" w:cs="Times New Roman"/>
                <w:b w:val="0"/>
                <w:bCs w:val="0"/>
                <w:sz w:val="24"/>
                <w:szCs w:val="24"/>
                <w:lang w:val="en-US" w:eastAsia="zh-CN"/>
              </w:rPr>
              <w:t>系统</w:t>
            </w:r>
            <w:r>
              <w:rPr>
                <w:rFonts w:hint="default" w:ascii="宋体" w:hAnsi="宋体" w:eastAsia="宋体" w:cs="Times New Roman"/>
                <w:b w:val="0"/>
                <w:bCs w:val="0"/>
                <w:sz w:val="24"/>
                <w:szCs w:val="24"/>
                <w:lang w:val="en-US" w:eastAsia="zh-CN"/>
              </w:rPr>
              <w:t>”的阐述，每完全响应采购需求所列一项核心功能（①试剂全流程管理、②标本全流程管理、③区域质控管理、④大屏数据监控、⑤个性化需求、⑥互联互通互认），得1分，最高得6分。</w:t>
            </w:r>
            <w:r>
              <w:rPr>
                <w:rFonts w:hint="default" w:ascii="宋体" w:hAnsi="宋体" w:eastAsia="宋体" w:cs="Times New Roman"/>
                <w:b w:val="0"/>
                <w:bCs w:val="0"/>
                <w:sz w:val="24"/>
                <w:szCs w:val="24"/>
                <w:lang w:val="en-US" w:eastAsia="zh-CN"/>
              </w:rPr>
              <w:br w:type="textWrapping"/>
            </w:r>
            <w:r>
              <w:rPr>
                <w:rFonts w:hint="default" w:ascii="宋体" w:hAnsi="宋体" w:eastAsia="宋体" w:cs="Times New Roman"/>
                <w:b/>
                <w:bCs/>
                <w:sz w:val="24"/>
                <w:szCs w:val="24"/>
                <w:lang w:val="en-US" w:eastAsia="zh-CN"/>
              </w:rPr>
              <w:t>3.方案可行性（2分）：</w:t>
            </w:r>
            <w:r>
              <w:rPr>
                <w:rFonts w:hint="default" w:ascii="宋体" w:hAnsi="宋体" w:eastAsia="宋体" w:cs="Times New Roman"/>
                <w:b w:val="0"/>
                <w:bCs w:val="0"/>
                <w:sz w:val="24"/>
                <w:szCs w:val="24"/>
                <w:lang w:val="en-US" w:eastAsia="zh-CN"/>
              </w:rPr>
              <w:t>评标委员会根据投标人提供的平台建设实施方案（含时间节点、团队配置、保障措施等）进行综合评估，方案完整、可行性强得2分，方案基本可行得1分，方案不明确或不可行得0分。</w:t>
            </w:r>
            <w:r>
              <w:rPr>
                <w:rFonts w:hint="default" w:ascii="宋体" w:hAnsi="宋体" w:eastAsia="宋体" w:cs="Times New Roman"/>
                <w:b w:val="0"/>
                <w:bCs w:val="0"/>
                <w:sz w:val="24"/>
                <w:szCs w:val="24"/>
                <w:lang w:val="en-US" w:eastAsia="zh-CN"/>
              </w:rPr>
              <w:br w:type="textWrapping"/>
            </w:r>
            <w:r>
              <w:rPr>
                <w:rFonts w:hint="default" w:ascii="宋体" w:hAnsi="宋体" w:eastAsia="宋体" w:cs="Times New Roman"/>
                <w:b/>
                <w:bCs/>
                <w:sz w:val="24"/>
                <w:szCs w:val="24"/>
                <w:lang w:val="en-US" w:eastAsia="zh-CN"/>
              </w:rPr>
              <w:t>注：投标文件中须提供承诺函及方案描述，未提供不得分。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A6349C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0-10</w:t>
            </w:r>
          </w:p>
        </w:tc>
      </w:tr>
      <w:tr w14:paraId="0B12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0C468C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13771A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val="0"/>
                <w:bCs w:val="0"/>
                <w:sz w:val="24"/>
                <w:szCs w:val="24"/>
              </w:rPr>
            </w:pPr>
            <w:r>
              <w:rPr>
                <w:rFonts w:hint="eastAsia" w:ascii="宋体" w:hAnsi="宋体"/>
                <w:b w:val="0"/>
                <w:bCs w:val="0"/>
                <w:sz w:val="24"/>
                <w:szCs w:val="24"/>
              </w:rPr>
              <w:t>服务方案</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13F42532">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评标委员会</w:t>
            </w:r>
            <w:r>
              <w:rPr>
                <w:rFonts w:hint="default" w:ascii="宋体" w:hAnsi="宋体" w:eastAsia="宋体" w:cs="Times New Roman"/>
                <w:b w:val="0"/>
                <w:bCs w:val="0"/>
                <w:sz w:val="24"/>
                <w:szCs w:val="24"/>
                <w:lang w:val="en-US" w:eastAsia="zh-CN"/>
              </w:rPr>
              <w:t>根据招标文件要求及投标人提供的服务方案进行综合评分，至少包含下列内容：</w:t>
            </w:r>
          </w:p>
          <w:p w14:paraId="0A589B9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①整体运营设想与策划</w:t>
            </w:r>
            <w:r>
              <w:rPr>
                <w:rFonts w:hint="default" w:ascii="宋体" w:hAnsi="宋体" w:eastAsia="宋体" w:cs="Times New Roman"/>
                <w:b w:val="0"/>
                <w:bCs w:val="0"/>
                <w:sz w:val="24"/>
                <w:szCs w:val="24"/>
                <w:lang w:val="en-US" w:eastAsia="zh-CN"/>
              </w:rPr>
              <w:t>；</w:t>
            </w:r>
          </w:p>
          <w:p w14:paraId="41EFDB98">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②驻场团队配置与管理</w:t>
            </w:r>
            <w:r>
              <w:rPr>
                <w:rFonts w:hint="default" w:ascii="宋体" w:hAnsi="宋体" w:eastAsia="宋体" w:cs="Times New Roman"/>
                <w:b w:val="0"/>
                <w:bCs w:val="0"/>
                <w:sz w:val="24"/>
                <w:szCs w:val="24"/>
                <w:lang w:val="en-US" w:eastAsia="zh-CN"/>
              </w:rPr>
              <w:t>；</w:t>
            </w:r>
          </w:p>
          <w:p w14:paraId="3FDEACED">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③试剂耗材SPD精细化管理落地措施</w:t>
            </w:r>
            <w:r>
              <w:rPr>
                <w:rFonts w:hint="default" w:ascii="宋体" w:hAnsi="宋体" w:eastAsia="宋体" w:cs="Times New Roman"/>
                <w:b w:val="0"/>
                <w:bCs w:val="0"/>
                <w:sz w:val="24"/>
                <w:szCs w:val="24"/>
                <w:lang w:val="en-US" w:eastAsia="zh-CN"/>
              </w:rPr>
              <w:t>；</w:t>
            </w:r>
          </w:p>
          <w:p w14:paraId="7D611E94">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④外送检验服务全流程管理方案</w:t>
            </w:r>
            <w:r>
              <w:rPr>
                <w:rFonts w:hint="default" w:ascii="宋体" w:hAnsi="宋体" w:eastAsia="宋体" w:cs="Times New Roman"/>
                <w:b w:val="0"/>
                <w:bCs w:val="0"/>
                <w:sz w:val="24"/>
                <w:szCs w:val="24"/>
                <w:lang w:val="en-US" w:eastAsia="zh-CN"/>
              </w:rPr>
              <w:t>。</w:t>
            </w:r>
          </w:p>
          <w:p w14:paraId="13F4CA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（1）对本项目特点和难点理解准确，技术服务方案优于本项目采购需求，完整详细，可行性、实用性、针对性强，得5分；</w:t>
            </w:r>
          </w:p>
          <w:p w14:paraId="31D7913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（2）对本项目特点和难点理解基本准确，技术服务方案适合本项目采购需求，完整详细，具有可行性、实用性和针对性，得 3 分；</w:t>
            </w:r>
          </w:p>
          <w:p w14:paraId="2B7284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 xml:space="preserve">（3）对本项目特点和难点理解有待提升，技术服务方案基本适合本项目采购需求，可行性、实用性、针对性有待改善，得 1 分； </w:t>
            </w:r>
          </w:p>
          <w:p w14:paraId="3CBCCB9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（4）方案不可行或者未提供得 0 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3E3FA4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0-5</w:t>
            </w:r>
          </w:p>
        </w:tc>
      </w:tr>
      <w:tr w14:paraId="0ACF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789EC63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C040E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b w:val="0"/>
                <w:bCs w:val="0"/>
                <w:sz w:val="24"/>
                <w:szCs w:val="24"/>
              </w:rPr>
            </w:pPr>
            <w:r>
              <w:rPr>
                <w:rFonts w:hint="eastAsia" w:ascii="宋体" w:hAnsi="宋体"/>
                <w:b w:val="0"/>
                <w:bCs w:val="0"/>
                <w:sz w:val="24"/>
                <w:szCs w:val="24"/>
              </w:rPr>
              <w:t>配送方案</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367F7CD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评标委员会根据招标文件要求及投标人提供的配送方案进行综合评分，至少包含下列内容：</w:t>
            </w:r>
          </w:p>
          <w:p w14:paraId="7276D87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b w:val="0"/>
                <w:bCs w:val="0"/>
                <w:sz w:val="24"/>
                <w:szCs w:val="24"/>
                <w:lang w:eastAsia="zh-CN"/>
              </w:rPr>
            </w:pPr>
            <w:r>
              <w:rPr>
                <w:rFonts w:hint="eastAsia" w:ascii="宋体" w:hAnsi="宋体"/>
                <w:b w:val="0"/>
                <w:bCs w:val="0"/>
                <w:sz w:val="24"/>
                <w:szCs w:val="24"/>
              </w:rPr>
              <w:t>① 试剂耗材分级配送保障机制</w:t>
            </w:r>
            <w:r>
              <w:rPr>
                <w:rFonts w:hint="eastAsia" w:ascii="宋体" w:hAnsi="宋体"/>
                <w:b w:val="0"/>
                <w:bCs w:val="0"/>
                <w:sz w:val="24"/>
                <w:szCs w:val="24"/>
                <w:lang w:eastAsia="zh-CN"/>
              </w:rPr>
              <w:t>；</w:t>
            </w:r>
          </w:p>
          <w:p w14:paraId="51E2886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② 区域标本冷链物流体系建设方案；</w:t>
            </w:r>
          </w:p>
          <w:p w14:paraId="1A190FE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③ 试剂批号与效期精细化管理措施；</w:t>
            </w:r>
          </w:p>
          <w:p w14:paraId="2712120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④ 供应链中断应急预案。</w:t>
            </w:r>
            <w:r>
              <w:rPr>
                <w:rFonts w:hint="eastAsia" w:ascii="宋体" w:hAnsi="宋体"/>
                <w:b w:val="0"/>
                <w:bCs w:val="0"/>
                <w:sz w:val="24"/>
                <w:szCs w:val="24"/>
              </w:rPr>
              <w:br w:type="textWrapping"/>
            </w:r>
            <w:r>
              <w:rPr>
                <w:rFonts w:hint="eastAsia" w:ascii="宋体" w:hAnsi="宋体"/>
                <w:b w:val="0"/>
                <w:bCs w:val="0"/>
                <w:sz w:val="24"/>
                <w:szCs w:val="24"/>
              </w:rPr>
              <w:t>（1）对本项目特点和难点理解准确，技术服务方案优于本项目采购需求，完整详细，可行性、实用性、针对性强，得5分；</w:t>
            </w:r>
          </w:p>
          <w:p w14:paraId="5AA7816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（2）对本项目特点和难点理解基本准确，技术服务方案适合本项目采购需求，完整详细，具有可行性、实用性和针对性，得 3 分；</w:t>
            </w:r>
          </w:p>
          <w:p w14:paraId="680AF97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 xml:space="preserve">（3）对本项目特点和难点理解有待提升，技术服务方案基本适合本项目采购需求，可行性、实用性、针对性有待改善，得 1 分； </w:t>
            </w:r>
          </w:p>
          <w:p w14:paraId="69B34D7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（4）方案不可行或者未提供得 0 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ABF897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0-5</w:t>
            </w:r>
          </w:p>
        </w:tc>
      </w:tr>
      <w:tr w14:paraId="379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1D61BFE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C7DAB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b w:val="0"/>
                <w:bCs w:val="0"/>
                <w:sz w:val="24"/>
                <w:szCs w:val="24"/>
              </w:rPr>
            </w:pPr>
            <w:r>
              <w:rPr>
                <w:rFonts w:hint="eastAsia" w:ascii="宋体" w:hAnsi="宋体"/>
                <w:b w:val="0"/>
                <w:bCs w:val="0"/>
                <w:sz w:val="24"/>
                <w:szCs w:val="24"/>
              </w:rPr>
              <w:t>设备配备方案</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6CB27D0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评标委员会根据招标文件要求及投标人提供的设备配备方案进行综合评分，至少包含下列内容：</w:t>
            </w:r>
          </w:p>
          <w:p w14:paraId="0A14E4D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①</w:t>
            </w:r>
            <w:r>
              <w:rPr>
                <w:rFonts w:hint="eastAsia" w:ascii="宋体" w:hAnsi="宋体" w:eastAsia="宋体" w:cs="Times New Roman"/>
                <w:b w:val="0"/>
                <w:bCs w:val="0"/>
                <w:sz w:val="24"/>
                <w:szCs w:val="24"/>
              </w:rPr>
              <w:t>设备投入总计划</w:t>
            </w:r>
            <w:r>
              <w:rPr>
                <w:rFonts w:hint="eastAsia" w:ascii="宋体" w:hAnsi="宋体"/>
                <w:b w:val="0"/>
                <w:bCs w:val="0"/>
                <w:sz w:val="24"/>
                <w:szCs w:val="24"/>
              </w:rPr>
              <w:t>；</w:t>
            </w:r>
          </w:p>
          <w:p w14:paraId="66114EE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②设备配套与安装集成方案。</w:t>
            </w:r>
          </w:p>
          <w:p w14:paraId="1D8CA58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（1）对本项目特点和难点理解准确，技术服务方案优于本项目采购需求，完整详细，可行性、实用性、针对性强，得5分；</w:t>
            </w:r>
          </w:p>
          <w:p w14:paraId="22781DC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（2）对本项目特点和难点理解基本准确，技术服务方案适合本项目采购需求，完整详细，具有可行性、实用性和针对性，得 3 分；</w:t>
            </w:r>
          </w:p>
          <w:p w14:paraId="3D3BD97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 xml:space="preserve">（3）对本项目特点和难点理解有待提升，技术服务方案基本适合本项目采购需求，可行性、实用性、针对性有待改善，得 1 分； </w:t>
            </w:r>
          </w:p>
          <w:p w14:paraId="036D730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（4）方案不可行或者未提供得 0 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3C297F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0-5</w:t>
            </w:r>
          </w:p>
        </w:tc>
      </w:tr>
      <w:tr w14:paraId="1735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0E710E2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A35BE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设备维修、保养方案</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5FE524D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评标委员会根据招标文件要求及投标人提供的设备维修、保养方案进行综合评分，至少包含下列内容：</w:t>
            </w:r>
            <w:r>
              <w:rPr>
                <w:rFonts w:hint="eastAsia" w:ascii="宋体" w:hAnsi="宋体"/>
                <w:b w:val="0"/>
                <w:bCs w:val="0"/>
                <w:sz w:val="24"/>
                <w:szCs w:val="24"/>
              </w:rPr>
              <w:br w:type="textWrapping"/>
            </w:r>
            <w:r>
              <w:rPr>
                <w:rFonts w:hint="eastAsia" w:ascii="宋体" w:hAnsi="宋体"/>
                <w:b w:val="0"/>
                <w:bCs w:val="0"/>
                <w:sz w:val="24"/>
                <w:szCs w:val="24"/>
              </w:rPr>
              <w:t>① 全生命周期维保服务体系</w:t>
            </w:r>
            <w:r>
              <w:rPr>
                <w:rFonts w:hint="eastAsia" w:ascii="宋体" w:hAnsi="宋体"/>
                <w:b w:val="0"/>
                <w:bCs w:val="0"/>
                <w:sz w:val="24"/>
                <w:szCs w:val="24"/>
                <w:lang w:val="en-US" w:eastAsia="zh-CN"/>
              </w:rPr>
              <w:t>方案</w:t>
            </w:r>
            <w:r>
              <w:rPr>
                <w:rFonts w:hint="eastAsia" w:ascii="宋体" w:hAnsi="宋体"/>
                <w:b w:val="0"/>
                <w:bCs w:val="0"/>
                <w:sz w:val="24"/>
                <w:szCs w:val="24"/>
              </w:rPr>
              <w:t>；</w:t>
            </w:r>
          </w:p>
          <w:p w14:paraId="48300B2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② 7×24小时应急服务机制；</w:t>
            </w:r>
          </w:p>
          <w:p w14:paraId="116DF29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lang w:val="en-US" w:eastAsia="zh-CN"/>
              </w:rPr>
              <w:t>③</w:t>
            </w:r>
            <w:r>
              <w:rPr>
                <w:rFonts w:hint="eastAsia" w:ascii="宋体" w:hAnsi="宋体"/>
                <w:b w:val="0"/>
                <w:bCs w:val="0"/>
                <w:sz w:val="24"/>
                <w:szCs w:val="24"/>
              </w:rPr>
              <w:t xml:space="preserve"> 备用机保障方案。</w:t>
            </w:r>
          </w:p>
          <w:p w14:paraId="1ADDBC1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（1）对本项目特点和难点理解准确，技术服务方案优于本项目采购需求，完整详细，可行性、实用性、针对性强，得5分；</w:t>
            </w:r>
          </w:p>
          <w:p w14:paraId="564FEFC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（2）对本项目特点和难点理解基本准确，技术服务方案适合本项目采购需求，完整详细，具有可行性、实用性和针对性，得 3 分；</w:t>
            </w:r>
          </w:p>
          <w:p w14:paraId="446F37C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 xml:space="preserve">（3）对本项目特点和难点理解有待提升，技术服务方案基本适合本项目采购需求，可行性、实用性、针对性有待改善，得 1 分； </w:t>
            </w:r>
          </w:p>
          <w:p w14:paraId="03A80D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（4）方案不可行或者未提供得 0 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13E571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0-5</w:t>
            </w:r>
          </w:p>
        </w:tc>
      </w:tr>
      <w:tr w14:paraId="6B41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vMerge w:val="continue"/>
            <w:tcBorders>
              <w:left w:val="single" w:color="auto" w:sz="4" w:space="0"/>
              <w:right w:val="single" w:color="auto" w:sz="4" w:space="0"/>
            </w:tcBorders>
            <w:noWrap w:val="0"/>
            <w:vAlign w:val="center"/>
          </w:tcPr>
          <w:p w14:paraId="15A2C90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54FFE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b w:val="0"/>
                <w:bCs w:val="0"/>
                <w:sz w:val="24"/>
                <w:szCs w:val="24"/>
              </w:rPr>
            </w:pPr>
            <w:r>
              <w:rPr>
                <w:rFonts w:hint="eastAsia" w:ascii="宋体" w:hAnsi="宋体"/>
                <w:b w:val="0"/>
                <w:bCs w:val="0"/>
                <w:sz w:val="24"/>
                <w:szCs w:val="24"/>
              </w:rPr>
              <w:t>ISO15189实验室管理及三级医院检验科管理实施方案</w:t>
            </w:r>
          </w:p>
        </w:tc>
        <w:tc>
          <w:tcPr>
            <w:tcW w:w="4539" w:type="dxa"/>
            <w:tcBorders>
              <w:top w:val="single" w:color="auto" w:sz="4" w:space="0"/>
              <w:left w:val="single" w:color="auto" w:sz="4" w:space="0"/>
              <w:bottom w:val="single" w:color="auto" w:sz="4" w:space="0"/>
              <w:right w:val="single" w:color="auto" w:sz="4" w:space="0"/>
            </w:tcBorders>
            <w:noWrap w:val="0"/>
            <w:vAlign w:val="center"/>
          </w:tcPr>
          <w:p w14:paraId="08A4EA9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评标委员会根据招标文件要求及投标人提供的ISO15189实验室管理及三级医院检验科管理实施方案进行综合评分，方案须紧密围绕采购需求中“学科建设与能力提升”核心目标制定，至少包含下列内容：</w:t>
            </w:r>
          </w:p>
          <w:p w14:paraId="288682F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①质量管理体系建设实施路径；</w:t>
            </w:r>
          </w:p>
          <w:p w14:paraId="5393D2A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b w:val="0"/>
                <w:bCs w:val="0"/>
                <w:sz w:val="24"/>
                <w:szCs w:val="24"/>
                <w:lang w:eastAsia="zh-CN"/>
              </w:rPr>
            </w:pPr>
            <w:r>
              <w:rPr>
                <w:rFonts w:hint="eastAsia" w:ascii="宋体" w:hAnsi="宋体"/>
                <w:b w:val="0"/>
                <w:bCs w:val="0"/>
                <w:sz w:val="24"/>
                <w:szCs w:val="24"/>
              </w:rPr>
              <w:t>②区域检验质量同质化平台建设方案</w:t>
            </w:r>
            <w:r>
              <w:rPr>
                <w:rFonts w:hint="eastAsia" w:ascii="宋体" w:hAnsi="宋体"/>
                <w:b w:val="0"/>
                <w:bCs w:val="0"/>
                <w:sz w:val="24"/>
                <w:szCs w:val="24"/>
                <w:lang w:eastAsia="zh-CN"/>
              </w:rPr>
              <w:t>；</w:t>
            </w:r>
            <w:r>
              <w:rPr>
                <w:rFonts w:hint="eastAsia" w:ascii="宋体" w:hAnsi="宋体"/>
                <w:b w:val="0"/>
                <w:bCs w:val="0"/>
                <w:sz w:val="24"/>
                <w:szCs w:val="24"/>
                <w:lang w:eastAsia="zh-CN"/>
              </w:rPr>
              <w:br w:type="textWrapping"/>
            </w:r>
            <w:r>
              <w:rPr>
                <w:rFonts w:hint="eastAsia" w:ascii="宋体" w:hAnsi="宋体"/>
                <w:b w:val="0"/>
                <w:bCs w:val="0"/>
                <w:sz w:val="24"/>
                <w:szCs w:val="24"/>
                <w:lang w:val="en-US" w:eastAsia="zh-CN"/>
              </w:rPr>
              <w:t>③</w:t>
            </w:r>
            <w:r>
              <w:rPr>
                <w:rFonts w:hint="eastAsia" w:ascii="宋体" w:hAnsi="宋体"/>
                <w:b w:val="0"/>
                <w:bCs w:val="0"/>
                <w:sz w:val="24"/>
                <w:szCs w:val="24"/>
                <w:lang w:eastAsia="zh-CN"/>
              </w:rPr>
              <w:t>人员培训与科研能力提升计划。</w:t>
            </w:r>
          </w:p>
          <w:p w14:paraId="324DBBC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（1）对本项目特点和难点理解准确，技术服务方案优于本项目采购需求，完整详细，可行性、实用性、针对性强，得5分；</w:t>
            </w:r>
          </w:p>
          <w:p w14:paraId="7F56ACE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（2）对本项目特点和难点理解基本准确，技术服务方案适合本项目采购需求，完整详细，具有可行性、实用性和针对性，得 3 分；</w:t>
            </w:r>
          </w:p>
          <w:p w14:paraId="1C90E4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val="0"/>
                <w:sz w:val="24"/>
                <w:szCs w:val="24"/>
              </w:rPr>
            </w:pPr>
            <w:r>
              <w:rPr>
                <w:rFonts w:hint="eastAsia" w:ascii="宋体" w:hAnsi="宋体"/>
                <w:b w:val="0"/>
                <w:bCs w:val="0"/>
                <w:sz w:val="24"/>
                <w:szCs w:val="24"/>
              </w:rPr>
              <w:t xml:space="preserve">（3）对本项目特点和难点理解有待提升，技术服务方案基本适合本项目采购需求，可行性、实用性、针对性有待改善，得 1 分； </w:t>
            </w:r>
          </w:p>
          <w:p w14:paraId="624DBF8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24"/>
                <w:szCs w:val="24"/>
                <w:lang w:val="en-US" w:eastAsia="zh-CN" w:bidi="ar"/>
              </w:rPr>
            </w:pPr>
            <w:r>
              <w:rPr>
                <w:rFonts w:hint="eastAsia" w:ascii="宋体" w:hAnsi="宋体"/>
                <w:b w:val="0"/>
                <w:bCs w:val="0"/>
                <w:sz w:val="24"/>
                <w:szCs w:val="24"/>
              </w:rPr>
              <w:t>（4）方案不可行或者未提供得 0 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8C1BC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0-5</w:t>
            </w:r>
          </w:p>
        </w:tc>
      </w:tr>
      <w:tr w14:paraId="4549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1470" w:type="dxa"/>
            <w:tcBorders>
              <w:left w:val="single" w:color="auto" w:sz="4" w:space="0"/>
              <w:right w:val="single" w:color="auto" w:sz="4" w:space="0"/>
            </w:tcBorders>
            <w:noWrap w:val="0"/>
            <w:vAlign w:val="center"/>
          </w:tcPr>
          <w:p w14:paraId="361FEF8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000000"/>
                <w:sz w:val="24"/>
                <w:szCs w:val="24"/>
                <w:highlight w:val="none"/>
              </w:rPr>
            </w:pPr>
            <w:r>
              <w:rPr>
                <w:rFonts w:hint="eastAsia" w:ascii="宋体" w:hAnsi="宋体"/>
                <w:color w:val="000000"/>
                <w:sz w:val="24"/>
                <w:szCs w:val="24"/>
                <w:highlight w:val="none"/>
              </w:rPr>
              <w:t>价格分</w:t>
            </w:r>
          </w:p>
          <w:p w14:paraId="2EDCC9E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sz w:val="24"/>
                <w:szCs w:val="24"/>
              </w:rPr>
            </w:pPr>
            <w:r>
              <w:rPr>
                <w:rFonts w:hint="eastAsia" w:ascii="宋体" w:hAnsi="宋体"/>
                <w:color w:val="000000"/>
                <w:sz w:val="24"/>
                <w:szCs w:val="24"/>
                <w:highlight w:val="none"/>
              </w:rPr>
              <w:t>（</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20</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分）</w:t>
            </w:r>
          </w:p>
        </w:tc>
        <w:tc>
          <w:tcPr>
            <w:tcW w:w="7918" w:type="dxa"/>
            <w:gridSpan w:val="3"/>
            <w:tcBorders>
              <w:top w:val="single" w:color="auto" w:sz="4" w:space="0"/>
              <w:left w:val="single" w:color="auto" w:sz="4" w:space="0"/>
              <w:bottom w:val="single" w:color="auto" w:sz="4" w:space="0"/>
              <w:right w:val="single" w:color="auto" w:sz="4" w:space="0"/>
            </w:tcBorders>
            <w:noWrap w:val="0"/>
            <w:vAlign w:val="center"/>
          </w:tcPr>
          <w:p w14:paraId="7BA61365">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1.检验非集采类试剂耗材： </w:t>
            </w:r>
          </w:p>
          <w:p w14:paraId="285F9E6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价格分统一采用低价优先法，即满足招标文件要求且投标价格（即费率）最低的投标价格（即费率）为评标基准价，其价格分为满分8分。其他投标人的价格分统一按照下列公式计算： </w:t>
            </w:r>
          </w:p>
          <w:p w14:paraId="4289C5B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投标报价得分＝（评标基准价/投标报价（即费率））×8％×100 </w:t>
            </w:r>
          </w:p>
          <w:p w14:paraId="6E880607">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2.外送检验项目服务费： </w:t>
            </w:r>
          </w:p>
          <w:p w14:paraId="66BFA05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价格分统一采用低价优先法，即满足招标文件要求且投标价格（即费率）最低的投标价格（即费率）为评标基准价，其价格分为满分2分。其他投标人的价格分统一按照下列公式计算： </w:t>
            </w:r>
          </w:p>
          <w:p w14:paraId="1ADBC30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投标报价得分＝（评标基准价/投标报价（即费率））×2％×100 </w:t>
            </w:r>
          </w:p>
          <w:p w14:paraId="57F95C6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3.专项检测试剂费： </w:t>
            </w:r>
          </w:p>
          <w:p w14:paraId="79F2C28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价格分统一采用低价优先法，即满足招标文件要求且投标价格（即费率）最低的投标价格（即费率）为评标基准价，其价格分为满分2 分。其他投标人的价格分统一按照下列公式计算： </w:t>
            </w:r>
          </w:p>
          <w:p w14:paraId="1DF8156B">
            <w:pPr>
              <w:keepNext w:val="0"/>
              <w:keepLines w:val="0"/>
              <w:widowControl/>
              <w:suppressLineNumbers w:val="0"/>
              <w:jc w:val="left"/>
            </w:pPr>
            <w:r>
              <w:rPr>
                <w:rFonts w:hint="eastAsia" w:ascii="宋体" w:hAnsi="宋体" w:eastAsia="宋体" w:cs="宋体"/>
                <w:color w:val="000000"/>
                <w:kern w:val="0"/>
                <w:sz w:val="24"/>
                <w:szCs w:val="24"/>
                <w:lang w:val="en-US" w:eastAsia="zh-CN" w:bidi="ar"/>
              </w:rPr>
              <w:t>投标报价得分＝（评标基准价/投标报价（即费率））×2％×100</w:t>
            </w:r>
            <w:r>
              <w:rPr>
                <w:rFonts w:hint="eastAsia" w:ascii="宋体" w:hAnsi="宋体" w:eastAsia="宋体" w:cs="宋体"/>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 xml:space="preserve">4.综合运营服务目标耗占比： </w:t>
            </w:r>
          </w:p>
          <w:p w14:paraId="0725285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价格分统一采用低价优先法，即满足招标文件要求且投标价格（即费率）最低的投标价格（即费率）为评标基准价，其价格分为满分8分。其他投标人的价格分统一按照下列公式计算： </w:t>
            </w:r>
          </w:p>
          <w:p w14:paraId="7EB252B7">
            <w:pPr>
              <w:keepNext w:val="0"/>
              <w:keepLines w:val="0"/>
              <w:widowControl/>
              <w:suppressLineNumbers w:val="0"/>
              <w:jc w:val="left"/>
              <w:rPr>
                <w:rFonts w:hint="default" w:ascii="宋体" w:hAnsi="宋体" w:eastAsia="宋体"/>
                <w:b/>
                <w:bCs/>
                <w:sz w:val="24"/>
                <w:szCs w:val="24"/>
                <w:lang w:val="en-US" w:eastAsia="zh-CN"/>
              </w:rPr>
            </w:pPr>
            <w:r>
              <w:rPr>
                <w:rFonts w:hint="eastAsia" w:ascii="宋体" w:hAnsi="宋体" w:eastAsia="宋体" w:cs="宋体"/>
                <w:color w:val="000000"/>
                <w:kern w:val="0"/>
                <w:sz w:val="24"/>
                <w:szCs w:val="24"/>
                <w:lang w:val="en-US" w:eastAsia="zh-CN" w:bidi="ar"/>
              </w:rPr>
              <w:t>投标报价得分＝（评标基准价/投标报价（即费率））×8％×100</w:t>
            </w:r>
            <w:r>
              <w:rPr>
                <w:rFonts w:hint="eastAsia" w:ascii="宋体" w:hAnsi="宋体" w:eastAsia="宋体" w:cs="宋体"/>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注：各项计算结果均四舍五入保留至小数点后两位数。</w:t>
            </w:r>
          </w:p>
        </w:tc>
      </w:tr>
    </w:tbl>
    <w:p w14:paraId="745F26FF">
      <w:pPr>
        <w:keepNext w:val="0"/>
        <w:keepLines w:val="0"/>
        <w:pageBreakBefore w:val="0"/>
        <w:widowControl w:val="0"/>
        <w:numPr>
          <w:ilvl w:val="0"/>
          <w:numId w:val="0"/>
        </w:numPr>
        <w:kinsoku/>
        <w:wordWrap/>
        <w:overflowPunct/>
        <w:topLinePunct w:val="0"/>
        <w:autoSpaceDE/>
        <w:autoSpaceDN/>
        <w:bidi w:val="0"/>
        <w:spacing w:line="540" w:lineRule="exact"/>
        <w:ind w:leftChars="0" w:right="0" w:rightChars="0" w:firstLine="482" w:firstLineChars="200"/>
        <w:jc w:val="both"/>
        <w:textAlignment w:val="auto"/>
        <w:rPr>
          <w:rFonts w:hint="eastAsia" w:ascii="宋体" w:hAnsi="宋体"/>
          <w:b/>
          <w:bCs/>
          <w:sz w:val="24"/>
          <w:szCs w:val="24"/>
        </w:rPr>
      </w:pPr>
      <w:r>
        <w:rPr>
          <w:rFonts w:hint="eastAsia" w:ascii="宋体" w:hAnsi="宋体"/>
          <w:b/>
          <w:bCs/>
          <w:sz w:val="24"/>
          <w:szCs w:val="24"/>
        </w:rPr>
        <w:t>技术标分汇总方法</w:t>
      </w:r>
    </w:p>
    <w:p w14:paraId="3449B62B">
      <w:pPr>
        <w:keepNext w:val="0"/>
        <w:keepLines w:val="0"/>
        <w:pageBreakBefore w:val="0"/>
        <w:widowControl w:val="0"/>
        <w:numPr>
          <w:ilvl w:val="0"/>
          <w:numId w:val="0"/>
        </w:numPr>
        <w:kinsoku/>
        <w:wordWrap/>
        <w:overflowPunct/>
        <w:topLinePunct w:val="0"/>
        <w:autoSpaceDE/>
        <w:autoSpaceDN/>
        <w:bidi w:val="0"/>
        <w:spacing w:line="540" w:lineRule="exact"/>
        <w:ind w:leftChars="0" w:right="0" w:rightChars="0" w:firstLine="480" w:firstLineChars="200"/>
        <w:jc w:val="both"/>
        <w:textAlignment w:val="auto"/>
        <w:rPr>
          <w:rFonts w:hint="eastAsia" w:ascii="宋体" w:hAnsi="宋体"/>
          <w:sz w:val="24"/>
          <w:szCs w:val="24"/>
        </w:rPr>
      </w:pPr>
      <w:r>
        <w:rPr>
          <w:rFonts w:hint="eastAsia" w:ascii="宋体" w:hAnsi="宋体"/>
          <w:sz w:val="24"/>
          <w:szCs w:val="24"/>
        </w:rPr>
        <w:t>对某一</w:t>
      </w:r>
      <w:r>
        <w:rPr>
          <w:rFonts w:hint="eastAsia" w:ascii="宋体" w:hAnsi="宋体"/>
          <w:sz w:val="24"/>
          <w:szCs w:val="24"/>
          <w:lang w:eastAsia="zh-CN"/>
        </w:rPr>
        <w:t>投标人</w:t>
      </w:r>
      <w:r>
        <w:rPr>
          <w:rFonts w:hint="eastAsia" w:ascii="宋体" w:hAnsi="宋体"/>
          <w:sz w:val="24"/>
          <w:szCs w:val="24"/>
        </w:rPr>
        <w:t>的技术标的每一个指标项得分，取各位评委评分之平均值，四舍五入保留至小数点后两位数，得到该</w:t>
      </w:r>
      <w:r>
        <w:rPr>
          <w:rFonts w:hint="eastAsia" w:ascii="宋体" w:hAnsi="宋体"/>
          <w:sz w:val="24"/>
          <w:szCs w:val="24"/>
          <w:lang w:eastAsia="zh-CN"/>
        </w:rPr>
        <w:t>投标人</w:t>
      </w:r>
      <w:r>
        <w:rPr>
          <w:rFonts w:hint="eastAsia" w:ascii="宋体" w:hAnsi="宋体"/>
          <w:sz w:val="24"/>
          <w:szCs w:val="24"/>
        </w:rPr>
        <w:t>该指标项的得分。再将</w:t>
      </w:r>
      <w:r>
        <w:rPr>
          <w:rFonts w:hint="eastAsia" w:ascii="宋体" w:hAnsi="宋体"/>
          <w:sz w:val="24"/>
          <w:szCs w:val="24"/>
          <w:lang w:eastAsia="zh-CN"/>
        </w:rPr>
        <w:t>投标人</w:t>
      </w:r>
      <w:r>
        <w:rPr>
          <w:rFonts w:hint="eastAsia" w:ascii="宋体" w:hAnsi="宋体"/>
          <w:sz w:val="24"/>
          <w:szCs w:val="24"/>
        </w:rPr>
        <w:t>每个技术标的指标项得分进行汇总，得到该</w:t>
      </w:r>
      <w:r>
        <w:rPr>
          <w:rFonts w:hint="eastAsia" w:ascii="宋体" w:hAnsi="宋体"/>
          <w:sz w:val="24"/>
          <w:szCs w:val="24"/>
          <w:lang w:eastAsia="zh-CN"/>
        </w:rPr>
        <w:t>投标人</w:t>
      </w:r>
      <w:r>
        <w:rPr>
          <w:rFonts w:hint="eastAsia" w:ascii="宋体" w:hAnsi="宋体"/>
          <w:sz w:val="24"/>
          <w:szCs w:val="24"/>
        </w:rPr>
        <w:t>的技术标分之和。</w:t>
      </w:r>
    </w:p>
    <w:p w14:paraId="4EC154BA">
      <w:pPr>
        <w:pStyle w:val="2"/>
        <w:keepNext w:val="0"/>
        <w:keepLines w:val="0"/>
        <w:pageBreakBefore w:val="0"/>
        <w:widowControl w:val="0"/>
        <w:kinsoku/>
        <w:wordWrap/>
        <w:overflowPunct/>
        <w:topLinePunct w:val="0"/>
        <w:autoSpaceDE/>
        <w:autoSpaceDN/>
        <w:bidi w:val="0"/>
        <w:spacing w:line="540" w:lineRule="exact"/>
        <w:ind w:right="0" w:firstLine="495"/>
        <w:jc w:val="both"/>
        <w:textAlignment w:val="auto"/>
        <w:rPr>
          <w:rFonts w:hint="eastAsia" w:ascii="宋体" w:hAnsi="宋体" w:eastAsia="宋体"/>
          <w:b/>
          <w:bCs/>
          <w:sz w:val="24"/>
          <w:szCs w:val="24"/>
        </w:rPr>
      </w:pPr>
      <w:r>
        <w:rPr>
          <w:rFonts w:hint="eastAsia" w:ascii="宋体" w:hAnsi="宋体" w:eastAsia="宋体"/>
          <w:b/>
          <w:bCs/>
          <w:sz w:val="24"/>
          <w:szCs w:val="24"/>
        </w:rPr>
        <w:t>得分汇总</w:t>
      </w:r>
    </w:p>
    <w:p w14:paraId="2B348A61">
      <w:pPr>
        <w:pStyle w:val="2"/>
        <w:keepNext w:val="0"/>
        <w:keepLines w:val="0"/>
        <w:pageBreakBefore w:val="0"/>
        <w:widowControl w:val="0"/>
        <w:kinsoku/>
        <w:wordWrap/>
        <w:overflowPunct/>
        <w:topLinePunct w:val="0"/>
        <w:autoSpaceDE/>
        <w:autoSpaceDN/>
        <w:bidi w:val="0"/>
        <w:spacing w:line="540" w:lineRule="exact"/>
        <w:ind w:right="0" w:firstLine="495"/>
        <w:jc w:val="both"/>
        <w:textAlignment w:val="auto"/>
        <w:rPr>
          <w:rFonts w:ascii="宋体" w:hAnsi="宋体" w:eastAsia="宋体"/>
          <w:sz w:val="24"/>
          <w:szCs w:val="24"/>
        </w:rPr>
      </w:pPr>
      <w:r>
        <w:rPr>
          <w:rFonts w:hint="eastAsia" w:ascii="宋体" w:hAnsi="宋体" w:eastAsia="宋体"/>
          <w:sz w:val="24"/>
          <w:szCs w:val="24"/>
        </w:rPr>
        <w:t>（1）将每个有效</w:t>
      </w:r>
      <w:r>
        <w:rPr>
          <w:rFonts w:hint="eastAsia" w:ascii="宋体" w:hAnsi="宋体" w:eastAsia="宋体"/>
          <w:sz w:val="24"/>
          <w:szCs w:val="24"/>
          <w:lang w:eastAsia="zh-CN"/>
        </w:rPr>
        <w:t>投标人</w:t>
      </w:r>
      <w:r>
        <w:rPr>
          <w:rFonts w:hint="eastAsia" w:ascii="宋体" w:hAnsi="宋体" w:eastAsia="宋体"/>
          <w:sz w:val="24"/>
          <w:szCs w:val="24"/>
        </w:rPr>
        <w:t>的技术标分之和加上根据上述标准计算出的价格分，即为该</w:t>
      </w:r>
      <w:r>
        <w:rPr>
          <w:rFonts w:hint="eastAsia" w:ascii="宋体" w:hAnsi="宋体" w:eastAsia="宋体"/>
          <w:sz w:val="24"/>
          <w:szCs w:val="24"/>
          <w:lang w:eastAsia="zh-CN"/>
        </w:rPr>
        <w:t>投标人</w:t>
      </w:r>
      <w:r>
        <w:rPr>
          <w:rFonts w:hint="eastAsia" w:ascii="宋体" w:hAnsi="宋体" w:eastAsia="宋体"/>
          <w:sz w:val="24"/>
          <w:szCs w:val="24"/>
        </w:rPr>
        <w:t>的综合总得分。</w:t>
      </w:r>
    </w:p>
    <w:p w14:paraId="059B1E8B">
      <w:pPr>
        <w:pStyle w:val="2"/>
        <w:keepNext w:val="0"/>
        <w:keepLines w:val="0"/>
        <w:pageBreakBefore w:val="0"/>
        <w:widowControl w:val="0"/>
        <w:kinsoku/>
        <w:wordWrap/>
        <w:overflowPunct/>
        <w:topLinePunct w:val="0"/>
        <w:autoSpaceDE/>
        <w:autoSpaceDN/>
        <w:bidi w:val="0"/>
        <w:spacing w:line="540" w:lineRule="exact"/>
        <w:ind w:right="0" w:firstLine="495"/>
        <w:jc w:val="both"/>
        <w:textAlignment w:val="auto"/>
        <w:rPr>
          <w:rFonts w:ascii="宋体" w:hAnsi="宋体" w:eastAsia="宋体"/>
          <w:sz w:val="24"/>
          <w:szCs w:val="24"/>
        </w:rPr>
      </w:pPr>
      <w:r>
        <w:rPr>
          <w:rFonts w:hint="eastAsia" w:ascii="宋体" w:hAnsi="宋体" w:eastAsia="宋体"/>
          <w:sz w:val="24"/>
          <w:szCs w:val="24"/>
        </w:rPr>
        <w:t>（2）按照有效</w:t>
      </w:r>
      <w:r>
        <w:rPr>
          <w:rFonts w:hint="eastAsia" w:ascii="宋体" w:hAnsi="宋体" w:eastAsia="宋体"/>
          <w:sz w:val="24"/>
          <w:szCs w:val="24"/>
          <w:lang w:eastAsia="zh-CN"/>
        </w:rPr>
        <w:t>投标人</w:t>
      </w:r>
      <w:r>
        <w:rPr>
          <w:rFonts w:hint="eastAsia" w:ascii="宋体" w:hAnsi="宋体" w:eastAsia="宋体"/>
          <w:sz w:val="24"/>
          <w:szCs w:val="24"/>
        </w:rPr>
        <w:t>综合总得分由高到低依次排出</w:t>
      </w:r>
      <w:r>
        <w:rPr>
          <w:rFonts w:hint="eastAsia" w:ascii="宋体" w:hAnsi="宋体" w:eastAsia="宋体"/>
          <w:sz w:val="24"/>
          <w:szCs w:val="24"/>
          <w:lang w:eastAsia="zh-CN"/>
        </w:rPr>
        <w:t>中标人</w:t>
      </w:r>
      <w:r>
        <w:rPr>
          <w:rFonts w:hint="eastAsia" w:ascii="宋体" w:hAnsi="宋体" w:eastAsia="宋体"/>
          <w:sz w:val="24"/>
          <w:szCs w:val="24"/>
        </w:rPr>
        <w:t>及中标候选</w:t>
      </w:r>
      <w:r>
        <w:rPr>
          <w:rFonts w:hint="eastAsia" w:ascii="宋体" w:hAnsi="宋体" w:eastAsia="宋体"/>
          <w:sz w:val="24"/>
          <w:szCs w:val="24"/>
          <w:lang w:eastAsia="zh-CN"/>
        </w:rPr>
        <w:t>投标人</w:t>
      </w:r>
      <w:r>
        <w:rPr>
          <w:rFonts w:hint="eastAsia" w:ascii="宋体" w:hAnsi="宋体" w:eastAsia="宋体"/>
          <w:sz w:val="24"/>
          <w:szCs w:val="24"/>
        </w:rPr>
        <w:t>。</w:t>
      </w:r>
    </w:p>
    <w:p w14:paraId="324112FE">
      <w:pPr>
        <w:pageBreakBefore w:val="0"/>
        <w:widowControl w:val="0"/>
        <w:kinsoku/>
        <w:overflowPunct/>
        <w:topLinePunct w:val="0"/>
        <w:bidi w:val="0"/>
        <w:snapToGrid/>
        <w:spacing w:line="360" w:lineRule="auto"/>
        <w:ind w:right="31"/>
        <w:jc w:val="center"/>
        <w:textAlignment w:val="auto"/>
        <w:rPr>
          <w:rFonts w:hint="default" w:ascii="宋体" w:hAnsi="宋体" w:eastAsia="宋体" w:cs="宋体"/>
          <w:b/>
          <w:bCs/>
          <w:spacing w:val="-3"/>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249A2"/>
    <w:rsid w:val="02E37041"/>
    <w:rsid w:val="03E017D2"/>
    <w:rsid w:val="061439B5"/>
    <w:rsid w:val="15981F0D"/>
    <w:rsid w:val="18371EB1"/>
    <w:rsid w:val="18FE652B"/>
    <w:rsid w:val="19193365"/>
    <w:rsid w:val="1C395ACC"/>
    <w:rsid w:val="1F505606"/>
    <w:rsid w:val="1F52137F"/>
    <w:rsid w:val="280C22E7"/>
    <w:rsid w:val="2BC453B2"/>
    <w:rsid w:val="30EB518F"/>
    <w:rsid w:val="319F5F79"/>
    <w:rsid w:val="35F40F8A"/>
    <w:rsid w:val="39A64349"/>
    <w:rsid w:val="3B8732EB"/>
    <w:rsid w:val="3D430101"/>
    <w:rsid w:val="406C796F"/>
    <w:rsid w:val="4DA93FB0"/>
    <w:rsid w:val="531719BC"/>
    <w:rsid w:val="5EB822A5"/>
    <w:rsid w:val="5F9C5723"/>
    <w:rsid w:val="667249A2"/>
    <w:rsid w:val="690600B1"/>
    <w:rsid w:val="6E74377E"/>
    <w:rsid w:val="6FEF189F"/>
    <w:rsid w:val="73F028F2"/>
    <w:rsid w:val="7BF2699E"/>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eastAsia="楷体_GB2312"/>
      <w:sz w:val="32"/>
    </w:rPr>
  </w:style>
  <w:style w:type="paragraph" w:styleId="3">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b/>
      <w:bCs/>
    </w:rPr>
  </w:style>
  <w:style w:type="paragraph" w:customStyle="1" w:styleId="8">
    <w:name w:val="Table Paragraph"/>
    <w:basedOn w:val="1"/>
    <w:qFormat/>
    <w:uiPriority w:val="1"/>
    <w:rPr>
      <w:rFonts w:ascii="宋体" w:hAnsi="宋体" w:eastAsia="宋体" w:cs="宋体"/>
      <w:lang w:val="en-US" w:eastAsia="zh-CN" w:bidi="ar-SA"/>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4717</Words>
  <Characters>4835</Characters>
  <Lines>0</Lines>
  <Paragraphs>0</Paragraphs>
  <TotalTime>0</TotalTime>
  <ScaleCrop>false</ScaleCrop>
  <LinksUpToDate>false</LinksUpToDate>
  <CharactersWithSpaces>4868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2025-12-30T09:11:00Z</dcterms:created>
  <dc:creator>同方-胡旷</dc:creator>
  <cp:lastModifiedBy>同方-胡旷</cp:lastModifiedBy>
  <dcterms:modified xsi:type="dcterms:W3CDTF">2025-12-30T09:21:54Z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0C353CA857544B629B84E0B25F0BBEED_11</vt:lpwstr>
  </property>
  <property fmtid="{D5CDD505-2E9C-101B-9397-08002B2CF9AE}" pid="4" name="KSOTemplateDocerSaveRecord">
    <vt:lpwstr>eyJoZGlkIjoiMzUzMGRkZGY2MDI2NmEyNjg5OTcyMjMzMmE5Y2UwZTkiLCJ1c2VySWQiOiI0MTYzNTM2OTIifQ==</vt:lpwstr>
  </property>
</Properties>
</file>