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781CB">
      <w:pPr>
        <w:tabs>
          <w:tab w:val="left" w:pos="420"/>
        </w:tabs>
        <w:spacing w:before="360" w:beforeLines="150" w:line="1700" w:lineRule="exact"/>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竞争性谈判文件</w:t>
      </w:r>
    </w:p>
    <w:p w14:paraId="301150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b/>
          <w:bCs/>
          <w:color w:val="000000" w:themeColor="text1"/>
          <w:sz w:val="28"/>
          <w:szCs w:val="24"/>
          <w14:textFill>
            <w14:solidFill>
              <w14:schemeClr w14:val="tx1"/>
            </w14:solidFill>
          </w14:textFill>
        </w:rPr>
      </w:pPr>
    </w:p>
    <w:p w14:paraId="748883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b/>
          <w:bCs/>
          <w:color w:val="000000" w:themeColor="text1"/>
          <w:sz w:val="28"/>
          <w:szCs w:val="24"/>
          <w14:textFill>
            <w14:solidFill>
              <w14:schemeClr w14:val="tx1"/>
            </w14:solidFill>
          </w14:textFill>
        </w:rPr>
      </w:pPr>
      <w:r>
        <w:rPr>
          <w:rFonts w:hint="eastAsia"/>
          <w:b/>
          <w:bCs/>
          <w:color w:val="000000" w:themeColor="text1"/>
          <w:sz w:val="28"/>
          <w:szCs w:val="24"/>
          <w14:textFill>
            <w14:solidFill>
              <w14:schemeClr w14:val="tx1"/>
            </w14:solidFill>
          </w14:textFill>
        </w:rPr>
        <w:t>（服务类）</w:t>
      </w:r>
    </w:p>
    <w:p w14:paraId="4C07C0BC">
      <w:pPr>
        <w:pStyle w:val="2"/>
        <w:ind w:firstLine="0"/>
        <w:rPr>
          <w:rFonts w:ascii="仿宋_GB2312" w:eastAsia="仿宋_GB2312"/>
          <w:color w:val="000000" w:themeColor="text1"/>
          <w:sz w:val="28"/>
          <w:szCs w:val="28"/>
          <w14:textFill>
            <w14:solidFill>
              <w14:schemeClr w14:val="tx1"/>
            </w14:solidFill>
          </w14:textFill>
        </w:rPr>
      </w:pPr>
    </w:p>
    <w:p w14:paraId="61EDA883">
      <w:pPr>
        <w:tabs>
          <w:tab w:val="left" w:pos="315"/>
          <w:tab w:val="left" w:pos="8820"/>
        </w:tabs>
        <w:spacing w:before="240" w:beforeLines="100" w:after="120" w:afterLines="50" w:line="500" w:lineRule="exact"/>
        <w:ind w:right="267" w:rightChars="127"/>
        <w:jc w:val="center"/>
        <w:rPr>
          <w:rFonts w:ascii="仿宋_GB2312" w:eastAsia="仿宋_GB2312"/>
          <w:color w:val="000000" w:themeColor="text1"/>
          <w:sz w:val="44"/>
          <w14:textFill>
            <w14:solidFill>
              <w14:schemeClr w14:val="tx1"/>
            </w14:solidFill>
          </w14:textFill>
        </w:rPr>
      </w:pPr>
    </w:p>
    <w:p w14:paraId="43F46CC8">
      <w:pPr>
        <w:tabs>
          <w:tab w:val="left" w:pos="2410"/>
        </w:tabs>
        <w:autoSpaceDE w:val="0"/>
        <w:autoSpaceDN w:val="0"/>
        <w:adjustRightInd w:val="0"/>
        <w:snapToGrid w:val="0"/>
        <w:spacing w:line="360" w:lineRule="auto"/>
        <w:jc w:val="left"/>
        <w:rPr>
          <w:rFonts w:ascii="宋体" w:hAnsi="DotumChe" w:cs="宋体"/>
          <w:b/>
          <w:color w:val="000000" w:themeColor="text1"/>
          <w:spacing w:val="20"/>
          <w:kern w:val="0"/>
          <w:sz w:val="32"/>
          <w:szCs w:val="32"/>
          <w14:textFill>
            <w14:solidFill>
              <w14:schemeClr w14:val="tx1"/>
            </w14:solidFill>
          </w14:textFill>
        </w:rPr>
      </w:pPr>
    </w:p>
    <w:p w14:paraId="76D75FCE">
      <w:pPr>
        <w:pStyle w:val="2"/>
        <w:rPr>
          <w:color w:val="000000" w:themeColor="text1"/>
          <w14:textFill>
            <w14:solidFill>
              <w14:schemeClr w14:val="tx1"/>
            </w14:solidFill>
          </w14:textFill>
        </w:rPr>
      </w:pPr>
    </w:p>
    <w:p w14:paraId="14E44649">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47589783">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1A10348C">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25363694">
      <w:pPr>
        <w:pStyle w:val="2"/>
        <w:ind w:left="0" w:leftChars="0" w:firstLine="0" w:firstLineChars="0"/>
        <w:rPr>
          <w:rFonts w:hint="eastAsia" w:ascii="宋体" w:hAnsi="DotumChe" w:cs="宋体"/>
          <w:b/>
          <w:color w:val="000000" w:themeColor="text1"/>
          <w:spacing w:val="11"/>
          <w:kern w:val="0"/>
          <w:sz w:val="28"/>
          <w:szCs w:val="28"/>
          <w14:textFill>
            <w14:solidFill>
              <w14:schemeClr w14:val="tx1"/>
            </w14:solidFill>
          </w14:textFill>
        </w:rPr>
      </w:pPr>
    </w:p>
    <w:p w14:paraId="5F857D15">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215AA1EF">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14:textFill>
            <w14:solidFill>
              <w14:schemeClr w14:val="tx1"/>
            </w14:solidFill>
          </w14:textFill>
        </w:rPr>
      </w:pPr>
    </w:p>
    <w:p w14:paraId="75277C43">
      <w:pPr>
        <w:tabs>
          <w:tab w:val="left" w:pos="2410"/>
        </w:tabs>
        <w:autoSpaceDE w:val="0"/>
        <w:autoSpaceDN w:val="0"/>
        <w:adjustRightInd w:val="0"/>
        <w:snapToGrid w:val="0"/>
        <w:spacing w:line="600" w:lineRule="exact"/>
        <w:jc w:val="left"/>
        <w:rPr>
          <w:rFonts w:hint="eastAsia" w:ascii="宋体" w:hAnsi="DotumChe" w:cs="宋体"/>
          <w:b/>
          <w:color w:val="000000" w:themeColor="text1"/>
          <w:spacing w:val="11"/>
          <w:kern w:val="0"/>
          <w:sz w:val="28"/>
          <w:szCs w:val="28"/>
          <w14:textFill>
            <w14:solidFill>
              <w14:schemeClr w14:val="tx1"/>
            </w14:solidFill>
          </w14:textFill>
        </w:rPr>
      </w:pPr>
    </w:p>
    <w:p w14:paraId="105F9515">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themeColor="text1"/>
          <w:spacing w:val="11"/>
          <w:kern w:val="0"/>
          <w:sz w:val="28"/>
          <w:szCs w:val="28"/>
          <w:lang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项目名称：六安市叶集区人民医院（市六院）消防维保服务项目</w:t>
      </w:r>
      <w:r>
        <w:rPr>
          <w:rFonts w:hint="eastAsia" w:ascii="宋体" w:hAnsi="DotumChe" w:cs="宋体"/>
          <w:b/>
          <w:color w:val="000000" w:themeColor="text1"/>
          <w:spacing w:val="11"/>
          <w:kern w:val="0"/>
          <w:sz w:val="28"/>
          <w:szCs w:val="28"/>
          <w:lang w:eastAsia="zh-CN"/>
          <w14:textFill>
            <w14:solidFill>
              <w14:schemeClr w14:val="tx1"/>
            </w14:solidFill>
          </w14:textFill>
        </w:rPr>
        <w:t>（二次）</w:t>
      </w:r>
    </w:p>
    <w:p w14:paraId="1305A5EF">
      <w:pPr>
        <w:tabs>
          <w:tab w:val="left" w:pos="2410"/>
        </w:tabs>
        <w:autoSpaceDE w:val="0"/>
        <w:autoSpaceDN w:val="0"/>
        <w:adjustRightInd w:val="0"/>
        <w:snapToGrid w:val="0"/>
        <w:spacing w:line="600" w:lineRule="exact"/>
        <w:ind w:firstLine="606" w:firstLineChars="200"/>
        <w:jc w:val="left"/>
        <w:rPr>
          <w:rFonts w:hint="default" w:ascii="宋体" w:hAnsi="DotumChe" w:eastAsia="宋体"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项目编号：</w:t>
      </w:r>
      <w:r>
        <w:rPr>
          <w:rFonts w:hint="eastAsia" w:ascii="宋体" w:hAnsi="DotumChe" w:cs="宋体"/>
          <w:b/>
          <w:color w:val="000000" w:themeColor="text1"/>
          <w:spacing w:val="11"/>
          <w:kern w:val="0"/>
          <w:sz w:val="28"/>
          <w:szCs w:val="28"/>
          <w:lang w:val="en-US" w:eastAsia="zh-CN"/>
          <w14:textFill>
            <w14:solidFill>
              <w14:schemeClr w14:val="tx1"/>
            </w14:solidFill>
          </w14:textFill>
        </w:rPr>
        <w:t>YJLY-20251222XF</w:t>
      </w:r>
    </w:p>
    <w:p w14:paraId="4730F69B">
      <w:pPr>
        <w:tabs>
          <w:tab w:val="left" w:pos="2410"/>
        </w:tabs>
        <w:autoSpaceDE w:val="0"/>
        <w:autoSpaceDN w:val="0"/>
        <w:adjustRightInd w:val="0"/>
        <w:snapToGrid w:val="0"/>
        <w:spacing w:line="600" w:lineRule="exact"/>
        <w:ind w:firstLine="606" w:firstLineChars="200"/>
        <w:jc w:val="left"/>
        <w:rPr>
          <w:rFonts w:hint="default" w:ascii="宋体" w:hAnsi="DotumChe" w:cs="宋体"/>
          <w:b/>
          <w:color w:val="000000" w:themeColor="text1"/>
          <w:spacing w:val="11"/>
          <w:kern w:val="0"/>
          <w:sz w:val="28"/>
          <w:szCs w:val="28"/>
          <w:lang w:val="en-US"/>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 购 人：六安市叶集区人民医院（六安市第六人民医院）</w:t>
      </w:r>
    </w:p>
    <w:p w14:paraId="1D876776">
      <w:pPr>
        <w:tabs>
          <w:tab w:val="left" w:pos="2410"/>
        </w:tabs>
        <w:autoSpaceDE w:val="0"/>
        <w:autoSpaceDN w:val="0"/>
        <w:adjustRightInd w:val="0"/>
        <w:snapToGrid w:val="0"/>
        <w:spacing w:line="600" w:lineRule="exact"/>
        <w:ind w:firstLine="606" w:firstLineChars="200"/>
        <w:jc w:val="left"/>
        <w:rPr>
          <w:rFonts w:hint="default" w:ascii="宋体" w:hAnsi="DotumChe" w:eastAsia="宋体" w:cs="宋体"/>
          <w:b/>
          <w:color w:val="000000" w:themeColor="text1"/>
          <w:spacing w:val="11"/>
          <w:kern w:val="0"/>
          <w:sz w:val="28"/>
          <w:szCs w:val="28"/>
          <w:lang w:val="en-US" w:eastAsia="zh-CN"/>
          <w14:textFill>
            <w14:solidFill>
              <w14:schemeClr w14:val="tx1"/>
            </w14:solidFill>
          </w14:textFill>
        </w:rPr>
      </w:pPr>
      <w:r>
        <w:rPr>
          <w:rFonts w:hint="eastAsia" w:ascii="宋体" w:hAnsi="DotumChe" w:cs="宋体"/>
          <w:b/>
          <w:color w:val="000000" w:themeColor="text1"/>
          <w:spacing w:val="11"/>
          <w:kern w:val="0"/>
          <w:sz w:val="28"/>
          <w:szCs w:val="28"/>
          <w14:textFill>
            <w14:solidFill>
              <w14:schemeClr w14:val="tx1"/>
            </w14:solidFill>
          </w14:textFill>
        </w:rPr>
        <w:t>采购时间：</w:t>
      </w:r>
      <w:r>
        <w:rPr>
          <w:rFonts w:hint="eastAsia" w:ascii="宋体" w:hAnsi="DotumChe" w:cs="宋体"/>
          <w:b/>
          <w:color w:val="000000" w:themeColor="text1"/>
          <w:spacing w:val="11"/>
          <w:kern w:val="0"/>
          <w:sz w:val="28"/>
          <w:szCs w:val="28"/>
          <w:lang w:val="en-US" w:eastAsia="zh-CN"/>
          <w14:textFill>
            <w14:solidFill>
              <w14:schemeClr w14:val="tx1"/>
            </w14:solidFill>
          </w14:textFill>
        </w:rPr>
        <w:t>2025年12月</w:t>
      </w:r>
    </w:p>
    <w:p w14:paraId="584C63F7">
      <w:pPr>
        <w:jc w:val="both"/>
        <w:rPr>
          <w:rFonts w:hint="eastAsia" w:ascii="宋体" w:hAnsi="宋体" w:cs="宋体"/>
          <w:b/>
          <w:color w:val="000000" w:themeColor="text1"/>
          <w:sz w:val="36"/>
          <w:szCs w:val="36"/>
          <w14:textFill>
            <w14:solidFill>
              <w14:schemeClr w14:val="tx1"/>
            </w14:solidFill>
          </w14:textFill>
        </w:rPr>
      </w:pPr>
      <w:r>
        <w:rPr>
          <w:rFonts w:hint="eastAsia"/>
          <w:b/>
          <w:color w:val="000000" w:themeColor="text1"/>
          <w:sz w:val="28"/>
          <w:szCs w:val="28"/>
          <w14:textFill>
            <w14:solidFill>
              <w14:schemeClr w14:val="tx1"/>
            </w14:solidFill>
          </w14:textFill>
        </w:rPr>
        <w:br w:type="page"/>
      </w:r>
    </w:p>
    <w:p w14:paraId="540EAD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themeColor="text1"/>
          <w:sz w:val="36"/>
          <w:szCs w:val="36"/>
          <w14:textFill>
            <w14:solidFill>
              <w14:schemeClr w14:val="tx1"/>
            </w14:solidFill>
          </w14:textFill>
        </w:rPr>
      </w:pPr>
    </w:p>
    <w:p w14:paraId="513973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目  录</w:t>
      </w:r>
    </w:p>
    <w:p w14:paraId="03860D2E">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_Toc13779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竞争性谈判公告</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PAGEREF _Toc13779 \h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3B0976F">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_Toc16403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一、供应商须知</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fldChar w:fldCharType="end"/>
      </w:r>
    </w:p>
    <w:p w14:paraId="5B5BCFFC">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_Toc13399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二、采购合同</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4</w:t>
      </w:r>
    </w:p>
    <w:p w14:paraId="25072217">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_Toc20887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三、采购需求</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5</w:t>
      </w:r>
    </w:p>
    <w:p w14:paraId="33D43045">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_Toc27329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评审方法</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7</w:t>
      </w:r>
    </w:p>
    <w:p w14:paraId="0B29E03B">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 HYPERLINK \l _Toc17782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、响应文件格式</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9</w:t>
      </w:r>
    </w:p>
    <w:p w14:paraId="5B07E6E0">
      <w:pPr>
        <w:pStyle w:val="29"/>
        <w:keepNext w:val="0"/>
        <w:keepLines w:val="0"/>
        <w:pageBreakBefore w:val="0"/>
        <w:widowControl w:val="0"/>
        <w:tabs>
          <w:tab w:val="right" w:leader="dot" w:pos="8367"/>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themeColor="text1"/>
          <w:sz w:val="24"/>
          <w:szCs w:val="24"/>
          <w14:textFill>
            <w14:solidFill>
              <w14:schemeClr w14:val="tx1"/>
            </w14:solidFill>
          </w14:textFill>
        </w:rPr>
      </w:pPr>
    </w:p>
    <w:p w14:paraId="20319A0B">
      <w:pPr>
        <w:pStyle w:val="29"/>
        <w:keepNext w:val="0"/>
        <w:keepLines w:val="0"/>
        <w:pageBreakBefore w:val="0"/>
        <w:widowControl w:val="0"/>
        <w:tabs>
          <w:tab w:val="right" w:leader="dot" w:pos="8778"/>
        </w:tabs>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p>
    <w:p w14:paraId="540734CB">
      <w:pPr>
        <w:pStyle w:val="67"/>
        <w:ind w:firstLine="2923" w:firstLineChars="1040"/>
        <w:rPr>
          <w:color w:val="000000" w:themeColor="text1"/>
          <w:sz w:val="28"/>
          <w:szCs w:val="28"/>
          <w14:textFill>
            <w14:solidFill>
              <w14:schemeClr w14:val="tx1"/>
            </w14:solidFill>
          </w14:textFill>
        </w:rPr>
      </w:pPr>
      <w:bookmarkStart w:id="0" w:name="_Toc363199264"/>
      <w:bookmarkStart w:id="1" w:name="_Toc216158623"/>
      <w:r>
        <w:rPr>
          <w:rFonts w:hint="eastAsia"/>
          <w:color w:val="000000" w:themeColor="text1"/>
          <w:sz w:val="28"/>
          <w:szCs w:val="28"/>
          <w14:textFill>
            <w14:solidFill>
              <w14:schemeClr w14:val="tx1"/>
            </w14:solidFill>
          </w14:textFill>
        </w:rPr>
        <w:br w:type="page"/>
      </w:r>
    </w:p>
    <w:p w14:paraId="30014ABD">
      <w:pPr>
        <w:pStyle w:val="7"/>
        <w:pageBreakBefore w:val="0"/>
        <w:kinsoku/>
        <w:wordWrap/>
        <w:overflowPunct/>
        <w:topLinePunct w:val="0"/>
        <w:autoSpaceDE/>
        <w:autoSpaceDN/>
        <w:bidi w:val="0"/>
        <w:adjustRightInd/>
        <w:snapToGrid/>
        <w:spacing w:before="0" w:after="0" w:line="560" w:lineRule="exact"/>
        <w:ind w:left="0" w:leftChars="0"/>
        <w:jc w:val="center"/>
        <w:textAlignment w:val="auto"/>
        <w:rPr>
          <w:rFonts w:hint="eastAsia" w:ascii="黑体" w:hAnsi="黑体" w:cs="黑体"/>
          <w:b w:val="0"/>
          <w:bCs/>
          <w:color w:val="000000" w:themeColor="text1"/>
          <w:sz w:val="44"/>
          <w:szCs w:val="44"/>
          <w14:textFill>
            <w14:solidFill>
              <w14:schemeClr w14:val="tx1"/>
            </w14:solidFill>
          </w14:textFill>
        </w:rPr>
      </w:pPr>
      <w:bookmarkStart w:id="2" w:name="_Toc30186"/>
      <w:bookmarkStart w:id="3" w:name="_Toc13779"/>
      <w:r>
        <w:rPr>
          <w:rFonts w:hint="eastAsia" w:ascii="黑体" w:hAnsi="黑体" w:cs="黑体"/>
          <w:b w:val="0"/>
          <w:bCs/>
          <w:color w:val="000000" w:themeColor="text1"/>
          <w:sz w:val="44"/>
          <w:szCs w:val="44"/>
          <w14:textFill>
            <w14:solidFill>
              <w14:schemeClr w14:val="tx1"/>
            </w14:solidFill>
          </w14:textFill>
        </w:rPr>
        <w:t>六安市叶集区人民医院（市六院）消防维保服务项目</w:t>
      </w:r>
      <w:r>
        <w:rPr>
          <w:rFonts w:hint="eastAsia" w:ascii="黑体" w:hAnsi="黑体" w:cs="黑体"/>
          <w:b w:val="0"/>
          <w:bCs/>
          <w:color w:val="000000" w:themeColor="text1"/>
          <w:sz w:val="44"/>
          <w:szCs w:val="44"/>
          <w:lang w:eastAsia="zh-CN"/>
          <w14:textFill>
            <w14:solidFill>
              <w14:schemeClr w14:val="tx1"/>
            </w14:solidFill>
          </w14:textFill>
        </w:rPr>
        <w:t>（二次）</w:t>
      </w:r>
      <w:r>
        <w:rPr>
          <w:rFonts w:hint="eastAsia" w:ascii="黑体" w:hAnsi="黑体" w:cs="黑体"/>
          <w:b w:val="0"/>
          <w:bCs/>
          <w:color w:val="000000" w:themeColor="text1"/>
          <w:sz w:val="44"/>
          <w:szCs w:val="44"/>
          <w14:textFill>
            <w14:solidFill>
              <w14:schemeClr w14:val="tx1"/>
            </w14:solidFill>
          </w14:textFill>
        </w:rPr>
        <w:t>竞争性谈判公告</w:t>
      </w:r>
      <w:bookmarkEnd w:id="2"/>
      <w:bookmarkEnd w:id="3"/>
    </w:p>
    <w:p w14:paraId="569F216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项目概况</w:t>
      </w:r>
      <w:r>
        <w:rPr>
          <w:rFonts w:hint="eastAsia" w:ascii="仿宋" w:hAnsi="仿宋" w:eastAsia="仿宋" w:cs="仿宋"/>
          <w:color w:val="000000" w:themeColor="text1"/>
          <w:sz w:val="28"/>
          <w:szCs w:val="28"/>
          <w:u w:val="single"/>
          <w:lang w:eastAsia="zh-CN"/>
          <w14:textFill>
            <w14:solidFill>
              <w14:schemeClr w14:val="tx1"/>
            </w14:solidFill>
          </w14:textFill>
        </w:rPr>
        <w:t>：六安市叶集区人民医院（市六院）消防维保服务项目（二次）</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项目编号</w:t>
      </w:r>
      <w:r>
        <w:rPr>
          <w:rFonts w:hint="eastAsia" w:ascii="仿宋" w:hAnsi="仿宋" w:eastAsia="仿宋" w:cs="仿宋"/>
          <w:color w:val="000000" w:themeColor="text1"/>
          <w:sz w:val="28"/>
          <w:szCs w:val="28"/>
          <w:u w:val="single"/>
          <w:lang w:val="en-US" w:eastAsia="zh-CN"/>
          <w14:textFill>
            <w14:solidFill>
              <w14:schemeClr w14:val="tx1"/>
            </w14:solidFill>
          </w14:textFill>
        </w:rPr>
        <w:t>:YJLY-20251222XF</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的潜在供应商</w:t>
      </w:r>
      <w:r>
        <w:rPr>
          <w:rFonts w:hint="eastAsia" w:ascii="仿宋" w:hAnsi="仿宋" w:eastAsia="仿宋" w:cs="仿宋"/>
          <w:color w:val="000000" w:themeColor="text1"/>
          <w:sz w:val="28"/>
          <w:szCs w:val="28"/>
          <w:lang w:val="en-US" w:eastAsia="zh-CN"/>
          <w14:textFill>
            <w14:solidFill>
              <w14:schemeClr w14:val="tx1"/>
            </w14:solidFill>
          </w14:textFill>
        </w:rPr>
        <w:t>在医院官网处</w:t>
      </w:r>
      <w:r>
        <w:rPr>
          <w:rFonts w:hint="eastAsia" w:ascii="仿宋" w:hAnsi="仿宋" w:eastAsia="仿宋" w:cs="仿宋"/>
          <w:color w:val="000000" w:themeColor="text1"/>
          <w:kern w:val="0"/>
          <w:sz w:val="28"/>
          <w:szCs w:val="28"/>
          <w:lang w:val="en-US" w:eastAsia="zh-CN"/>
          <w14:textFill>
            <w14:solidFill>
              <w14:schemeClr w14:val="tx1"/>
            </w14:solidFill>
          </w14:textFill>
        </w:rPr>
        <w:t>获取采购文件</w:t>
      </w:r>
      <w:r>
        <w:rPr>
          <w:rFonts w:hint="eastAsia" w:ascii="仿宋" w:hAnsi="仿宋" w:eastAsia="仿宋" w:cs="仿宋"/>
          <w:color w:val="000000" w:themeColor="text1"/>
          <w:sz w:val="28"/>
          <w:szCs w:val="28"/>
          <w:u w:val="none"/>
          <w14:textFill>
            <w14:solidFill>
              <w14:schemeClr w14:val="tx1"/>
            </w14:solidFill>
          </w14:textFill>
        </w:rPr>
        <w:t>并于</w:t>
      </w:r>
      <w:r>
        <w:rPr>
          <w:rFonts w:hint="eastAsia" w:ascii="仿宋" w:hAnsi="仿宋" w:eastAsia="仿宋" w:cs="仿宋"/>
          <w:color w:val="000000" w:themeColor="text1"/>
          <w:sz w:val="28"/>
          <w:szCs w:val="28"/>
          <w:u w:val="single"/>
          <w:lang w:val="en-US" w:eastAsia="zh-CN"/>
          <w14:textFill>
            <w14:solidFill>
              <w14:schemeClr w14:val="tx1"/>
            </w14:solidFill>
          </w14:textFill>
        </w:rPr>
        <w:t>2025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分（北京时间）前</w:t>
      </w:r>
      <w:r>
        <w:rPr>
          <w:rFonts w:hint="eastAsia" w:ascii="仿宋" w:hAnsi="仿宋" w:eastAsia="仿宋" w:cs="仿宋"/>
          <w:color w:val="000000" w:themeColor="text1"/>
          <w:sz w:val="28"/>
          <w:szCs w:val="28"/>
          <w:lang w:val="en-US" w:eastAsia="zh-CN"/>
          <w14:textFill>
            <w14:solidFill>
              <w14:schemeClr w14:val="tx1"/>
            </w14:solidFill>
          </w14:textFill>
        </w:rPr>
        <w:t>提交</w:t>
      </w:r>
      <w:r>
        <w:rPr>
          <w:rFonts w:hint="eastAsia" w:ascii="仿宋" w:hAnsi="仿宋" w:eastAsia="仿宋" w:cs="仿宋"/>
          <w:color w:val="000000" w:themeColor="text1"/>
          <w:sz w:val="28"/>
          <w:szCs w:val="28"/>
          <w14:textFill>
            <w14:solidFill>
              <w14:schemeClr w14:val="tx1"/>
            </w14:solidFill>
          </w14:textFill>
        </w:rPr>
        <w:t>响应文件。</w:t>
      </w:r>
    </w:p>
    <w:p w14:paraId="4CA9490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4" w:name="_Toc35393629"/>
      <w:bookmarkStart w:id="5" w:name="_Toc28359089"/>
      <w:bookmarkStart w:id="6" w:name="_Toc25634"/>
      <w:bookmarkStart w:id="7" w:name="_Toc28359012"/>
      <w:bookmarkStart w:id="8" w:name="_Toc32104"/>
      <w:bookmarkStart w:id="9" w:name="_Toc35393798"/>
      <w:r>
        <w:rPr>
          <w:rFonts w:hint="eastAsia" w:ascii="黑体" w:hAnsi="黑体" w:cs="黑体"/>
          <w:b w:val="0"/>
          <w:bCs/>
          <w:color w:val="000000" w:themeColor="text1"/>
          <w:sz w:val="28"/>
          <w:szCs w:val="28"/>
          <w14:textFill>
            <w14:solidFill>
              <w14:schemeClr w14:val="tx1"/>
            </w14:solidFill>
          </w14:textFill>
        </w:rPr>
        <w:t>一、项目基本情况</w:t>
      </w:r>
      <w:bookmarkEnd w:id="4"/>
      <w:bookmarkEnd w:id="5"/>
      <w:bookmarkEnd w:id="6"/>
      <w:bookmarkEnd w:id="7"/>
      <w:bookmarkEnd w:id="8"/>
      <w:bookmarkEnd w:id="9"/>
    </w:p>
    <w:p w14:paraId="3B5F5F9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1、项目编号：</w:t>
      </w:r>
      <w:r>
        <w:rPr>
          <w:rFonts w:hint="eastAsia" w:ascii="仿宋" w:hAnsi="仿宋" w:eastAsia="仿宋" w:cs="仿宋"/>
          <w:color w:val="000000" w:themeColor="text1"/>
          <w:sz w:val="28"/>
          <w:szCs w:val="28"/>
          <w:u w:val="single"/>
          <w:lang w:val="en-US" w:eastAsia="zh-CN"/>
          <w14:textFill>
            <w14:solidFill>
              <w14:schemeClr w14:val="tx1"/>
            </w14:solidFill>
          </w14:textFill>
        </w:rPr>
        <w:t>YJLY-20251222XF</w:t>
      </w:r>
    </w:p>
    <w:p w14:paraId="724BBD47">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宋体"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2、项目名称：六安市叶集区人民医院（市六院）消防维保服务项目</w:t>
      </w:r>
      <w:r>
        <w:rPr>
          <w:rFonts w:hint="eastAsia" w:ascii="仿宋" w:hAnsi="仿宋" w:eastAsia="仿宋" w:cs="仿宋"/>
          <w:color w:val="000000" w:themeColor="text1"/>
          <w:sz w:val="28"/>
          <w:szCs w:val="28"/>
          <w:lang w:eastAsia="zh-CN"/>
          <w14:textFill>
            <w14:solidFill>
              <w14:schemeClr w14:val="tx1"/>
            </w14:solidFill>
          </w14:textFill>
        </w:rPr>
        <w:t>（二次</w:t>
      </w:r>
      <w:bookmarkStart w:id="136" w:name="_GoBack"/>
      <w:bookmarkEnd w:id="136"/>
      <w:r>
        <w:rPr>
          <w:rFonts w:hint="eastAsia" w:ascii="仿宋" w:hAnsi="仿宋" w:eastAsia="仿宋" w:cs="仿宋"/>
          <w:color w:val="000000" w:themeColor="text1"/>
          <w:sz w:val="28"/>
          <w:szCs w:val="28"/>
          <w:lang w:eastAsia="zh-CN"/>
          <w14:textFill>
            <w14:solidFill>
              <w14:schemeClr w14:val="tx1"/>
            </w14:solidFill>
          </w14:textFill>
        </w:rPr>
        <w:t>）</w:t>
      </w:r>
    </w:p>
    <w:p w14:paraId="68C8367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3、项目类型：服务类</w:t>
      </w:r>
    </w:p>
    <w:p w14:paraId="27DEBA8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4、采购方式：竞争性谈判</w:t>
      </w:r>
    </w:p>
    <w:p w14:paraId="2011A06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5、预算金额：</w:t>
      </w:r>
      <w:r>
        <w:rPr>
          <w:rFonts w:hint="eastAsia" w:ascii="仿宋" w:hAnsi="仿宋" w:eastAsia="仿宋" w:cs="仿宋"/>
          <w:color w:val="000000" w:themeColor="text1"/>
          <w:sz w:val="28"/>
          <w:szCs w:val="28"/>
          <w:lang w:val="en-US" w:eastAsia="zh-CN"/>
          <w14:textFill>
            <w14:solidFill>
              <w14:schemeClr w14:val="tx1"/>
            </w14:solidFill>
          </w14:textFill>
        </w:rPr>
        <w:t>3.00万元</w:t>
      </w:r>
    </w:p>
    <w:p w14:paraId="7EC4F47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6、最高限价：</w:t>
      </w:r>
      <w:r>
        <w:rPr>
          <w:rFonts w:hint="eastAsia" w:ascii="仿宋" w:hAnsi="仿宋" w:eastAsia="仿宋" w:cs="仿宋"/>
          <w:color w:val="000000" w:themeColor="text1"/>
          <w:sz w:val="28"/>
          <w:szCs w:val="28"/>
          <w:lang w:val="en-US" w:eastAsia="zh-CN"/>
          <w14:textFill>
            <w14:solidFill>
              <w14:schemeClr w14:val="tx1"/>
            </w14:solidFill>
          </w14:textFill>
        </w:rPr>
        <w:t>3.00</w:t>
      </w:r>
      <w:r>
        <w:rPr>
          <w:rFonts w:hint="eastAsia" w:ascii="仿宋" w:hAnsi="仿宋" w:eastAsia="仿宋" w:cs="仿宋"/>
          <w:color w:val="000000" w:themeColor="text1"/>
          <w:sz w:val="28"/>
          <w:szCs w:val="28"/>
          <w14:textFill>
            <w14:solidFill>
              <w14:schemeClr w14:val="tx1"/>
            </w14:solidFill>
          </w14:textFill>
        </w:rPr>
        <w:t>万元</w:t>
      </w:r>
    </w:p>
    <w:p w14:paraId="7E72E2F5">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仿宋" w:hAnsi="仿宋" w:eastAsia="仿宋" w:cs="仿宋"/>
          <w:color w:val="000000" w:themeColor="text1"/>
          <w:sz w:val="28"/>
          <w:szCs w:val="28"/>
          <w:u w:val="single"/>
          <w:lang w:val="en-US"/>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7、采购需求：主要包括消防设施维修保养及消防安全评估、系统技术检测等，具体要求详见需求文件。</w:t>
      </w:r>
    </w:p>
    <w:p w14:paraId="045387D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8、合同履行期限：合同签订之日起一年，根据服务情况续签，续签最多不超过两次</w:t>
      </w:r>
      <w:r>
        <w:rPr>
          <w:rFonts w:hint="eastAsia" w:ascii="仿宋" w:hAnsi="仿宋" w:eastAsia="仿宋" w:cs="仿宋"/>
          <w:color w:val="000000" w:themeColor="text1"/>
          <w:sz w:val="28"/>
          <w:szCs w:val="28"/>
          <w:lang w:eastAsia="zh-CN"/>
          <w14:textFill>
            <w14:solidFill>
              <w14:schemeClr w14:val="tx1"/>
            </w14:solidFill>
          </w14:textFill>
        </w:rPr>
        <w:t>。</w:t>
      </w:r>
    </w:p>
    <w:p w14:paraId="16212AA6">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cs="宋体"/>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9、是否接受联合体：本项目不接受联合体。</w:t>
      </w:r>
    </w:p>
    <w:p w14:paraId="0AE033C5">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10" w:name="_Toc5548"/>
      <w:bookmarkStart w:id="11" w:name="_Toc28359013"/>
      <w:bookmarkStart w:id="12" w:name="_Toc8072"/>
      <w:bookmarkStart w:id="13" w:name="_Toc28359090"/>
      <w:bookmarkStart w:id="14" w:name="_Toc35393630"/>
      <w:bookmarkStart w:id="15" w:name="_Toc35393799"/>
      <w:r>
        <w:rPr>
          <w:rFonts w:hint="eastAsia" w:ascii="黑体" w:hAnsi="黑体" w:cs="黑体"/>
          <w:b w:val="0"/>
          <w:bCs/>
          <w:color w:val="000000" w:themeColor="text1"/>
          <w:sz w:val="28"/>
          <w:szCs w:val="28"/>
          <w14:textFill>
            <w14:solidFill>
              <w14:schemeClr w14:val="tx1"/>
            </w14:solidFill>
          </w14:textFill>
        </w:rPr>
        <w:t>二、申请人的资格要求</w:t>
      </w:r>
      <w:bookmarkEnd w:id="10"/>
      <w:bookmarkEnd w:id="11"/>
      <w:bookmarkEnd w:id="12"/>
      <w:bookmarkEnd w:id="13"/>
      <w:bookmarkEnd w:id="14"/>
      <w:bookmarkEnd w:id="15"/>
    </w:p>
    <w:p w14:paraId="0A0CB7C8">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bookmarkStart w:id="16" w:name="_Toc28359014"/>
      <w:bookmarkStart w:id="17" w:name="_Toc28359091"/>
      <w:r>
        <w:rPr>
          <w:rFonts w:hint="eastAsia" w:ascii="仿宋" w:hAnsi="仿宋" w:eastAsia="仿宋" w:cs="仿宋"/>
          <w:color w:val="000000" w:themeColor="text1"/>
          <w:sz w:val="28"/>
          <w:szCs w:val="28"/>
          <w14:textFill>
            <w14:solidFill>
              <w14:schemeClr w14:val="tx1"/>
            </w14:solidFill>
          </w14:textFill>
        </w:rPr>
        <w:t>1、满足《中华人民共和国政府采购法》第二十二条规定；</w:t>
      </w:r>
    </w:p>
    <w:p w14:paraId="41FF5B24">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2、落实政府采购政策需满足的资格要求</w:t>
      </w:r>
      <w:r>
        <w:rPr>
          <w:rFonts w:hint="eastAsia" w:ascii="仿宋" w:hAnsi="仿宋" w:eastAsia="仿宋" w:cs="仿宋"/>
          <w:color w:val="000000" w:themeColor="text1"/>
          <w:sz w:val="28"/>
          <w:szCs w:val="28"/>
          <w:lang w:val="en-US" w:eastAsia="zh-CN"/>
          <w14:textFill>
            <w14:solidFill>
              <w14:schemeClr w14:val="tx1"/>
            </w14:solidFill>
          </w14:textFill>
        </w:rPr>
        <w:t>:无；</w:t>
      </w:r>
    </w:p>
    <w:p w14:paraId="5A873766">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3、本项目的特定资格要求：</w:t>
      </w:r>
    </w:p>
    <w:p w14:paraId="3AD4215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FF"/>
          <w:sz w:val="28"/>
          <w:szCs w:val="28"/>
        </w:rPr>
      </w:pPr>
      <w:r>
        <w:rPr>
          <w:rFonts w:hint="eastAsia" w:ascii="仿宋" w:hAnsi="仿宋" w:eastAsia="仿宋" w:cs="仿宋"/>
          <w:color w:val="000000" w:themeColor="text1"/>
          <w:sz w:val="28"/>
          <w:szCs w:val="28"/>
          <w14:textFill>
            <w14:solidFill>
              <w14:schemeClr w14:val="tx1"/>
            </w14:solidFill>
          </w14:textFill>
        </w:rPr>
        <w:t>（1）企业资质要求：</w:t>
      </w:r>
      <w:r>
        <w:rPr>
          <w:rFonts w:hint="eastAsia" w:ascii="仿宋" w:hAnsi="仿宋" w:eastAsia="仿宋" w:cs="仿宋"/>
          <w:color w:val="000000" w:themeColor="text1"/>
          <w:sz w:val="28"/>
          <w:szCs w:val="28"/>
          <w:lang w:val="en-US" w:eastAsia="zh-CN"/>
          <w14:textFill>
            <w14:solidFill>
              <w14:schemeClr w14:val="tx1"/>
            </w14:solidFill>
          </w14:textFill>
        </w:rPr>
        <w:t>具备独立法人资格，营业执照经营范围含消防技术服务/消防设施维护保养检测，涵盖建筑消防安全评估，电气防火技术检验等，并在社会消防技术服务信息系统完成登记备案</w:t>
      </w:r>
      <w:r>
        <w:rPr>
          <w:rFonts w:hint="eastAsia" w:ascii="仿宋" w:hAnsi="仿宋" w:eastAsia="仿宋" w:cs="仿宋"/>
          <w:color w:val="000000" w:themeColor="text1"/>
          <w:sz w:val="28"/>
          <w:szCs w:val="28"/>
          <w14:textFill>
            <w14:solidFill>
              <w14:schemeClr w14:val="tx1"/>
            </w14:solidFill>
          </w14:textFill>
        </w:rPr>
        <w:t xml:space="preserve">； </w:t>
      </w:r>
    </w:p>
    <w:p w14:paraId="270B97E0">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（2）项目经理资格要求：具有</w:t>
      </w:r>
      <w:r>
        <w:rPr>
          <w:rFonts w:hint="eastAsia" w:ascii="仿宋" w:hAnsi="仿宋" w:eastAsia="仿宋" w:cs="仿宋"/>
          <w:color w:val="000000" w:themeColor="text1"/>
          <w:sz w:val="28"/>
          <w:szCs w:val="28"/>
          <w:lang w:val="en-US" w:eastAsia="zh-CN"/>
          <w14:textFill>
            <w14:solidFill>
              <w14:schemeClr w14:val="tx1"/>
            </w14:solidFill>
          </w14:textFill>
        </w:rPr>
        <w:t>一级注册消防工程师</w:t>
      </w:r>
      <w:r>
        <w:rPr>
          <w:rFonts w:hint="eastAsia" w:ascii="仿宋" w:hAnsi="仿宋" w:eastAsia="仿宋" w:cs="仿宋"/>
          <w:color w:val="000000" w:themeColor="text1"/>
          <w:sz w:val="28"/>
          <w:szCs w:val="28"/>
          <w14:textFill>
            <w14:solidFill>
              <w14:schemeClr w14:val="tx1"/>
            </w14:solidFill>
          </w14:textFill>
        </w:rPr>
        <w:t>执业</w:t>
      </w:r>
      <w:r>
        <w:rPr>
          <w:rFonts w:hint="eastAsia" w:ascii="仿宋" w:hAnsi="仿宋" w:eastAsia="仿宋" w:cs="仿宋"/>
          <w:color w:val="000000" w:themeColor="text1"/>
          <w:sz w:val="28"/>
          <w:szCs w:val="28"/>
          <w:lang w:val="en-US" w:eastAsia="zh-CN"/>
          <w14:textFill>
            <w14:solidFill>
              <w14:schemeClr w14:val="tx1"/>
            </w14:solidFill>
          </w14:textFill>
        </w:rPr>
        <w:t>证</w:t>
      </w:r>
      <w:r>
        <w:rPr>
          <w:rFonts w:hint="eastAsia" w:ascii="仿宋" w:hAnsi="仿宋" w:eastAsia="仿宋" w:cs="仿宋"/>
          <w:color w:val="000000" w:themeColor="text1"/>
          <w:sz w:val="28"/>
          <w:szCs w:val="28"/>
          <w14:textFill>
            <w14:solidFill>
              <w14:schemeClr w14:val="tx1"/>
            </w14:solidFill>
          </w14:textFill>
        </w:rPr>
        <w:t>、有效的安全生产考核合格证书（B证）。</w:t>
      </w:r>
    </w:p>
    <w:bookmarkEnd w:id="16"/>
    <w:bookmarkEnd w:id="17"/>
    <w:p w14:paraId="7E3C0437">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18" w:name="_Toc35393800"/>
      <w:bookmarkStart w:id="19" w:name="_Toc15899"/>
      <w:bookmarkStart w:id="20" w:name="_Toc35393631"/>
      <w:bookmarkStart w:id="21" w:name="_Toc15371"/>
      <w:r>
        <w:rPr>
          <w:rFonts w:hint="eastAsia" w:ascii="黑体" w:hAnsi="黑体" w:cs="黑体"/>
          <w:b w:val="0"/>
          <w:bCs/>
          <w:color w:val="000000" w:themeColor="text1"/>
          <w:sz w:val="28"/>
          <w:szCs w:val="28"/>
          <w14:textFill>
            <w14:solidFill>
              <w14:schemeClr w14:val="tx1"/>
            </w14:solidFill>
          </w14:textFill>
        </w:rPr>
        <w:t>三、获取采购文件</w:t>
      </w:r>
      <w:bookmarkEnd w:id="18"/>
      <w:bookmarkEnd w:id="19"/>
      <w:bookmarkEnd w:id="20"/>
      <w:bookmarkEnd w:id="21"/>
    </w:p>
    <w:p w14:paraId="20712E8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22</w:t>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25</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（北京时间）</w:t>
      </w:r>
      <w:r>
        <w:rPr>
          <w:rFonts w:ascii="仿宋" w:hAnsi="仿宋" w:eastAsia="仿宋" w:cs="仿宋"/>
          <w:color w:val="000000" w:themeColor="text1"/>
          <w:sz w:val="28"/>
          <w:szCs w:val="28"/>
          <w14:textFill>
            <w14:solidFill>
              <w14:schemeClr w14:val="tx1"/>
            </w14:solidFill>
          </w14:textFill>
        </w:rPr>
        <w:t xml:space="preserve"> </w:t>
      </w:r>
    </w:p>
    <w:p w14:paraId="4607845C">
      <w:pPr>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2、地点：凡有意参加的潜在供应商，在院官方网站：六安市叶集区人民医院(六安市第六人民医院) (lasdlrmyy.c</w:t>
      </w:r>
      <w:r>
        <w:rPr>
          <w:rFonts w:hint="eastAsia" w:ascii="仿宋" w:hAnsi="仿宋" w:eastAsia="仿宋" w:cs="仿宋"/>
          <w:color w:val="000000" w:themeColor="text1"/>
          <w:sz w:val="28"/>
          <w:szCs w:val="28"/>
          <w:lang w:val="en-US" w:eastAsia="zh-CN"/>
          <w14:textFill>
            <w14:solidFill>
              <w14:schemeClr w14:val="tx1"/>
            </w14:solidFill>
          </w14:textFill>
        </w:rPr>
        <w:t>n</w:t>
      </w:r>
      <w:r>
        <w:rPr>
          <w:rFonts w:hint="eastAsia" w:ascii="仿宋" w:hAnsi="仿宋" w:eastAsia="仿宋" w:cs="仿宋"/>
          <w:color w:val="000000" w:themeColor="text1"/>
          <w:sz w:val="28"/>
          <w:szCs w:val="28"/>
          <w14:textFill>
            <w14:solidFill>
              <w14:schemeClr w14:val="tx1"/>
            </w14:solidFill>
          </w14:textFill>
        </w:rPr>
        <w:t>)自行下载获取。</w:t>
      </w:r>
    </w:p>
    <w:p w14:paraId="5F4CF6EC">
      <w:pPr>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3、</w:t>
      </w:r>
      <w:r>
        <w:rPr>
          <w:rFonts w:hint="eastAsia" w:ascii="仿宋" w:hAnsi="仿宋" w:eastAsia="仿宋" w:cs="仿宋"/>
          <w:color w:val="000000" w:themeColor="text1"/>
          <w:sz w:val="28"/>
          <w:szCs w:val="28"/>
          <w14:textFill>
            <w14:solidFill>
              <w14:schemeClr w14:val="tx1"/>
            </w14:solidFill>
          </w14:textFill>
        </w:rPr>
        <w:t>获取方式：</w:t>
      </w:r>
      <w:r>
        <w:rPr>
          <w:rFonts w:hint="eastAsia" w:ascii="仿宋" w:hAnsi="仿宋" w:eastAsia="仿宋" w:cs="仿宋"/>
          <w:color w:val="000000" w:themeColor="text1"/>
          <w:kern w:val="0"/>
          <w:sz w:val="28"/>
          <w:szCs w:val="28"/>
          <w:lang w:val="en-US" w:eastAsia="zh-CN"/>
          <w14:textFill>
            <w14:solidFill>
              <w14:schemeClr w14:val="tx1"/>
            </w14:solidFill>
          </w14:textFill>
        </w:rPr>
        <w:t>官网下载。</w:t>
      </w:r>
    </w:p>
    <w:p w14:paraId="0EE27B5B">
      <w:pPr>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4、</w:t>
      </w:r>
      <w:r>
        <w:rPr>
          <w:rFonts w:hint="eastAsia" w:ascii="仿宋" w:hAnsi="仿宋" w:eastAsia="仿宋" w:cs="仿宋"/>
          <w:color w:val="000000" w:themeColor="text1"/>
          <w:sz w:val="28"/>
          <w:szCs w:val="28"/>
          <w14:textFill>
            <w14:solidFill>
              <w14:schemeClr w14:val="tx1"/>
            </w14:solidFill>
          </w14:textFill>
        </w:rPr>
        <w:t>售价：</w:t>
      </w:r>
      <w:r>
        <w:rPr>
          <w:rFonts w:hint="eastAsia" w:ascii="仿宋" w:hAnsi="仿宋" w:eastAsia="仿宋" w:cs="仿宋"/>
          <w:color w:val="000000" w:themeColor="text1"/>
          <w:kern w:val="0"/>
          <w:sz w:val="28"/>
          <w:szCs w:val="28"/>
          <w:lang w:val="en-US" w:eastAsia="zh-CN"/>
          <w14:textFill>
            <w14:solidFill>
              <w14:schemeClr w14:val="tx1"/>
            </w14:solidFill>
          </w14:textFill>
        </w:rPr>
        <w:t>0元。</w:t>
      </w:r>
    </w:p>
    <w:p w14:paraId="0A85A959">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eastAsia="黑体" w:cs="黑体"/>
          <w:b w:val="0"/>
          <w:bCs/>
          <w:color w:val="000000" w:themeColor="text1"/>
          <w:sz w:val="28"/>
          <w:szCs w:val="28"/>
          <w:lang w:eastAsia="zh-CN"/>
          <w14:textFill>
            <w14:solidFill>
              <w14:schemeClr w14:val="tx1"/>
            </w14:solidFill>
          </w14:textFill>
        </w:rPr>
      </w:pPr>
      <w:bookmarkStart w:id="22" w:name="_Toc35393801"/>
      <w:bookmarkStart w:id="23" w:name="_Toc28359092"/>
      <w:bookmarkStart w:id="24" w:name="_Toc35393632"/>
      <w:bookmarkStart w:id="25" w:name="_Toc28359015"/>
      <w:bookmarkStart w:id="26" w:name="_Toc1753"/>
      <w:bookmarkStart w:id="27" w:name="_Toc13207"/>
      <w:r>
        <w:rPr>
          <w:rFonts w:hint="eastAsia" w:ascii="黑体" w:hAnsi="黑体" w:cs="黑体"/>
          <w:b w:val="0"/>
          <w:bCs/>
          <w:color w:val="000000" w:themeColor="text1"/>
          <w:sz w:val="28"/>
          <w:szCs w:val="28"/>
          <w14:textFill>
            <w14:solidFill>
              <w14:schemeClr w14:val="tx1"/>
            </w14:solidFill>
          </w14:textFill>
        </w:rPr>
        <w:t>四、响应文件</w:t>
      </w:r>
      <w:bookmarkEnd w:id="22"/>
      <w:bookmarkEnd w:id="23"/>
      <w:bookmarkEnd w:id="24"/>
      <w:bookmarkEnd w:id="25"/>
      <w:bookmarkEnd w:id="26"/>
      <w:bookmarkEnd w:id="27"/>
      <w:r>
        <w:rPr>
          <w:rFonts w:hint="eastAsia" w:ascii="黑体" w:hAnsi="黑体" w:cs="黑体"/>
          <w:b w:val="0"/>
          <w:bCs/>
          <w:color w:val="000000" w:themeColor="text1"/>
          <w:sz w:val="28"/>
          <w:szCs w:val="28"/>
          <w:lang w:val="en-US" w:eastAsia="zh-CN"/>
          <w14:textFill>
            <w14:solidFill>
              <w14:schemeClr w14:val="tx1"/>
            </w14:solidFill>
          </w14:textFill>
        </w:rPr>
        <w:t>提交</w:t>
      </w:r>
    </w:p>
    <w:p w14:paraId="592FB08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1、截止时间：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25</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bCs/>
          <w:color w:val="000000" w:themeColor="text1"/>
          <w:sz w:val="28"/>
          <w:szCs w:val="28"/>
          <w14:textFill>
            <w14:solidFill>
              <w14:schemeClr w14:val="tx1"/>
            </w14:solidFill>
          </w14:textFill>
        </w:rPr>
        <w:t>（北京时间）</w:t>
      </w:r>
    </w:p>
    <w:p w14:paraId="72534EF2">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2、提交方式：</w:t>
      </w:r>
      <w:r>
        <w:rPr>
          <w:rFonts w:hint="eastAsia" w:ascii="仿宋" w:hAnsi="仿宋" w:eastAsia="仿宋" w:cs="仿宋"/>
          <w:color w:val="000000" w:themeColor="text1"/>
          <w:kern w:val="0"/>
          <w:sz w:val="28"/>
          <w:szCs w:val="28"/>
          <w:lang w:eastAsia="zh-CN"/>
          <w14:textFill>
            <w14:solidFill>
              <w14:schemeClr w14:val="tx1"/>
            </w14:solidFill>
          </w14:textFill>
        </w:rPr>
        <w:t>现场递交</w:t>
      </w:r>
    </w:p>
    <w:p w14:paraId="396416F0">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hint="eastAsia" w:ascii="仿宋" w:hAnsi="仿宋" w:eastAsia="仿宋" w:cs="仿宋"/>
          <w:color w:val="000000" w:themeColor="text1"/>
          <w:kern w:val="0"/>
          <w:sz w:val="28"/>
          <w:szCs w:val="28"/>
          <w:lang w:val="en-US" w:eastAsia="zh-CN"/>
          <w14:textFill>
            <w14:solidFill>
              <w14:schemeClr w14:val="tx1"/>
            </w14:solidFill>
          </w14:textFill>
        </w:rPr>
      </w:pPr>
      <w:bookmarkStart w:id="28" w:name="_Toc28359093"/>
      <w:bookmarkStart w:id="29" w:name="_Toc2653"/>
      <w:bookmarkStart w:id="30" w:name="_Toc35393802"/>
      <w:bookmarkStart w:id="31" w:name="_Toc31128"/>
      <w:bookmarkStart w:id="32" w:name="_Toc35393633"/>
      <w:bookmarkStart w:id="33" w:name="_Toc28359016"/>
      <w:r>
        <w:rPr>
          <w:rFonts w:hint="eastAsia" w:ascii="仿宋" w:hAnsi="仿宋" w:eastAsia="仿宋" w:cs="仿宋"/>
          <w:b w:val="0"/>
          <w:color w:val="000000" w:themeColor="text1"/>
          <w:kern w:val="0"/>
          <w:sz w:val="28"/>
          <w:szCs w:val="28"/>
          <w:lang w:val="en-US" w:eastAsia="zh-CN" w:bidi="ar-SA"/>
          <w14:textFill>
            <w14:solidFill>
              <w14:schemeClr w14:val="tx1"/>
            </w14:solidFill>
          </w14:textFill>
        </w:rPr>
        <w:t>3、</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提交地点：六安市叶集区人民医院（六安市第六人民医院）10楼小会议室。</w:t>
      </w:r>
    </w:p>
    <w:p w14:paraId="2917C717">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五、响应文件开启</w:t>
      </w:r>
      <w:bookmarkEnd w:id="28"/>
      <w:bookmarkEnd w:id="29"/>
      <w:bookmarkEnd w:id="30"/>
      <w:bookmarkEnd w:id="31"/>
      <w:bookmarkEnd w:id="32"/>
      <w:bookmarkEnd w:id="33"/>
    </w:p>
    <w:p w14:paraId="2E5C22A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w:t>
      </w:r>
      <w:r>
        <w:rPr>
          <w:rFonts w:hint="eastAsia" w:ascii="仿宋" w:hAnsi="仿宋" w:eastAsia="仿宋" w:cs="仿宋"/>
          <w:bCs/>
          <w:color w:val="000000" w:themeColor="text1"/>
          <w:sz w:val="28"/>
          <w:szCs w:val="28"/>
          <w:u w:val="single"/>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25</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u w:val="single"/>
          <w:lang w:val="en-US" w:eastAsia="zh-CN"/>
          <w14:textFill>
            <w14:solidFill>
              <w14:schemeClr w14:val="tx1"/>
            </w14:solidFill>
          </w14:textFill>
        </w:rPr>
        <w:t>15</w:t>
      </w:r>
      <w:r>
        <w:rPr>
          <w:rFonts w:hint="eastAsia" w:ascii="仿宋" w:hAnsi="仿宋" w:eastAsia="仿宋" w:cs="仿宋"/>
          <w:color w:val="000000" w:themeColor="text1"/>
          <w:sz w:val="28"/>
          <w:szCs w:val="28"/>
          <w:lang w:val="en-US" w:eastAsia="zh-CN"/>
          <w14:textFill>
            <w14:solidFill>
              <w14:schemeClr w14:val="tx1"/>
            </w14:solidFill>
          </w14:textFill>
        </w:rPr>
        <w:t>时</w:t>
      </w:r>
      <w:r>
        <w:rPr>
          <w:rFonts w:hint="eastAsia" w:ascii="仿宋" w:hAnsi="仿宋" w:eastAsia="仿宋" w:cs="仿宋"/>
          <w:color w:val="000000" w:themeColor="text1"/>
          <w:sz w:val="28"/>
          <w:szCs w:val="28"/>
          <w:u w:val="single"/>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分（北京时间）</w:t>
      </w:r>
    </w:p>
    <w:p w14:paraId="021875FA">
      <w:pPr>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bCs/>
          <w:color w:val="000000" w:themeColor="text1"/>
          <w:sz w:val="28"/>
          <w:szCs w:val="28"/>
          <w:lang w:eastAsia="zh-CN"/>
          <w14:textFill>
            <w14:solidFill>
              <w14:schemeClr w14:val="tx1"/>
            </w14:solidFill>
          </w14:textFill>
        </w:rPr>
        <w:t>地点：</w:t>
      </w:r>
      <w:r>
        <w:rPr>
          <w:rFonts w:hint="eastAsia" w:ascii="仿宋" w:hAnsi="仿宋" w:eastAsia="仿宋" w:cs="仿宋"/>
          <w:sz w:val="28"/>
          <w:szCs w:val="28"/>
        </w:rPr>
        <w:t>六安市叶集区人民医院（六安市第六人民医院）10楼小会议室。</w:t>
      </w:r>
    </w:p>
    <w:p w14:paraId="4A628879">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bookmarkStart w:id="34" w:name="_Toc35393803"/>
      <w:bookmarkStart w:id="35" w:name="_Toc15099"/>
      <w:bookmarkStart w:id="36" w:name="_Toc28359017"/>
      <w:bookmarkStart w:id="37" w:name="_Toc35393634"/>
      <w:bookmarkStart w:id="38" w:name="_Toc25132"/>
      <w:bookmarkStart w:id="39" w:name="_Toc28359094"/>
      <w:r>
        <w:rPr>
          <w:rFonts w:hint="eastAsia" w:ascii="黑体" w:hAnsi="黑体" w:cs="黑体"/>
          <w:b w:val="0"/>
          <w:bCs/>
          <w:color w:val="000000" w:themeColor="text1"/>
          <w:sz w:val="28"/>
          <w:szCs w:val="28"/>
          <w14:textFill>
            <w14:solidFill>
              <w14:schemeClr w14:val="tx1"/>
            </w14:solidFill>
          </w14:textFill>
        </w:rPr>
        <w:t>六、公告期限</w:t>
      </w:r>
      <w:bookmarkEnd w:id="34"/>
      <w:bookmarkEnd w:id="35"/>
      <w:bookmarkEnd w:id="36"/>
      <w:bookmarkEnd w:id="37"/>
      <w:bookmarkEnd w:id="38"/>
      <w:bookmarkEnd w:id="39"/>
    </w:p>
    <w:p w14:paraId="2A391E5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自本公告发布之日起</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个工作日。</w:t>
      </w:r>
    </w:p>
    <w:p w14:paraId="0BC4C89E">
      <w:pPr>
        <w:pageBreakBefore w:val="0"/>
        <w:kinsoku/>
        <w:wordWrap/>
        <w:overflowPunct/>
        <w:topLinePunct w:val="0"/>
        <w:autoSpaceDE/>
        <w:autoSpaceDN/>
        <w:bidi w:val="0"/>
        <w:adjustRightInd/>
        <w:snapToGrid/>
        <w:spacing w:line="560" w:lineRule="exact"/>
        <w:ind w:left="0" w:leftChars="0"/>
        <w:jc w:val="both"/>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w:t>
      </w:r>
      <w:bookmarkStart w:id="40" w:name="_Toc35393804"/>
      <w:bookmarkStart w:id="41" w:name="_Toc35393635"/>
      <w:r>
        <w:rPr>
          <w:rFonts w:hint="eastAsia" w:ascii="黑体" w:hAnsi="黑体" w:eastAsia="黑体" w:cs="黑体"/>
          <w:color w:val="000000" w:themeColor="text1"/>
          <w:sz w:val="28"/>
          <w:szCs w:val="28"/>
          <w14:textFill>
            <w14:solidFill>
              <w14:schemeClr w14:val="tx1"/>
            </w14:solidFill>
          </w14:textFill>
        </w:rPr>
        <w:t>其他事宜</w:t>
      </w:r>
      <w:bookmarkEnd w:id="40"/>
      <w:bookmarkEnd w:id="41"/>
      <w:bookmarkStart w:id="42" w:name="_Toc28359018"/>
      <w:bookmarkStart w:id="43" w:name="_Toc28359095"/>
      <w:bookmarkStart w:id="44" w:name="_Toc35393636"/>
      <w:bookmarkStart w:id="45" w:name="_Toc35393805"/>
    </w:p>
    <w:p w14:paraId="3B944F2A">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响应保证金：本项目无需提供。</w:t>
      </w:r>
    </w:p>
    <w:p w14:paraId="344091D2">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cs="黑体"/>
          <w:b w:val="0"/>
          <w:bCs/>
          <w:color w:val="000000" w:themeColor="text1"/>
          <w:sz w:val="28"/>
          <w:szCs w:val="28"/>
          <w14:textFill>
            <w14:solidFill>
              <w14:schemeClr w14:val="tx1"/>
            </w14:solidFill>
          </w14:textFill>
        </w:rPr>
      </w:pPr>
      <w:bookmarkStart w:id="46" w:name="_Toc21256"/>
      <w:bookmarkStart w:id="47" w:name="_Toc726"/>
    </w:p>
    <w:p w14:paraId="5A5F5B52">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hint="eastAsia" w:ascii="黑体" w:hAnsi="黑体" w:cs="黑体"/>
          <w:b w:val="0"/>
          <w:bCs/>
          <w:color w:val="000000" w:themeColor="text1"/>
          <w:sz w:val="28"/>
          <w:szCs w:val="28"/>
          <w14:textFill>
            <w14:solidFill>
              <w14:schemeClr w14:val="tx1"/>
            </w14:solidFill>
          </w14:textFill>
        </w:rPr>
      </w:pPr>
    </w:p>
    <w:p w14:paraId="2017CD83">
      <w:pPr>
        <w:rPr>
          <w:rFonts w:hint="eastAsia" w:ascii="黑体" w:hAnsi="黑体" w:cs="黑体"/>
          <w:b w:val="0"/>
          <w:bCs/>
          <w:color w:val="000000" w:themeColor="text1"/>
          <w:sz w:val="28"/>
          <w:szCs w:val="28"/>
          <w14:textFill>
            <w14:solidFill>
              <w14:schemeClr w14:val="tx1"/>
            </w14:solidFill>
          </w14:textFill>
        </w:rPr>
      </w:pPr>
    </w:p>
    <w:p w14:paraId="6FD8EFDD">
      <w:pPr>
        <w:pStyle w:val="2"/>
        <w:rPr>
          <w:rFonts w:hint="eastAsia"/>
        </w:rPr>
      </w:pPr>
    </w:p>
    <w:p w14:paraId="2689877D">
      <w:pPr>
        <w:pStyle w:val="7"/>
        <w:pageBreakBefore w:val="0"/>
        <w:kinsoku/>
        <w:wordWrap/>
        <w:overflowPunct/>
        <w:topLinePunct w:val="0"/>
        <w:autoSpaceDE/>
        <w:autoSpaceDN/>
        <w:bidi w:val="0"/>
        <w:adjustRightInd/>
        <w:snapToGrid/>
        <w:spacing w:before="0" w:after="0" w:line="560" w:lineRule="exact"/>
        <w:ind w:left="0" w:leftChars="0"/>
        <w:jc w:val="both"/>
        <w:textAlignment w:val="auto"/>
        <w:rPr>
          <w:rFonts w:ascii="黑体" w:hAnsi="黑体" w:cs="黑体"/>
          <w:b w:val="0"/>
          <w:bCs/>
          <w:color w:val="000000" w:themeColor="text1"/>
          <w:sz w:val="28"/>
          <w:szCs w:val="28"/>
          <w14:textFill>
            <w14:solidFill>
              <w14:schemeClr w14:val="tx1"/>
            </w14:solidFill>
          </w14:textFill>
        </w:rPr>
      </w:pPr>
      <w:r>
        <w:rPr>
          <w:rFonts w:hint="eastAsia" w:ascii="黑体" w:hAnsi="黑体" w:cs="黑体"/>
          <w:b w:val="0"/>
          <w:bCs/>
          <w:color w:val="000000" w:themeColor="text1"/>
          <w:sz w:val="28"/>
          <w:szCs w:val="28"/>
          <w14:textFill>
            <w14:solidFill>
              <w14:schemeClr w14:val="tx1"/>
            </w14:solidFill>
          </w14:textFill>
        </w:rPr>
        <w:t>八、凡对本次采购提出询问，请按以下方式联系。</w:t>
      </w:r>
      <w:bookmarkEnd w:id="42"/>
      <w:bookmarkEnd w:id="43"/>
      <w:bookmarkEnd w:id="44"/>
      <w:bookmarkEnd w:id="45"/>
      <w:bookmarkEnd w:id="46"/>
      <w:bookmarkEnd w:id="47"/>
    </w:p>
    <w:p w14:paraId="2EA565CA">
      <w:pPr>
        <w:pStyle w:val="7"/>
        <w:pageBreakBefore w:val="0"/>
        <w:kinsoku/>
        <w:wordWrap/>
        <w:overflowPunct/>
        <w:topLinePunct w:val="0"/>
        <w:autoSpaceDE/>
        <w:autoSpaceDN/>
        <w:bidi w:val="0"/>
        <w:adjustRightInd/>
        <w:snapToGrid/>
        <w:spacing w:before="0" w:after="0" w:line="560" w:lineRule="exact"/>
        <w:ind w:left="0" w:leftChars="0" w:firstLine="560" w:firstLineChars="200"/>
        <w:jc w:val="both"/>
        <w:textAlignment w:val="auto"/>
        <w:rPr>
          <w:rFonts w:ascii="仿宋" w:hAnsi="仿宋" w:eastAsia="仿宋" w:cs="仿宋"/>
          <w:b w:val="0"/>
          <w:bCs/>
          <w:color w:val="000000" w:themeColor="text1"/>
          <w:sz w:val="28"/>
          <w:szCs w:val="28"/>
          <w14:textFill>
            <w14:solidFill>
              <w14:schemeClr w14:val="tx1"/>
            </w14:solidFill>
          </w14:textFill>
        </w:rPr>
      </w:pPr>
      <w:bookmarkStart w:id="48" w:name="_Toc28359096"/>
      <w:bookmarkStart w:id="49" w:name="_Toc35393806"/>
      <w:bookmarkStart w:id="50" w:name="_Toc28359019"/>
      <w:bookmarkStart w:id="51" w:name="_Toc12167"/>
      <w:bookmarkStart w:id="52" w:name="_Toc15509"/>
      <w:bookmarkStart w:id="53" w:name="_Toc35393637"/>
      <w:r>
        <w:rPr>
          <w:rFonts w:hint="eastAsia" w:ascii="仿宋" w:hAnsi="仿宋" w:eastAsia="仿宋" w:cs="仿宋"/>
          <w:b w:val="0"/>
          <w:bCs/>
          <w:color w:val="000000" w:themeColor="text1"/>
          <w:sz w:val="28"/>
          <w:szCs w:val="28"/>
          <w14:textFill>
            <w14:solidFill>
              <w14:schemeClr w14:val="tx1"/>
            </w14:solidFill>
          </w14:textFill>
        </w:rPr>
        <w:t>1、采购人信息</w:t>
      </w:r>
      <w:bookmarkEnd w:id="48"/>
      <w:bookmarkEnd w:id="49"/>
      <w:bookmarkEnd w:id="50"/>
      <w:bookmarkEnd w:id="51"/>
      <w:bookmarkEnd w:id="52"/>
      <w:bookmarkEnd w:id="53"/>
    </w:p>
    <w:p w14:paraId="037B106F">
      <w:pPr>
        <w:pageBreakBefore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lang w:val="en-US" w:eastAsia="zh-CN" w:bidi="ar-SA"/>
          <w14:textFill>
            <w14:solidFill>
              <w14:schemeClr w14:val="tx1"/>
            </w14:solidFill>
          </w14:textFill>
        </w:rPr>
        <w:t>名    称：</w:t>
      </w:r>
      <w:r>
        <w:rPr>
          <w:rFonts w:hint="eastAsia" w:ascii="仿宋" w:hAnsi="仿宋" w:eastAsia="仿宋" w:cs="仿宋"/>
          <w:bCs/>
          <w:sz w:val="28"/>
          <w:szCs w:val="28"/>
        </w:rPr>
        <w:t>六安市叶集区人民医院（六安市第六人民医院）</w:t>
      </w:r>
    </w:p>
    <w:p w14:paraId="78A8F4C5">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地    址：</w:t>
      </w:r>
      <w:r>
        <w:rPr>
          <w:rFonts w:hint="eastAsia" w:ascii="仿宋" w:hAnsi="仿宋" w:eastAsia="仿宋" w:cs="仿宋"/>
          <w:bCs/>
          <w:sz w:val="28"/>
          <w:szCs w:val="28"/>
        </w:rPr>
        <w:t>六安市叶集区民强北路与兴叶大道交叉口</w:t>
      </w:r>
    </w:p>
    <w:p w14:paraId="2516A181">
      <w:pPr>
        <w:pageBreakBefore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联系方式：</w:t>
      </w:r>
      <w:bookmarkStart w:id="54" w:name="_Toc35393807"/>
      <w:bookmarkStart w:id="55" w:name="_Toc28359097"/>
      <w:bookmarkStart w:id="56" w:name="_Toc35393638"/>
      <w:bookmarkStart w:id="57" w:name="_Toc28359020"/>
      <w:r>
        <w:rPr>
          <w:rFonts w:ascii="仿宋" w:hAnsi="仿宋" w:eastAsia="仿宋" w:cs="仿宋"/>
          <w:bCs/>
          <w:sz w:val="28"/>
          <w:szCs w:val="28"/>
        </w:rPr>
        <w:t>0564-6488125</w:t>
      </w:r>
    </w:p>
    <w:bookmarkEnd w:id="54"/>
    <w:bookmarkEnd w:id="55"/>
    <w:bookmarkEnd w:id="56"/>
    <w:bookmarkEnd w:id="57"/>
    <w:p w14:paraId="291ADA86">
      <w:pPr>
        <w:pStyle w:val="2"/>
        <w:pageBreakBefore w:val="0"/>
        <w:kinsoku/>
        <w:wordWrap/>
        <w:overflowPunct/>
        <w:topLinePunct w:val="0"/>
        <w:autoSpaceDE/>
        <w:autoSpaceDN/>
        <w:bidi w:val="0"/>
        <w:adjustRightInd/>
        <w:snapToGrid/>
        <w:spacing w:after="0" w:line="560" w:lineRule="exact"/>
        <w:ind w:left="0" w:leftChars="0" w:firstLine="0"/>
        <w:jc w:val="both"/>
        <w:textAlignment w:val="auto"/>
        <w:rPr>
          <w:rFonts w:ascii="仿宋" w:hAnsi="仿宋" w:eastAsia="仿宋" w:cs="仿宋"/>
          <w:bCs/>
          <w:color w:val="000000" w:themeColor="text1"/>
          <w:sz w:val="28"/>
          <w:szCs w:val="28"/>
          <w14:textFill>
            <w14:solidFill>
              <w14:schemeClr w14:val="tx1"/>
            </w14:solidFill>
          </w14:textFill>
        </w:rPr>
      </w:pPr>
    </w:p>
    <w:p w14:paraId="39A13020">
      <w:pPr>
        <w:pStyle w:val="2"/>
        <w:ind w:firstLine="0"/>
        <w:rPr>
          <w:rFonts w:ascii="仿宋" w:hAnsi="仿宋" w:eastAsia="仿宋" w:cs="仿宋"/>
          <w:bCs/>
          <w:color w:val="000000" w:themeColor="text1"/>
          <w:sz w:val="28"/>
          <w:szCs w:val="28"/>
          <w14:textFill>
            <w14:solidFill>
              <w14:schemeClr w14:val="tx1"/>
            </w14:solidFill>
          </w14:textFill>
        </w:rPr>
      </w:pPr>
    </w:p>
    <w:p w14:paraId="71D87AA0">
      <w:pPr>
        <w:ind w:firstLine="5880" w:firstLineChars="21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2025</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lang w:val="en-US" w:eastAsia="zh-CN"/>
          <w14:textFill>
            <w14:solidFill>
              <w14:schemeClr w14:val="tx1"/>
            </w14:solidFill>
          </w14:textFill>
        </w:rPr>
        <w:t>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lang w:val="en-US" w:eastAsia="zh-CN"/>
          <w14:textFill>
            <w14:solidFill>
              <w14:schemeClr w14:val="tx1"/>
            </w14:solidFill>
          </w14:textFill>
        </w:rPr>
        <w:t>22</w:t>
      </w:r>
      <w:r>
        <w:rPr>
          <w:rFonts w:hint="eastAsia" w:ascii="仿宋" w:hAnsi="仿宋" w:eastAsia="仿宋" w:cs="仿宋"/>
          <w:bCs/>
          <w:color w:val="000000" w:themeColor="text1"/>
          <w:sz w:val="28"/>
          <w:szCs w:val="28"/>
          <w14:textFill>
            <w14:solidFill>
              <w14:schemeClr w14:val="tx1"/>
            </w14:solidFill>
          </w14:textFill>
        </w:rPr>
        <w:t>日</w:t>
      </w:r>
    </w:p>
    <w:p w14:paraId="10DFEC28">
      <w:pPr>
        <w:pStyle w:val="2"/>
        <w:rPr>
          <w:rFonts w:hint="eastAsia" w:ascii="仿宋" w:hAnsi="仿宋" w:eastAsia="仿宋" w:cs="仿宋"/>
          <w:bCs/>
          <w:color w:val="000000" w:themeColor="text1"/>
          <w:sz w:val="28"/>
          <w:szCs w:val="28"/>
          <w14:textFill>
            <w14:solidFill>
              <w14:schemeClr w14:val="tx1"/>
            </w14:solidFill>
          </w14:textFill>
        </w:rPr>
      </w:pPr>
    </w:p>
    <w:p w14:paraId="6622A262">
      <w:pPr>
        <w:pStyle w:val="35"/>
        <w:rPr>
          <w:rFonts w:hint="eastAsia" w:ascii="仿宋" w:hAnsi="仿宋" w:eastAsia="仿宋" w:cs="仿宋"/>
          <w:bCs/>
          <w:color w:val="000000" w:themeColor="text1"/>
          <w:sz w:val="28"/>
          <w:szCs w:val="28"/>
          <w14:textFill>
            <w14:solidFill>
              <w14:schemeClr w14:val="tx1"/>
            </w14:solidFill>
          </w14:textFill>
        </w:rPr>
      </w:pPr>
    </w:p>
    <w:p w14:paraId="18C3FFF9">
      <w:pPr>
        <w:rPr>
          <w:rFonts w:hint="eastAsia" w:ascii="仿宋" w:hAnsi="仿宋" w:eastAsia="仿宋" w:cs="仿宋"/>
          <w:bCs/>
          <w:color w:val="000000" w:themeColor="text1"/>
          <w:sz w:val="28"/>
          <w:szCs w:val="28"/>
          <w14:textFill>
            <w14:solidFill>
              <w14:schemeClr w14:val="tx1"/>
            </w14:solidFill>
          </w14:textFill>
        </w:rPr>
      </w:pPr>
    </w:p>
    <w:p w14:paraId="3B6F1FD0">
      <w:pPr>
        <w:pStyle w:val="2"/>
        <w:rPr>
          <w:rFonts w:hint="eastAsia" w:ascii="仿宋" w:hAnsi="仿宋" w:eastAsia="仿宋" w:cs="仿宋"/>
          <w:bCs/>
          <w:color w:val="000000" w:themeColor="text1"/>
          <w:sz w:val="28"/>
          <w:szCs w:val="28"/>
          <w14:textFill>
            <w14:solidFill>
              <w14:schemeClr w14:val="tx1"/>
            </w14:solidFill>
          </w14:textFill>
        </w:rPr>
      </w:pPr>
    </w:p>
    <w:p w14:paraId="01ECCE91">
      <w:pPr>
        <w:pStyle w:val="35"/>
        <w:rPr>
          <w:rFonts w:hint="eastAsia" w:ascii="仿宋" w:hAnsi="仿宋" w:eastAsia="仿宋" w:cs="仿宋"/>
          <w:bCs/>
          <w:color w:val="000000" w:themeColor="text1"/>
          <w:sz w:val="28"/>
          <w:szCs w:val="28"/>
          <w14:textFill>
            <w14:solidFill>
              <w14:schemeClr w14:val="tx1"/>
            </w14:solidFill>
          </w14:textFill>
        </w:rPr>
      </w:pPr>
    </w:p>
    <w:p w14:paraId="6DB009D1">
      <w:pPr>
        <w:rPr>
          <w:rFonts w:hint="eastAsia" w:ascii="仿宋" w:hAnsi="仿宋" w:eastAsia="仿宋" w:cs="仿宋"/>
          <w:bCs/>
          <w:color w:val="000000" w:themeColor="text1"/>
          <w:sz w:val="28"/>
          <w:szCs w:val="28"/>
          <w14:textFill>
            <w14:solidFill>
              <w14:schemeClr w14:val="tx1"/>
            </w14:solidFill>
          </w14:textFill>
        </w:rPr>
      </w:pPr>
    </w:p>
    <w:p w14:paraId="7B7B681F">
      <w:pPr>
        <w:pStyle w:val="2"/>
        <w:rPr>
          <w:rFonts w:hint="eastAsia" w:ascii="仿宋" w:hAnsi="仿宋" w:eastAsia="仿宋" w:cs="仿宋"/>
          <w:bCs/>
          <w:color w:val="000000" w:themeColor="text1"/>
          <w:sz w:val="28"/>
          <w:szCs w:val="28"/>
          <w14:textFill>
            <w14:solidFill>
              <w14:schemeClr w14:val="tx1"/>
            </w14:solidFill>
          </w14:textFill>
        </w:rPr>
      </w:pPr>
    </w:p>
    <w:p w14:paraId="1672DFE7">
      <w:pPr>
        <w:pStyle w:val="35"/>
        <w:rPr>
          <w:rFonts w:hint="eastAsia" w:ascii="仿宋" w:hAnsi="仿宋" w:eastAsia="仿宋" w:cs="仿宋"/>
          <w:bCs/>
          <w:color w:val="000000" w:themeColor="text1"/>
          <w:sz w:val="28"/>
          <w:szCs w:val="28"/>
          <w14:textFill>
            <w14:solidFill>
              <w14:schemeClr w14:val="tx1"/>
            </w14:solidFill>
          </w14:textFill>
        </w:rPr>
      </w:pPr>
    </w:p>
    <w:p w14:paraId="1930990C">
      <w:pPr>
        <w:rPr>
          <w:rFonts w:hint="eastAsia" w:ascii="仿宋" w:hAnsi="仿宋" w:eastAsia="仿宋" w:cs="仿宋"/>
          <w:bCs/>
          <w:color w:val="000000" w:themeColor="text1"/>
          <w:sz w:val="28"/>
          <w:szCs w:val="28"/>
          <w14:textFill>
            <w14:solidFill>
              <w14:schemeClr w14:val="tx1"/>
            </w14:solidFill>
          </w14:textFill>
        </w:rPr>
      </w:pPr>
    </w:p>
    <w:p w14:paraId="14C11D68">
      <w:pPr>
        <w:pStyle w:val="2"/>
        <w:rPr>
          <w:rFonts w:hint="eastAsia" w:ascii="仿宋" w:hAnsi="仿宋" w:eastAsia="仿宋" w:cs="仿宋"/>
          <w:bCs/>
          <w:color w:val="000000" w:themeColor="text1"/>
          <w:sz w:val="28"/>
          <w:szCs w:val="28"/>
          <w14:textFill>
            <w14:solidFill>
              <w14:schemeClr w14:val="tx1"/>
            </w14:solidFill>
          </w14:textFill>
        </w:rPr>
      </w:pPr>
    </w:p>
    <w:p w14:paraId="792A8861">
      <w:pPr>
        <w:pStyle w:val="35"/>
        <w:rPr>
          <w:rFonts w:hint="eastAsia" w:ascii="仿宋" w:hAnsi="仿宋" w:eastAsia="仿宋" w:cs="仿宋"/>
          <w:bCs/>
          <w:color w:val="000000" w:themeColor="text1"/>
          <w:sz w:val="28"/>
          <w:szCs w:val="28"/>
          <w14:textFill>
            <w14:solidFill>
              <w14:schemeClr w14:val="tx1"/>
            </w14:solidFill>
          </w14:textFill>
        </w:rPr>
      </w:pPr>
    </w:p>
    <w:p w14:paraId="7F190A8B">
      <w:pPr>
        <w:rPr>
          <w:rFonts w:hint="eastAsia" w:ascii="仿宋" w:hAnsi="仿宋" w:eastAsia="仿宋" w:cs="仿宋"/>
          <w:bCs/>
          <w:color w:val="000000" w:themeColor="text1"/>
          <w:sz w:val="28"/>
          <w:szCs w:val="28"/>
          <w14:textFill>
            <w14:solidFill>
              <w14:schemeClr w14:val="tx1"/>
            </w14:solidFill>
          </w14:textFill>
        </w:rPr>
      </w:pPr>
    </w:p>
    <w:p w14:paraId="01E44D14">
      <w:pPr>
        <w:pStyle w:val="2"/>
        <w:rPr>
          <w:rFonts w:hint="eastAsia" w:ascii="仿宋" w:hAnsi="仿宋" w:eastAsia="仿宋" w:cs="仿宋"/>
          <w:bCs/>
          <w:color w:val="000000" w:themeColor="text1"/>
          <w:sz w:val="28"/>
          <w:szCs w:val="28"/>
          <w14:textFill>
            <w14:solidFill>
              <w14:schemeClr w14:val="tx1"/>
            </w14:solidFill>
          </w14:textFill>
        </w:rPr>
      </w:pPr>
    </w:p>
    <w:p w14:paraId="05341A5C">
      <w:pPr>
        <w:rPr>
          <w:rFonts w:hint="eastAsia" w:ascii="宋体" w:hAnsi="宋体" w:eastAsia="宋体" w:cs="宋体"/>
          <w:color w:val="000000" w:themeColor="text1"/>
          <w:sz w:val="28"/>
          <w:szCs w:val="28"/>
          <w14:textFill>
            <w14:solidFill>
              <w14:schemeClr w14:val="tx1"/>
            </w14:solidFill>
          </w14:textFill>
        </w:rPr>
      </w:pPr>
      <w:bookmarkStart w:id="58" w:name="_Toc16403"/>
      <w:r>
        <w:rPr>
          <w:rFonts w:hint="eastAsia" w:ascii="宋体" w:hAnsi="宋体" w:eastAsia="宋体" w:cs="宋体"/>
          <w:color w:val="000000" w:themeColor="text1"/>
          <w:sz w:val="28"/>
          <w:szCs w:val="28"/>
          <w14:textFill>
            <w14:solidFill>
              <w14:schemeClr w14:val="tx1"/>
            </w14:solidFill>
          </w14:textFill>
        </w:rPr>
        <w:br w:type="page"/>
      </w:r>
    </w:p>
    <w:p w14:paraId="05BEEF9C">
      <w:pPr>
        <w:pStyle w:val="7"/>
        <w:spacing w:before="120" w:beforeLines="50" w:after="120" w:afterLines="50"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一、供应商须知</w:t>
      </w:r>
      <w:bookmarkEnd w:id="0"/>
      <w:bookmarkEnd w:id="1"/>
      <w:bookmarkEnd w:id="58"/>
    </w:p>
    <w:p w14:paraId="30FA7EE2">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59" w:name="_Toc13653"/>
      <w:r>
        <w:rPr>
          <w:rFonts w:hint="eastAsia" w:ascii="宋体" w:hAnsi="宋体" w:eastAsia="宋体" w:cs="宋体"/>
          <w:color w:val="000000" w:themeColor="text1"/>
          <w:sz w:val="24"/>
          <w:szCs w:val="24"/>
          <w14:textFill>
            <w14:solidFill>
              <w14:schemeClr w14:val="tx1"/>
            </w14:solidFill>
          </w14:textFill>
        </w:rPr>
        <w:t>（一）须知前附表</w:t>
      </w:r>
      <w:bookmarkEnd w:id="59"/>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827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354A4DA">
            <w:pPr>
              <w:spacing w:line="440" w:lineRule="exact"/>
              <w:jc w:val="center"/>
              <w:rPr>
                <w:rFonts w:ascii="宋体" w:hAnsi="宋体"/>
                <w:b/>
                <w:color w:val="000000" w:themeColor="text1"/>
                <w:sz w:val="24"/>
                <w:szCs w:val="24"/>
                <w14:textFill>
                  <w14:solidFill>
                    <w14:schemeClr w14:val="tx1"/>
                  </w14:solidFill>
                </w14:textFill>
              </w:rPr>
            </w:pPr>
            <w:bookmarkStart w:id="60" w:name="_Toc363199267"/>
            <w:bookmarkStart w:id="61" w:name="_Toc438107743"/>
            <w:bookmarkStart w:id="62" w:name="_Toc216158627"/>
            <w:r>
              <w:rPr>
                <w:rFonts w:hint="eastAsia" w:ascii="宋体" w:hAnsi="宋体"/>
                <w:b/>
                <w:color w:val="000000" w:themeColor="text1"/>
                <w:sz w:val="24"/>
                <w:szCs w:val="24"/>
                <w14:textFill>
                  <w14:solidFill>
                    <w14:schemeClr w14:val="tx1"/>
                  </w14:solidFill>
                </w14:textFill>
              </w:rPr>
              <w:t>序号</w:t>
            </w:r>
          </w:p>
        </w:tc>
        <w:tc>
          <w:tcPr>
            <w:tcW w:w="1502" w:type="dxa"/>
            <w:vAlign w:val="center"/>
          </w:tcPr>
          <w:p w14:paraId="070D891F">
            <w:pPr>
              <w:spacing w:line="44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7308" w:type="dxa"/>
            <w:vAlign w:val="center"/>
          </w:tcPr>
          <w:p w14:paraId="584D69B8">
            <w:pPr>
              <w:bidi w:val="0"/>
              <w:jc w:val="center"/>
              <w:rPr>
                <w:bCs w:val="0"/>
                <w:color w:val="000000" w:themeColor="text1"/>
                <w:kern w:val="2"/>
                <w:szCs w:val="24"/>
                <w14:textFill>
                  <w14:solidFill>
                    <w14:schemeClr w14:val="tx1"/>
                  </w14:solidFill>
                </w14:textFill>
              </w:rPr>
            </w:pPr>
            <w:r>
              <w:rPr>
                <w:rFonts w:hint="eastAsia"/>
                <w:b/>
                <w:bCs/>
                <w:color w:val="000000" w:themeColor="text1"/>
                <w:sz w:val="24"/>
                <w:szCs w:val="24"/>
                <w14:textFill>
                  <w14:solidFill>
                    <w14:schemeClr w14:val="tx1"/>
                  </w14:solidFill>
                </w14:textFill>
              </w:rPr>
              <w:t>说明与要求</w:t>
            </w:r>
          </w:p>
        </w:tc>
      </w:tr>
      <w:tr w14:paraId="05BD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6FDE7062">
            <w:pPr>
              <w:pStyle w:val="98"/>
              <w:pBdr>
                <w:bottom w:val="none" w:color="auto" w:sz="0" w:space="0"/>
              </w:pBdr>
              <w:tabs>
                <w:tab w:val="clear" w:pos="4153"/>
                <w:tab w:val="clear" w:pos="8306"/>
              </w:tabs>
              <w:adjustRightInd/>
              <w:spacing w:line="440" w:lineRule="exact"/>
              <w:textAlignment w:val="auto"/>
              <w:rPr>
                <w:rFonts w:ascii="宋体" w:hAnsi="宋体"/>
                <w:b/>
                <w:color w:val="000000" w:themeColor="text1"/>
                <w:kern w:val="2"/>
                <w:szCs w:val="24"/>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p>
        </w:tc>
        <w:tc>
          <w:tcPr>
            <w:tcW w:w="1502" w:type="dxa"/>
            <w:vAlign w:val="center"/>
          </w:tcPr>
          <w:p w14:paraId="2265CA16">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w:t>
            </w:r>
          </w:p>
        </w:tc>
        <w:tc>
          <w:tcPr>
            <w:tcW w:w="7308" w:type="dxa"/>
            <w:vAlign w:val="center"/>
          </w:tcPr>
          <w:p w14:paraId="7A550EA8">
            <w:pPr>
              <w:pageBreakBefore w:val="0"/>
              <w:kinsoku/>
              <w:wordWrap/>
              <w:overflowPunct/>
              <w:topLinePunct w:val="0"/>
              <w:autoSpaceDE/>
              <w:autoSpaceDN/>
              <w:bidi w:val="0"/>
              <w:adjustRightInd/>
              <w:snapToGrid/>
              <w:spacing w:line="420" w:lineRule="exact"/>
              <w:textAlignment w:val="auto"/>
              <w:rPr>
                <w:rFonts w:hint="eastAsia" w:eastAsia="宋体"/>
                <w:color w:val="000000" w:themeColor="text1"/>
                <w:sz w:val="24"/>
                <w:szCs w:val="24"/>
                <w:lang w:eastAsia="zh-CN"/>
                <w14:textFill>
                  <w14:solidFill>
                    <w14:schemeClr w14:val="tx1"/>
                  </w14:solidFill>
                </w14:textFill>
              </w:rPr>
            </w:pPr>
            <w:r>
              <w:rPr>
                <w:rFonts w:hint="eastAsia"/>
                <w:sz w:val="24"/>
                <w:szCs w:val="24"/>
              </w:rPr>
              <w:t>六安市叶集区人民医院（六安市第六人民医院）</w:t>
            </w:r>
          </w:p>
        </w:tc>
      </w:tr>
      <w:tr w14:paraId="4374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7905997">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2</w:t>
            </w:r>
          </w:p>
        </w:tc>
        <w:tc>
          <w:tcPr>
            <w:tcW w:w="1502" w:type="dxa"/>
            <w:vAlign w:val="center"/>
          </w:tcPr>
          <w:p w14:paraId="2E13EC35">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7308" w:type="dxa"/>
            <w:vAlign w:val="center"/>
          </w:tcPr>
          <w:p w14:paraId="7CF60FFA">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w:t>
            </w:r>
            <w:r>
              <w:rPr>
                <w:rFonts w:hint="eastAsia" w:ascii="宋体" w:hAnsi="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val="en-US" w:eastAsia="zh-CN"/>
                <w14:textFill>
                  <w14:solidFill>
                    <w14:schemeClr w14:val="tx1"/>
                  </w14:solidFill>
                </w14:textFill>
              </w:rPr>
              <w:t>截止日后30天</w:t>
            </w:r>
          </w:p>
        </w:tc>
      </w:tr>
      <w:tr w14:paraId="5CB4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40A1EE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3</w:t>
            </w:r>
          </w:p>
        </w:tc>
        <w:tc>
          <w:tcPr>
            <w:tcW w:w="1502" w:type="dxa"/>
            <w:vAlign w:val="center"/>
          </w:tcPr>
          <w:p w14:paraId="757B59A4">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项目类型</w:t>
            </w:r>
          </w:p>
        </w:tc>
        <w:tc>
          <w:tcPr>
            <w:tcW w:w="7308" w:type="dxa"/>
            <w:vAlign w:val="center"/>
          </w:tcPr>
          <w:p w14:paraId="49A73F5B">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服务类</w:t>
            </w:r>
          </w:p>
        </w:tc>
      </w:tr>
      <w:tr w14:paraId="6B8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4" w:hRule="atLeast"/>
          <w:jc w:val="center"/>
        </w:trPr>
        <w:tc>
          <w:tcPr>
            <w:tcW w:w="804" w:type="dxa"/>
            <w:vAlign w:val="center"/>
          </w:tcPr>
          <w:p w14:paraId="3A080A84">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4</w:t>
            </w:r>
          </w:p>
        </w:tc>
        <w:tc>
          <w:tcPr>
            <w:tcW w:w="1502" w:type="dxa"/>
            <w:vAlign w:val="center"/>
          </w:tcPr>
          <w:p w14:paraId="1AA37B02">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7308" w:type="dxa"/>
            <w:vAlign w:val="center"/>
          </w:tcPr>
          <w:p w14:paraId="74A53DBC">
            <w:p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b w:val="0"/>
                <w:bCs w:val="0"/>
                <w:sz w:val="24"/>
                <w:szCs w:val="24"/>
              </w:rPr>
              <w:t>六安市叶集区人民医院（市六院）</w:t>
            </w:r>
            <w:r>
              <w:rPr>
                <w:rFonts w:hint="eastAsia"/>
                <w:b w:val="0"/>
                <w:bCs w:val="0"/>
                <w:sz w:val="24"/>
                <w:szCs w:val="24"/>
                <w:lang w:val="en-US" w:eastAsia="zh-CN"/>
              </w:rPr>
              <w:t>消防维保服务项目（二次）</w:t>
            </w:r>
          </w:p>
        </w:tc>
      </w:tr>
      <w:tr w14:paraId="1C4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B15D5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5</w:t>
            </w:r>
          </w:p>
        </w:tc>
        <w:tc>
          <w:tcPr>
            <w:tcW w:w="1502" w:type="dxa"/>
            <w:vAlign w:val="center"/>
          </w:tcPr>
          <w:p w14:paraId="6439AAC6">
            <w:pPr>
              <w:spacing w:line="440" w:lineRule="exact"/>
              <w:jc w:val="cente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项目编号</w:t>
            </w:r>
          </w:p>
        </w:tc>
        <w:tc>
          <w:tcPr>
            <w:tcW w:w="7308" w:type="dxa"/>
            <w:vAlign w:val="center"/>
          </w:tcPr>
          <w:p w14:paraId="26F6FE24">
            <w:pPr>
              <w:bidi w:val="0"/>
              <w:rPr>
                <w:rFonts w:hint="default" w:ascii="宋体" w:hAnsi="宋体" w:eastAsia="宋体" w:cs="宋体"/>
                <w:b w:val="0"/>
                <w:bCs w:val="0"/>
                <w:color w:val="000000" w:themeColor="text1"/>
                <w:kern w:val="0"/>
                <w:szCs w:val="24"/>
                <w:lang w:val="en-US" w:eastAsia="zh-CN" w:bidi="ar-SA"/>
                <w14:textFill>
                  <w14:solidFill>
                    <w14:schemeClr w14:val="tx1"/>
                  </w14:solidFill>
                </w14:textFill>
              </w:rPr>
            </w:pPr>
            <w:r>
              <w:rPr>
                <w:rFonts w:hint="default"/>
                <w:b w:val="0"/>
                <w:bCs w:val="0"/>
                <w:sz w:val="24"/>
                <w:szCs w:val="24"/>
                <w:lang w:val="en-US" w:eastAsia="zh-CN"/>
              </w:rPr>
              <w:t>YJLY-202512</w:t>
            </w:r>
            <w:r>
              <w:rPr>
                <w:rFonts w:hint="eastAsia"/>
                <w:b w:val="0"/>
                <w:bCs w:val="0"/>
                <w:sz w:val="24"/>
                <w:szCs w:val="24"/>
                <w:lang w:val="en-US" w:eastAsia="zh-CN"/>
              </w:rPr>
              <w:t>22</w:t>
            </w:r>
            <w:r>
              <w:rPr>
                <w:rFonts w:hint="default"/>
                <w:b w:val="0"/>
                <w:bCs w:val="0"/>
                <w:sz w:val="24"/>
                <w:szCs w:val="24"/>
                <w:lang w:val="en-US" w:eastAsia="zh-CN"/>
              </w:rPr>
              <w:t>XF</w:t>
            </w:r>
          </w:p>
        </w:tc>
      </w:tr>
      <w:tr w14:paraId="6F2D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21" w:hRule="atLeast"/>
          <w:jc w:val="center"/>
        </w:trPr>
        <w:tc>
          <w:tcPr>
            <w:tcW w:w="804" w:type="dxa"/>
            <w:vAlign w:val="center"/>
          </w:tcPr>
          <w:p w14:paraId="5335FEA5">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6</w:t>
            </w:r>
          </w:p>
        </w:tc>
        <w:tc>
          <w:tcPr>
            <w:tcW w:w="1502" w:type="dxa"/>
            <w:vAlign w:val="center"/>
          </w:tcPr>
          <w:p w14:paraId="40D01A31">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308" w:type="dxa"/>
            <w:vAlign w:val="center"/>
          </w:tcPr>
          <w:p w14:paraId="3FA573D2">
            <w:pPr>
              <w:spacing w:line="440" w:lineRule="exact"/>
              <w:jc w:val="left"/>
              <w:rPr>
                <w:rFonts w:hint="default" w:ascii="宋体" w:eastAsia="宋体" w:cs="宋体"/>
                <w:bCs/>
                <w:sz w:val="24"/>
                <w:szCs w:val="24"/>
                <w:lang w:val="en-US" w:eastAsia="zh-CN"/>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bCs/>
                <w:sz w:val="24"/>
                <w:szCs w:val="24"/>
                <w:lang w:val="en-US" w:eastAsia="zh-CN"/>
              </w:rPr>
              <w:t>合同期一年，根据服务情况，服务合格的，一年一付</w:t>
            </w:r>
          </w:p>
          <w:p w14:paraId="35055B15">
            <w:pPr>
              <w:bidi w:val="0"/>
              <w:rPr>
                <w:rFonts w:hint="eastAsia" w:ascii="宋体" w:hAnsi="宋体" w:eastAsia="宋体" w:cs="宋体"/>
                <w:b w:val="0"/>
                <w:bCs w:val="0"/>
                <w:color w:val="000000" w:themeColor="text1"/>
                <w:kern w:val="0"/>
                <w:szCs w:val="24"/>
                <w:lang w:val="en-US" w:eastAsia="zh-CN" w:bidi="ar-SA"/>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（供应商提交的响应文件中如有关于付款条件的表述与谈判文件规定不符，将被视为实质性不响应，将导致响应无效）</w:t>
            </w:r>
          </w:p>
        </w:tc>
      </w:tr>
      <w:tr w14:paraId="76B6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933B5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7</w:t>
            </w:r>
          </w:p>
        </w:tc>
        <w:tc>
          <w:tcPr>
            <w:tcW w:w="1502" w:type="dxa"/>
            <w:vAlign w:val="center"/>
          </w:tcPr>
          <w:p w14:paraId="1E108E1C">
            <w:pPr>
              <w:spacing w:line="44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w:t>
            </w:r>
          </w:p>
        </w:tc>
        <w:tc>
          <w:tcPr>
            <w:tcW w:w="7308" w:type="dxa"/>
            <w:vAlign w:val="center"/>
          </w:tcPr>
          <w:p w14:paraId="1B90D90D">
            <w:pPr>
              <w:bidi w:val="0"/>
              <w:rPr>
                <w:rFonts w:hint="default" w:eastAsia="宋体"/>
                <w:b w:val="0"/>
                <w:bCs w:val="0"/>
                <w:color w:val="000000" w:themeColor="text1"/>
                <w:szCs w:val="24"/>
                <w:lang w:val="en-US" w:eastAsia="zh-CN"/>
                <w14:textFill>
                  <w14:solidFill>
                    <w14:schemeClr w14:val="tx1"/>
                  </w14:solidFill>
                </w14:textFill>
              </w:rPr>
            </w:pPr>
            <w:r>
              <w:rPr>
                <w:rFonts w:hint="eastAsia"/>
                <w:b w:val="0"/>
                <w:bCs w:val="0"/>
                <w:sz w:val="24"/>
                <w:szCs w:val="24"/>
              </w:rPr>
              <w:t>合同签订之日</w:t>
            </w:r>
            <w:r>
              <w:rPr>
                <w:rFonts w:hint="eastAsia"/>
                <w:b w:val="0"/>
                <w:bCs w:val="0"/>
                <w:sz w:val="24"/>
                <w:szCs w:val="24"/>
                <w:highlight w:val="none"/>
              </w:rPr>
              <w:t>起</w:t>
            </w:r>
            <w:r>
              <w:rPr>
                <w:rFonts w:hint="eastAsia"/>
                <w:b w:val="0"/>
                <w:bCs w:val="0"/>
                <w:sz w:val="24"/>
                <w:szCs w:val="24"/>
                <w:highlight w:val="none"/>
                <w:lang w:val="en-US" w:eastAsia="zh-CN"/>
              </w:rPr>
              <w:t>一年，根据服务情况续签，续签最多不超过两次</w:t>
            </w:r>
          </w:p>
        </w:tc>
      </w:tr>
      <w:tr w14:paraId="42A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C49CAD4">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8</w:t>
            </w:r>
          </w:p>
        </w:tc>
        <w:tc>
          <w:tcPr>
            <w:tcW w:w="1502" w:type="dxa"/>
            <w:vAlign w:val="center"/>
          </w:tcPr>
          <w:p w14:paraId="45F5C6DA">
            <w:pPr>
              <w:spacing w:line="360" w:lineRule="auto"/>
              <w:jc w:val="left"/>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履约保证金</w:t>
            </w:r>
          </w:p>
        </w:tc>
        <w:tc>
          <w:tcPr>
            <w:tcW w:w="7308" w:type="dxa"/>
            <w:vAlign w:val="center"/>
          </w:tcPr>
          <w:p w14:paraId="5385D70F">
            <w:pPr>
              <w:spacing w:line="360" w:lineRule="auto"/>
              <w:jc w:val="left"/>
              <w:rPr>
                <w:rFonts w:hint="eastAsia" w:ascii="宋体" w:hAnsi="宋体" w:eastAsia="宋体"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Times New Roman"/>
                <w:b w:val="0"/>
                <w:bCs w:val="0"/>
                <w:color w:val="000000" w:themeColor="text1"/>
                <w:sz w:val="24"/>
                <w:szCs w:val="24"/>
                <w:lang w:val="en-US" w:eastAsia="zh-CN"/>
                <w14:textFill>
                  <w14:solidFill>
                    <w14:schemeClr w14:val="tx1"/>
                  </w14:solidFill>
                </w14:textFill>
              </w:rPr>
              <w:t>无</w:t>
            </w:r>
          </w:p>
        </w:tc>
      </w:tr>
      <w:tr w14:paraId="331F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1B45EF3">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9</w:t>
            </w:r>
          </w:p>
        </w:tc>
        <w:tc>
          <w:tcPr>
            <w:tcW w:w="1502" w:type="dxa"/>
            <w:vAlign w:val="center"/>
          </w:tcPr>
          <w:p w14:paraId="1E2E160C">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勘察及对接</w:t>
            </w:r>
          </w:p>
        </w:tc>
        <w:tc>
          <w:tcPr>
            <w:tcW w:w="7308" w:type="dxa"/>
            <w:vAlign w:val="center"/>
          </w:tcPr>
          <w:p w14:paraId="28B0E3A2">
            <w:pPr>
              <w:pStyle w:val="98"/>
              <w:pBdr>
                <w:bottom w:val="none" w:color="auto" w:sz="0" w:space="0"/>
              </w:pBdr>
              <w:tabs>
                <w:tab w:val="clear" w:pos="4153"/>
                <w:tab w:val="clear" w:pos="8306"/>
              </w:tabs>
              <w:adjustRightInd/>
              <w:spacing w:line="400" w:lineRule="exact"/>
              <w:jc w:val="both"/>
              <w:textAlignment w:val="auto"/>
              <w:rPr>
                <w:rFonts w:ascii="宋体" w:hAnsi="宋体"/>
                <w:bCs/>
                <w:color w:val="000000" w:themeColor="text1"/>
                <w:kern w:val="2"/>
                <w:szCs w:val="24"/>
                <w14:textFill>
                  <w14:solidFill>
                    <w14:schemeClr w14:val="tx1"/>
                  </w14:solidFill>
                </w14:textFill>
              </w:rPr>
            </w:pPr>
            <w:r>
              <w:rPr>
                <w:rFonts w:hint="eastAsia" w:ascii="宋体" w:hAnsi="宋体" w:cs="宋体"/>
                <w:bCs/>
                <w:color w:val="000000" w:themeColor="text1"/>
                <w:kern w:val="2"/>
                <w:szCs w:val="24"/>
                <w14:textFill>
                  <w14:solidFill>
                    <w14:schemeClr w14:val="tx1"/>
                  </w14:solidFill>
                </w14:textFill>
              </w:rPr>
              <w:t>请各供应商联系采购单位自行勘踏，采购人免费提供项目实施过程中各项对接协调服务。</w:t>
            </w:r>
          </w:p>
        </w:tc>
      </w:tr>
      <w:tr w14:paraId="7342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558F71A">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10</w:t>
            </w:r>
          </w:p>
        </w:tc>
        <w:tc>
          <w:tcPr>
            <w:tcW w:w="1502" w:type="dxa"/>
            <w:vAlign w:val="center"/>
          </w:tcPr>
          <w:p w14:paraId="4D4954D0">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提问与回复</w:t>
            </w:r>
          </w:p>
        </w:tc>
        <w:tc>
          <w:tcPr>
            <w:tcW w:w="7308" w:type="dxa"/>
            <w:vAlign w:val="center"/>
          </w:tcPr>
          <w:p w14:paraId="59DCAD29">
            <w:pPr>
              <w:pStyle w:val="98"/>
              <w:pBdr>
                <w:bottom w:val="none" w:color="auto" w:sz="0" w:space="0"/>
              </w:pBdr>
              <w:tabs>
                <w:tab w:val="clear" w:pos="4153"/>
                <w:tab w:val="clear" w:pos="8306"/>
              </w:tabs>
              <w:adjustRightInd/>
              <w:spacing w:line="46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1、供应商如果对采购文件内容有相关疑问，可以向采购人提出（疑问文件以文档形式提供，如WORD文档等）。</w:t>
            </w:r>
          </w:p>
          <w:p w14:paraId="008356A8">
            <w:pPr>
              <w:pStyle w:val="9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lang w:val="en-US" w:eastAsia="zh-CN"/>
                <w14:textFill>
                  <w14:solidFill>
                    <w14:schemeClr w14:val="tx1"/>
                  </w14:solidFill>
                </w14:textFill>
              </w:rPr>
              <w:t>2</w:t>
            </w:r>
            <w:r>
              <w:rPr>
                <w:rFonts w:hint="eastAsia" w:ascii="宋体" w:hAnsi="宋体"/>
                <w:bCs/>
                <w:color w:val="000000" w:themeColor="text1"/>
                <w:kern w:val="2"/>
                <w:szCs w:val="24"/>
                <w14:textFill>
                  <w14:solidFill>
                    <w14:schemeClr w14:val="tx1"/>
                  </w14:solidFill>
                </w14:textFill>
              </w:rPr>
              <w:t>、采购人</w:t>
            </w:r>
            <w:r>
              <w:rPr>
                <w:rFonts w:hint="eastAsia" w:ascii="宋体" w:hAnsi="宋体"/>
                <w:bCs/>
                <w:color w:val="000000" w:themeColor="text1"/>
                <w:kern w:val="2"/>
                <w:szCs w:val="24"/>
                <w:lang w:eastAsia="zh-CN"/>
                <w14:textFill>
                  <w14:solidFill>
                    <w14:schemeClr w14:val="tx1"/>
                  </w14:solidFill>
                </w14:textFill>
              </w:rPr>
              <w:t>将以书面形式答复</w:t>
            </w:r>
            <w:r>
              <w:rPr>
                <w:rFonts w:hint="eastAsia" w:ascii="宋体" w:hAnsi="宋体"/>
                <w:bCs/>
                <w:color w:val="000000" w:themeColor="text1"/>
                <w:kern w:val="2"/>
                <w:szCs w:val="24"/>
                <w14:textFill>
                  <w14:solidFill>
                    <w14:schemeClr w14:val="tx1"/>
                  </w14:solidFill>
                </w14:textFill>
              </w:rPr>
              <w:t>。</w:t>
            </w:r>
          </w:p>
        </w:tc>
      </w:tr>
      <w:tr w14:paraId="0D70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16D0C5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1</w:t>
            </w:r>
          </w:p>
        </w:tc>
        <w:tc>
          <w:tcPr>
            <w:tcW w:w="1502" w:type="dxa"/>
            <w:vAlign w:val="center"/>
          </w:tcPr>
          <w:p w14:paraId="4ABD586C">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响应文件份数及要求</w:t>
            </w:r>
          </w:p>
        </w:tc>
        <w:tc>
          <w:tcPr>
            <w:tcW w:w="7308" w:type="dxa"/>
            <w:vAlign w:val="center"/>
          </w:tcPr>
          <w:p w14:paraId="3C674ADB">
            <w:pPr>
              <w:pStyle w:val="98"/>
              <w:pBdr>
                <w:bottom w:val="none" w:color="auto" w:sz="0" w:space="0"/>
              </w:pBdr>
              <w:tabs>
                <w:tab w:val="clear" w:pos="4153"/>
                <w:tab w:val="clear" w:pos="8306"/>
              </w:tabs>
              <w:adjustRightInd/>
              <w:spacing w:line="440" w:lineRule="exact"/>
              <w:jc w:val="left"/>
              <w:textAlignment w:val="auto"/>
              <w:rPr>
                <w:rFonts w:ascii="宋体" w:hAnsi="宋体"/>
                <w:bCs/>
                <w:color w:val="000000" w:themeColor="text1"/>
                <w:kern w:val="2"/>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正本份数：1份，副本份数：</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份(胶装</w:t>
            </w:r>
            <w:r>
              <w:rPr>
                <w:rFonts w:hint="eastAsia" w:ascii="宋体" w:hAnsi="宋体"/>
                <w:color w:val="000000" w:themeColor="text1"/>
                <w:sz w:val="24"/>
                <w:szCs w:val="24"/>
                <w:lang w:val="en-US" w:eastAsia="zh-CN"/>
                <w14:textFill>
                  <w14:solidFill>
                    <w14:schemeClr w14:val="tx1"/>
                  </w14:solidFill>
                </w14:textFill>
              </w:rPr>
              <w:t>成册，密封递交</w:t>
            </w:r>
            <w:r>
              <w:rPr>
                <w:rFonts w:hint="eastAsia" w:ascii="宋体" w:hAnsi="宋体"/>
                <w:color w:val="000000" w:themeColor="text1"/>
                <w:sz w:val="24"/>
                <w:szCs w:val="24"/>
                <w14:textFill>
                  <w14:solidFill>
                    <w14:schemeClr w14:val="tx1"/>
                  </w14:solidFill>
                </w14:textFill>
              </w:rPr>
              <w:t>)</w:t>
            </w:r>
          </w:p>
        </w:tc>
      </w:tr>
      <w:tr w14:paraId="00FE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1EA931C">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2</w:t>
            </w:r>
          </w:p>
        </w:tc>
        <w:tc>
          <w:tcPr>
            <w:tcW w:w="1502" w:type="dxa"/>
            <w:vAlign w:val="center"/>
          </w:tcPr>
          <w:p w14:paraId="09EE6EB6">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递交响应文件注意事项</w:t>
            </w:r>
          </w:p>
        </w:tc>
        <w:tc>
          <w:tcPr>
            <w:tcW w:w="7308" w:type="dxa"/>
            <w:vAlign w:val="center"/>
          </w:tcPr>
          <w:p w14:paraId="2E6B281E">
            <w:pPr>
              <w:pStyle w:val="98"/>
              <w:pBdr>
                <w:bottom w:val="none" w:color="auto" w:sz="0" w:space="0"/>
              </w:pBdr>
              <w:tabs>
                <w:tab w:val="clear" w:pos="4153"/>
                <w:tab w:val="clear" w:pos="8306"/>
              </w:tabs>
              <w:adjustRightInd/>
              <w:spacing w:line="440" w:lineRule="exact"/>
              <w:jc w:val="left"/>
              <w:textAlignment w:val="auto"/>
              <w:rPr>
                <w:rFonts w:hint="eastAsia" w:ascii="宋体" w:hAnsi="宋体" w:cs="宋体"/>
                <w:bCs/>
                <w:color w:val="000000" w:themeColor="text1"/>
                <w:kern w:val="2"/>
                <w:sz w:val="24"/>
                <w:szCs w:val="24"/>
                <w:lang w:eastAsia="zh-CN"/>
                <w14:textFill>
                  <w14:solidFill>
                    <w14:schemeClr w14:val="tx1"/>
                  </w14:solidFill>
                </w14:textFill>
              </w:rPr>
            </w:pPr>
            <w:r>
              <w:rPr>
                <w:rFonts w:hint="eastAsia" w:ascii="宋体" w:hAnsi="宋体" w:cs="宋体"/>
                <w:bCs/>
                <w:color w:val="000000" w:themeColor="text1"/>
                <w:kern w:val="2"/>
                <w:sz w:val="24"/>
                <w:szCs w:val="24"/>
                <w:lang w:eastAsia="zh-CN"/>
                <w14:textFill>
                  <w14:solidFill>
                    <w14:schemeClr w14:val="tx1"/>
                  </w14:solidFill>
                </w14:textFill>
              </w:rPr>
              <w:t>必须在响应文件递交截止时间前递交。</w:t>
            </w:r>
          </w:p>
        </w:tc>
      </w:tr>
      <w:tr w14:paraId="081C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2A59FD4">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14:textFill>
                  <w14:solidFill>
                    <w14:schemeClr w14:val="tx1"/>
                  </w14:solidFill>
                </w14:textFill>
              </w:rPr>
              <w:t>1</w:t>
            </w:r>
            <w:r>
              <w:rPr>
                <w:rFonts w:hint="eastAsia" w:ascii="宋体" w:hAnsi="宋体"/>
                <w:b/>
                <w:color w:val="000000" w:themeColor="text1"/>
                <w:kern w:val="2"/>
                <w:szCs w:val="24"/>
                <w:lang w:val="en-US" w:eastAsia="zh-CN"/>
                <w14:textFill>
                  <w14:solidFill>
                    <w14:schemeClr w14:val="tx1"/>
                  </w14:solidFill>
                </w14:textFill>
              </w:rPr>
              <w:t>5</w:t>
            </w:r>
          </w:p>
        </w:tc>
        <w:tc>
          <w:tcPr>
            <w:tcW w:w="1502" w:type="dxa"/>
            <w:vAlign w:val="center"/>
          </w:tcPr>
          <w:p w14:paraId="71C99C95">
            <w:pPr>
              <w:pStyle w:val="98"/>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备注</w:t>
            </w:r>
          </w:p>
        </w:tc>
        <w:tc>
          <w:tcPr>
            <w:tcW w:w="7308" w:type="dxa"/>
            <w:vAlign w:val="center"/>
          </w:tcPr>
          <w:p w14:paraId="06F6F044">
            <w:pPr>
              <w:pStyle w:val="98"/>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p w14:paraId="111B563D">
            <w:pPr>
              <w:pStyle w:val="98"/>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p>
        </w:tc>
      </w:tr>
      <w:tr w14:paraId="211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8D325A9">
            <w:pPr>
              <w:pStyle w:val="98"/>
              <w:pBdr>
                <w:bottom w:val="none" w:color="auto" w:sz="0" w:space="0"/>
              </w:pBdr>
              <w:tabs>
                <w:tab w:val="clear" w:pos="4153"/>
                <w:tab w:val="clear" w:pos="8306"/>
              </w:tabs>
              <w:adjustRightInd/>
              <w:spacing w:line="440" w:lineRule="exact"/>
              <w:textAlignment w:val="auto"/>
              <w:rPr>
                <w:rFonts w:hint="default" w:ascii="宋体" w:hAnsi="宋体" w:eastAsia="宋体"/>
                <w:b/>
                <w:color w:val="000000" w:themeColor="text1"/>
                <w:kern w:val="2"/>
                <w:szCs w:val="24"/>
                <w:lang w:val="en-US" w:eastAsia="zh-CN"/>
                <w14:textFill>
                  <w14:solidFill>
                    <w14:schemeClr w14:val="tx1"/>
                  </w14:solidFill>
                </w14:textFill>
              </w:rPr>
            </w:pPr>
            <w:r>
              <w:rPr>
                <w:rFonts w:hint="eastAsia" w:ascii="宋体" w:hAnsi="宋体"/>
                <w:b/>
                <w:color w:val="000000" w:themeColor="text1"/>
                <w:kern w:val="2"/>
                <w:szCs w:val="24"/>
                <w:lang w:val="en-US" w:eastAsia="zh-CN"/>
                <w14:textFill>
                  <w14:solidFill>
                    <w14:schemeClr w14:val="tx1"/>
                  </w14:solidFill>
                </w14:textFill>
              </w:rPr>
              <w:t>16</w:t>
            </w:r>
          </w:p>
        </w:tc>
        <w:tc>
          <w:tcPr>
            <w:tcW w:w="1502" w:type="dxa"/>
            <w:vAlign w:val="center"/>
          </w:tcPr>
          <w:p w14:paraId="2E498E76">
            <w:pPr>
              <w:pStyle w:val="98"/>
              <w:pBdr>
                <w:bottom w:val="none" w:color="auto" w:sz="0" w:space="0"/>
              </w:pBdr>
              <w:tabs>
                <w:tab w:val="clear" w:pos="4153"/>
                <w:tab w:val="clear" w:pos="8306"/>
              </w:tabs>
              <w:adjustRightInd/>
              <w:spacing w:line="440" w:lineRule="exact"/>
              <w:textAlignment w:val="auto"/>
              <w:rPr>
                <w:rFonts w:hint="eastAsia" w:ascii="宋体" w:hAnsi="宋体"/>
                <w:bCs/>
                <w:color w:val="000000" w:themeColor="text1"/>
                <w:kern w:val="2"/>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成交通知书发出的形式</w:t>
            </w:r>
          </w:p>
        </w:tc>
        <w:tc>
          <w:tcPr>
            <w:tcW w:w="7308" w:type="dxa"/>
            <w:vAlign w:val="center"/>
          </w:tcPr>
          <w:p w14:paraId="15B16FBB">
            <w:pPr>
              <w:snapToGrid w:val="0"/>
              <w:rPr>
                <w:rFonts w:hint="eastAsia" w:ascii="宋体" w:hAnsi="宋体" w:eastAsia="宋体"/>
                <w:bCs/>
                <w:color w:val="000000" w:themeColor="text1"/>
                <w:kern w:val="2"/>
                <w:szCs w:val="24"/>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由</w:t>
            </w:r>
            <w:r>
              <w:rPr>
                <w:rFonts w:hint="eastAsia" w:cs="Times New Roman"/>
                <w:color w:val="000000" w:themeColor="text1"/>
                <w:kern w:val="0"/>
                <w:sz w:val="24"/>
                <w:szCs w:val="20"/>
                <w:lang w:val="en-US" w:eastAsia="zh-CN" w:bidi="ar-SA"/>
                <w14:textFill>
                  <w14:solidFill>
                    <w14:schemeClr w14:val="tx1"/>
                  </w14:solidFill>
                </w14:textFill>
              </w:rPr>
              <w:t>成交供应商</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自行到代理机构</w:t>
            </w:r>
            <w:r>
              <w:rPr>
                <w:rFonts w:hint="eastAsia" w:cs="Times New Roman"/>
                <w:color w:val="000000" w:themeColor="text1"/>
                <w:kern w:val="0"/>
                <w:sz w:val="24"/>
                <w:szCs w:val="20"/>
                <w:lang w:val="en-US" w:eastAsia="zh-CN" w:bidi="ar-SA"/>
                <w14:textFill>
                  <w14:solidFill>
                    <w14:schemeClr w14:val="tx1"/>
                  </w14:solidFill>
                </w14:textFill>
              </w:rPr>
              <w:t>处</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领取</w:t>
            </w:r>
            <w:r>
              <w:rPr>
                <w:rFonts w:hint="eastAsia" w:cs="Times New Roman"/>
                <w:color w:val="000000" w:themeColor="text1"/>
                <w:kern w:val="0"/>
                <w:sz w:val="24"/>
                <w:szCs w:val="20"/>
                <w:lang w:val="en-US" w:eastAsia="zh-CN" w:bidi="ar-SA"/>
                <w14:textFill>
                  <w14:solidFill>
                    <w14:schemeClr w14:val="tx1"/>
                  </w14:solidFill>
                </w14:textFill>
              </w:rPr>
              <w:t>纸质成交通知书文件</w:t>
            </w:r>
            <w:r>
              <w:rPr>
                <w:rFonts w:hint="eastAsia" w:ascii="Times New Roman" w:hAnsi="Times New Roman" w:eastAsia="宋体" w:cs="Times New Roman"/>
                <w:color w:val="000000" w:themeColor="text1"/>
                <w:kern w:val="0"/>
                <w:sz w:val="24"/>
                <w:szCs w:val="20"/>
                <w:lang w:val="en-US" w:eastAsia="zh-CN" w:bidi="ar-SA"/>
                <w14:textFill>
                  <w14:solidFill>
                    <w14:schemeClr w14:val="tx1"/>
                  </w14:solidFill>
                </w14:textFill>
              </w:rPr>
              <w:t>。</w:t>
            </w:r>
          </w:p>
        </w:tc>
      </w:tr>
    </w:tbl>
    <w:p w14:paraId="50760C0F">
      <w:pPr>
        <w:pStyle w:val="7"/>
        <w:spacing w:before="20" w:after="20"/>
        <w:jc w:val="both"/>
        <w:rPr>
          <w:rFonts w:ascii="宋体" w:hAnsi="宋体" w:eastAsia="宋体" w:cs="宋体"/>
          <w:color w:val="000000" w:themeColor="text1"/>
          <w:sz w:val="24"/>
          <w:szCs w:val="24"/>
          <w14:textFill>
            <w14:solidFill>
              <w14:schemeClr w14:val="tx1"/>
            </w14:solidFill>
          </w14:textFill>
        </w:rPr>
      </w:pPr>
    </w:p>
    <w:p w14:paraId="33047B1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bookmarkEnd w:id="60"/>
    <w:bookmarkEnd w:id="61"/>
    <w:bookmarkEnd w:id="62"/>
    <w:p w14:paraId="5C10378E">
      <w:pPr>
        <w:pStyle w:val="7"/>
        <w:pageBreakBefore w:val="0"/>
        <w:kinsoku/>
        <w:wordWrap/>
        <w:overflowPunct/>
        <w:topLinePunct w:val="0"/>
        <w:autoSpaceDE/>
        <w:autoSpaceDN/>
        <w:bidi w:val="0"/>
        <w:snapToGrid/>
        <w:spacing w:before="0" w:after="0" w:line="490" w:lineRule="exact"/>
        <w:ind w:firstLine="241" w:firstLineChars="100"/>
        <w:jc w:val="center"/>
        <w:rPr>
          <w:rFonts w:ascii="宋体" w:hAnsi="宋体" w:eastAsia="宋体" w:cs="宋体"/>
          <w:color w:val="000000" w:themeColor="text1"/>
          <w:sz w:val="24"/>
          <w:szCs w:val="24"/>
          <w14:textFill>
            <w14:solidFill>
              <w14:schemeClr w14:val="tx1"/>
            </w14:solidFill>
          </w14:textFill>
        </w:rPr>
      </w:pPr>
      <w:bookmarkStart w:id="63" w:name="_Toc7878"/>
      <w:bookmarkStart w:id="64" w:name="_Toc24713"/>
      <w:bookmarkStart w:id="65" w:name="_Toc216158630"/>
      <w:r>
        <w:rPr>
          <w:rFonts w:hint="eastAsia" w:ascii="宋体" w:hAnsi="宋体" w:eastAsia="宋体" w:cs="宋体"/>
          <w:color w:val="000000" w:themeColor="text1"/>
          <w:sz w:val="24"/>
          <w:szCs w:val="24"/>
          <w14:textFill>
            <w14:solidFill>
              <w14:schemeClr w14:val="tx1"/>
            </w14:solidFill>
          </w14:textFill>
        </w:rPr>
        <w:t>（二）供应商资格</w:t>
      </w:r>
      <w:bookmarkEnd w:id="63"/>
      <w:bookmarkEnd w:id="64"/>
    </w:p>
    <w:p w14:paraId="4DBE72A4">
      <w:pPr>
        <w:pStyle w:val="2"/>
        <w:pageBreakBefore w:val="0"/>
        <w:kinsoku/>
        <w:wordWrap/>
        <w:overflowPunct/>
        <w:topLinePunct w:val="0"/>
        <w:autoSpaceDE/>
        <w:autoSpaceDN/>
        <w:bidi w:val="0"/>
        <w:snapToGrid/>
        <w:spacing w:after="0" w:line="490" w:lineRule="exact"/>
        <w:ind w:firstLine="480" w:firstLineChars="200"/>
        <w:jc w:val="left"/>
        <w:rPr>
          <w:rFonts w:hint="eastAsia" w:eastAsia="宋体"/>
          <w:color w:val="000000" w:themeColor="text1"/>
          <w:lang w:eastAsia="zh-CN"/>
          <w14:textFill>
            <w14:solidFill>
              <w14:schemeClr w14:val="tx1"/>
            </w14:solidFill>
          </w14:textFill>
        </w:rPr>
      </w:pPr>
      <w:bookmarkStart w:id="66" w:name="_Toc438648662"/>
      <w:bookmarkStart w:id="67" w:name="_Toc216158625"/>
      <w:bookmarkStart w:id="68" w:name="_Toc363199266"/>
      <w:r>
        <w:rPr>
          <w:rFonts w:hint="eastAsia"/>
          <w:color w:val="000000" w:themeColor="text1"/>
          <w14:textFill>
            <w14:solidFill>
              <w14:schemeClr w14:val="tx1"/>
            </w14:solidFill>
          </w14:textFill>
        </w:rPr>
        <w:t>见本项目采购公告</w:t>
      </w:r>
      <w:r>
        <w:rPr>
          <w:rFonts w:hint="eastAsia"/>
          <w:color w:val="000000" w:themeColor="text1"/>
          <w:lang w:eastAsia="zh-CN"/>
          <w14:textFill>
            <w14:solidFill>
              <w14:schemeClr w14:val="tx1"/>
            </w14:solidFill>
          </w14:textFill>
        </w:rPr>
        <w:t>。</w:t>
      </w:r>
    </w:p>
    <w:p w14:paraId="599A09D6">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69" w:name="_Toc24432"/>
      <w:bookmarkStart w:id="70" w:name="_Toc27352"/>
      <w:r>
        <w:rPr>
          <w:rFonts w:hint="eastAsia" w:ascii="宋体" w:hAnsi="宋体" w:eastAsia="宋体" w:cs="宋体"/>
          <w:color w:val="000000" w:themeColor="text1"/>
          <w:sz w:val="24"/>
          <w:szCs w:val="24"/>
          <w14:textFill>
            <w14:solidFill>
              <w14:schemeClr w14:val="tx1"/>
            </w14:solidFill>
          </w14:textFill>
        </w:rPr>
        <w:t>（三）供应商必须提交的响应文件内容</w:t>
      </w:r>
      <w:bookmarkEnd w:id="66"/>
      <w:bookmarkEnd w:id="67"/>
      <w:bookmarkEnd w:id="68"/>
      <w:bookmarkEnd w:id="69"/>
      <w:bookmarkEnd w:id="70"/>
    </w:p>
    <w:p w14:paraId="357AAAFD">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1、报价单；</w:t>
      </w:r>
    </w:p>
    <w:p w14:paraId="4F68A221">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2、供应商基本信息；</w:t>
      </w:r>
    </w:p>
    <w:p w14:paraId="0100AA7D">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3、谈判授权书；</w:t>
      </w:r>
    </w:p>
    <w:p w14:paraId="0C337ACE">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4、谈判响应函；</w:t>
      </w:r>
    </w:p>
    <w:p w14:paraId="562D5118">
      <w:pPr>
        <w:pageBreakBefore w:val="0"/>
        <w:kinsoku/>
        <w:wordWrap/>
        <w:overflowPunct/>
        <w:topLinePunct w:val="0"/>
        <w:autoSpaceDE/>
        <w:autoSpaceDN/>
        <w:bidi w:val="0"/>
        <w:snapToGrid/>
        <w:spacing w:line="490" w:lineRule="exact"/>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5、无重大违法记录声明函、无不良信用记录承诺函；</w:t>
      </w:r>
    </w:p>
    <w:p w14:paraId="74285386">
      <w:pPr>
        <w:pageBreakBefore w:val="0"/>
        <w:kinsoku/>
        <w:wordWrap/>
        <w:overflowPunct/>
        <w:topLinePunct w:val="0"/>
        <w:autoSpaceDE/>
        <w:autoSpaceDN/>
        <w:bidi w:val="0"/>
        <w:snapToGrid/>
        <w:spacing w:line="490" w:lineRule="exact"/>
        <w:ind w:firstLine="480" w:firstLineChars="200"/>
        <w:jc w:val="left"/>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6、响应情况表；</w:t>
      </w:r>
    </w:p>
    <w:p w14:paraId="0912651C">
      <w:pPr>
        <w:pageBreakBefore w:val="0"/>
        <w:kinsoku/>
        <w:wordWrap/>
        <w:overflowPunct/>
        <w:topLinePunct w:val="0"/>
        <w:autoSpaceDE/>
        <w:autoSpaceDN/>
        <w:bidi w:val="0"/>
        <w:snapToGrid/>
        <w:spacing w:line="49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、谈判文件要求和供应商认为需要提供的其它说明和资料。 </w:t>
      </w:r>
    </w:p>
    <w:p w14:paraId="6FF2B68A">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71" w:name="_Toc15586"/>
      <w:bookmarkStart w:id="72" w:name="_Toc21125"/>
      <w:bookmarkStart w:id="73" w:name="（三）供应商必须提交的响应文件内容"/>
      <w:bookmarkStart w:id="74" w:name="（四）响应文件的提交"/>
      <w:r>
        <w:rPr>
          <w:rFonts w:hint="eastAsia" w:ascii="宋体" w:hAnsi="宋体" w:eastAsia="宋体" w:cs="宋体"/>
          <w:color w:val="000000" w:themeColor="text1"/>
          <w:sz w:val="24"/>
          <w:szCs w:val="24"/>
          <w14:textFill>
            <w14:solidFill>
              <w14:schemeClr w14:val="tx1"/>
            </w14:solidFill>
          </w14:textFill>
        </w:rPr>
        <w:t>（四）响应文件的提交</w:t>
      </w:r>
      <w:bookmarkEnd w:id="71"/>
      <w:bookmarkEnd w:id="72"/>
    </w:p>
    <w:bookmarkEnd w:id="73"/>
    <w:bookmarkEnd w:id="74"/>
    <w:p w14:paraId="6F653424">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Arial"/>
          <w:color w:val="000000" w:themeColor="text1"/>
          <w:kern w:val="2"/>
          <w:sz w:val="24"/>
          <w:szCs w:val="24"/>
          <w:lang w:val="en-US" w:eastAsia="zh-CN" w:bidi="ar-SA"/>
          <w14:textFill>
            <w14:solidFill>
              <w14:schemeClr w14:val="tx1"/>
            </w14:solidFill>
          </w14:textFill>
        </w:rPr>
      </w:pPr>
      <w:bookmarkStart w:id="75" w:name="_Toc9203"/>
      <w:bookmarkStart w:id="76" w:name="_Toc15127"/>
      <w:bookmarkStart w:id="77" w:name="（五）谈判程序"/>
      <w:r>
        <w:rPr>
          <w:rFonts w:hint="eastAsia" w:hAnsi="宋体" w:cs="Arial"/>
          <w:color w:val="000000" w:themeColor="text1"/>
          <w:kern w:val="2"/>
          <w:sz w:val="24"/>
          <w:szCs w:val="24"/>
          <w:lang w:val="en-US" w:eastAsia="zh-CN" w:bidi="ar-SA"/>
          <w14:textFill>
            <w14:solidFill>
              <w14:schemeClr w14:val="tx1"/>
            </w14:solidFill>
          </w14:textFill>
        </w:rPr>
        <w:t>1、响应</w:t>
      </w:r>
      <w:r>
        <w:rPr>
          <w:rFonts w:hint="eastAsia" w:ascii="宋体" w:hAnsi="宋体" w:eastAsia="宋体" w:cs="Arial"/>
          <w:color w:val="000000" w:themeColor="text1"/>
          <w:kern w:val="2"/>
          <w:sz w:val="24"/>
          <w:szCs w:val="24"/>
          <w:lang w:val="en-US" w:eastAsia="zh-CN" w:bidi="ar-SA"/>
          <w14:textFill>
            <w14:solidFill>
              <w14:schemeClr w14:val="tx1"/>
            </w14:solidFill>
          </w14:textFill>
        </w:rPr>
        <w:t>文件的正本和副本</w:t>
      </w:r>
      <w:r>
        <w:rPr>
          <w:rFonts w:hint="eastAsia" w:hAnsi="宋体" w:cs="Arial"/>
          <w:color w:val="000000" w:themeColor="text1"/>
          <w:kern w:val="2"/>
          <w:sz w:val="24"/>
          <w:szCs w:val="24"/>
          <w:lang w:val="en-US" w:eastAsia="zh-CN" w:bidi="ar-SA"/>
          <w14:textFill>
            <w14:solidFill>
              <w14:schemeClr w14:val="tx1"/>
            </w14:solidFill>
          </w14:textFill>
        </w:rPr>
        <w:t>应胶装成册，密封递交；</w:t>
      </w:r>
    </w:p>
    <w:p w14:paraId="2CEB5B47">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cs="Arial"/>
          <w:color w:val="000000" w:themeColor="text1"/>
          <w:kern w:val="2"/>
          <w:sz w:val="24"/>
          <w:szCs w:val="24"/>
          <w:lang w:val="en-US" w:eastAsia="zh-CN" w:bidi="ar-SA"/>
          <w14:textFill>
            <w14:solidFill>
              <w14:schemeClr w14:val="tx1"/>
            </w14:solidFill>
          </w14:textFill>
        </w:rPr>
      </w:pPr>
      <w:r>
        <w:rPr>
          <w:rFonts w:hint="eastAsia" w:hAnsi="宋体" w:cs="Arial"/>
          <w:color w:val="000000" w:themeColor="text1"/>
          <w:kern w:val="2"/>
          <w:sz w:val="24"/>
          <w:szCs w:val="24"/>
          <w:lang w:val="en-US" w:eastAsia="zh-CN" w:bidi="ar-SA"/>
          <w14:textFill>
            <w14:solidFill>
              <w14:schemeClr w14:val="tx1"/>
            </w14:solidFill>
          </w14:textFill>
        </w:rPr>
        <w:t>2、必须在响应文件递交截止时间前递交，否则不予接收并退还给供应商。</w:t>
      </w:r>
    </w:p>
    <w:p w14:paraId="3CBDAF21">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（五）谈判程序</w:t>
      </w:r>
      <w:bookmarkEnd w:id="75"/>
      <w:bookmarkEnd w:id="76"/>
    </w:p>
    <w:bookmarkEnd w:id="77"/>
    <w:p w14:paraId="72A444E7">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1、谈判人员是按规定组成的三人或三人以上的谈判小组。</w:t>
      </w:r>
      <w:r>
        <w:rPr>
          <w:rFonts w:hint="eastAsia" w:ascii="宋体" w:hAnsi="宋体" w:cs="Arial"/>
          <w:color w:val="000000" w:themeColor="text1"/>
          <w:sz w:val="24"/>
          <w:szCs w:val="24"/>
          <w:lang w:val="en-US" w:eastAsia="zh-CN"/>
          <w14:textFill>
            <w14:solidFill>
              <w14:schemeClr w14:val="tx1"/>
            </w14:solidFill>
          </w14:textFill>
        </w:rPr>
        <w:t>采购人确定本项目谈判小组</w:t>
      </w:r>
      <w:r>
        <w:rPr>
          <w:rFonts w:hint="eastAsia" w:ascii="宋体" w:hAnsi="宋体" w:cs="Arial"/>
          <w:color w:val="000000" w:themeColor="text1"/>
          <w:sz w:val="24"/>
          <w:szCs w:val="24"/>
          <w:u w:val="single"/>
          <w:lang w:val="en-US" w:eastAsia="zh-CN"/>
          <w14:textFill>
            <w14:solidFill>
              <w14:schemeClr w14:val="tx1"/>
            </w14:solidFill>
          </w14:textFill>
        </w:rPr>
        <w:t>3</w:t>
      </w:r>
      <w:r>
        <w:rPr>
          <w:rFonts w:hint="eastAsia" w:ascii="宋体" w:hAnsi="宋体" w:cs="Arial"/>
          <w:color w:val="000000" w:themeColor="text1"/>
          <w:sz w:val="24"/>
          <w:szCs w:val="24"/>
          <w:lang w:val="en-US" w:eastAsia="zh-CN"/>
          <w14:textFill>
            <w14:solidFill>
              <w14:schemeClr w14:val="tx1"/>
            </w14:solidFill>
          </w14:textFill>
        </w:rPr>
        <w:t>人。</w:t>
      </w:r>
    </w:p>
    <w:p w14:paraId="600D3457">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2、在掌握了供应商的基本情况后，谈判小组将与供应商分别进行谈判。</w:t>
      </w:r>
    </w:p>
    <w:p w14:paraId="34FBD428">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3、谈判是</w:t>
      </w:r>
      <w:r>
        <w:rPr>
          <w:rFonts w:ascii="宋体" w:hAnsi="宋体" w:cs="Arial"/>
          <w:color w:val="000000" w:themeColor="text1"/>
          <w:sz w:val="24"/>
          <w:szCs w:val="24"/>
          <w14:textFill>
            <w14:solidFill>
              <w14:schemeClr w14:val="tx1"/>
            </w14:solidFill>
          </w14:textFill>
        </w:rPr>
        <w:t>分别</w:t>
      </w:r>
      <w:r>
        <w:rPr>
          <w:rFonts w:hint="eastAsia" w:ascii="宋体" w:hAnsi="宋体" w:cs="Arial"/>
          <w:color w:val="000000" w:themeColor="text1"/>
          <w:sz w:val="24"/>
          <w:szCs w:val="24"/>
          <w14:textFill>
            <w14:solidFill>
              <w14:schemeClr w14:val="tx1"/>
            </w14:solidFill>
          </w14:textFill>
        </w:rPr>
        <w:t>单独进行的。供应商不得与其他参与谈判的供应商相互串通；谈判小组也不得将与某一供应商的谈判情况向其他供应商及其关系人透露。</w:t>
      </w:r>
    </w:p>
    <w:p w14:paraId="49AAA91D">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4、谈判采用一轮谈判、两轮报价的方式进行。但最终采取多少轮谈判，由谈判小组视情况而定。</w:t>
      </w:r>
    </w:p>
    <w:p w14:paraId="446CA5CA">
      <w:pPr>
        <w:pStyle w:val="7"/>
        <w:spacing w:before="0" w:after="0" w:line="520" w:lineRule="exact"/>
        <w:ind w:firstLine="480" w:firstLineChars="200"/>
        <w:jc w:val="both"/>
        <w:rPr>
          <w:rFonts w:ascii="宋体" w:hAnsi="宋体" w:eastAsia="宋体" w:cs="宋体"/>
          <w:b w:val="0"/>
          <w:bCs/>
          <w:color w:val="000000" w:themeColor="text1"/>
          <w:sz w:val="24"/>
          <w:szCs w:val="24"/>
          <w14:textFill>
            <w14:solidFill>
              <w14:schemeClr w14:val="tx1"/>
            </w14:solidFill>
          </w14:textFill>
        </w:rPr>
      </w:pPr>
      <w:bookmarkStart w:id="78" w:name="_Toc6912"/>
      <w:bookmarkStart w:id="79" w:name="_Toc9855"/>
      <w:bookmarkStart w:id="80" w:name="_Toc22225"/>
      <w:bookmarkStart w:id="81" w:name="_Toc16969"/>
      <w:bookmarkStart w:id="82" w:name="（六）评审及异常情况处理"/>
      <w:r>
        <w:rPr>
          <w:rFonts w:hint="eastAsia" w:ascii="宋体" w:hAnsi="宋体" w:eastAsia="宋体" w:cs="宋体"/>
          <w:b w:val="0"/>
          <w:bCs/>
          <w:color w:val="000000" w:themeColor="text1"/>
          <w:sz w:val="24"/>
          <w:szCs w:val="24"/>
          <w14:textFill>
            <w14:solidFill>
              <w14:schemeClr w14:val="tx1"/>
            </w14:solidFill>
          </w14:textFill>
        </w:rPr>
        <w:t>5、谈判结束后，谈判小组将要求所有符合条件的供应商在规定的时间内进行最后的报价。</w:t>
      </w:r>
      <w:bookmarkEnd w:id="78"/>
      <w:bookmarkEnd w:id="79"/>
    </w:p>
    <w:p w14:paraId="21989BF1">
      <w:pPr>
        <w:pStyle w:val="7"/>
        <w:spacing w:before="0" w:after="0" w:line="520" w:lineRule="exact"/>
        <w:ind w:firstLine="480" w:firstLineChars="200"/>
        <w:jc w:val="both"/>
        <w:rPr>
          <w:rFonts w:ascii="宋体" w:hAnsi="宋体" w:eastAsia="宋体" w:cs="宋体"/>
          <w:color w:val="000000" w:themeColor="text1"/>
          <w:sz w:val="24"/>
          <w:szCs w:val="24"/>
          <w14:textFill>
            <w14:solidFill>
              <w14:schemeClr w14:val="tx1"/>
            </w14:solidFill>
          </w14:textFill>
        </w:rPr>
      </w:pPr>
      <w:bookmarkStart w:id="83" w:name="_Toc9547"/>
      <w:bookmarkStart w:id="84" w:name="_Toc110"/>
      <w:r>
        <w:rPr>
          <w:rFonts w:hint="eastAsia" w:ascii="宋体" w:hAnsi="宋体" w:eastAsia="宋体" w:cs="宋体"/>
          <w:b w:val="0"/>
          <w:bCs/>
          <w:color w:val="000000" w:themeColor="text1"/>
          <w:sz w:val="24"/>
          <w:szCs w:val="24"/>
          <w14:textFill>
            <w14:solidFill>
              <w14:schemeClr w14:val="tx1"/>
            </w14:solidFill>
          </w14:textFill>
        </w:rPr>
        <w:t>6、供应商必须在规定的时间内将自己在谈判中作出的澄清、变动以及最终的报价，提交给谈判小组。</w:t>
      </w:r>
      <w:bookmarkEnd w:id="83"/>
      <w:bookmarkEnd w:id="84"/>
    </w:p>
    <w:p w14:paraId="4D42D205">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（六）评审及异常情况处理</w:t>
      </w:r>
      <w:bookmarkEnd w:id="80"/>
      <w:bookmarkEnd w:id="81"/>
    </w:p>
    <w:bookmarkEnd w:id="82"/>
    <w:p w14:paraId="4BA3EF56">
      <w:pPr>
        <w:pageBreakBefore w:val="0"/>
        <w:kinsoku/>
        <w:wordWrap/>
        <w:overflowPunct/>
        <w:topLinePunct w:val="0"/>
        <w:autoSpaceDE/>
        <w:autoSpaceDN/>
        <w:bidi w:val="0"/>
        <w:snapToGrid/>
        <w:spacing w:line="490" w:lineRule="exact"/>
        <w:ind w:firstLine="480" w:firstLineChars="200"/>
        <w:rPr>
          <w:rFonts w:ascii="宋体" w:hAnsi="宋体" w:cs="Arial"/>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Arial"/>
          <w:color w:val="000000" w:themeColor="text1"/>
          <w:sz w:val="24"/>
          <w:szCs w:val="24"/>
          <w14:textFill>
            <w14:solidFill>
              <w14:schemeClr w14:val="tx1"/>
            </w14:solidFill>
          </w14:textFill>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998AFFB">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2、谈判时出现以下情况之一的，将予以废标：</w:t>
      </w:r>
    </w:p>
    <w:p w14:paraId="7164CD10">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（1）符合专业条件的供应商或者对采购文件作实质性响应的供应商不足三家的；</w:t>
      </w:r>
    </w:p>
    <w:p w14:paraId="36078C0D">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（2）供应商的报价均超过了采购预算，经过多轮谈判仍不能降到预算内、且采购人不能支付的；</w:t>
      </w:r>
    </w:p>
    <w:p w14:paraId="0A4DDC0C">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（3）经过谈判，供应商所提供的货物服务仍无法满足谈判文件实质性要求、影响工作的；</w:t>
      </w:r>
    </w:p>
    <w:p w14:paraId="6736FF95">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（4）出现影响采购公正的违法、违规行为的；</w:t>
      </w:r>
    </w:p>
    <w:p w14:paraId="504B9BB6">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（5）因重大变故，采购任务取消的。</w:t>
      </w:r>
    </w:p>
    <w:p w14:paraId="69CEC79A">
      <w:pPr>
        <w:spacing w:line="520" w:lineRule="exact"/>
        <w:ind w:firstLine="480" w:firstLineChars="200"/>
        <w:jc w:val="left"/>
        <w:rPr>
          <w:rFonts w:ascii="宋体" w:hAnsi="宋体" w:cs="宋体"/>
          <w:color w:val="000000" w:themeColor="text1"/>
          <w:sz w:val="24"/>
          <w:szCs w:val="24"/>
          <w14:textFill>
            <w14:solidFill>
              <w14:schemeClr w14:val="tx1"/>
            </w14:solidFill>
          </w14:textFill>
        </w:rPr>
      </w:pPr>
      <w:bookmarkStart w:id="85" w:name="_Toc18914"/>
      <w:bookmarkStart w:id="86" w:name="_Toc31134"/>
      <w:bookmarkStart w:id="87" w:name="（七）报价响应及答疑"/>
      <w:r>
        <w:rPr>
          <w:rFonts w:hint="eastAsia" w:ascii="宋体" w:hAnsi="宋体" w:cs="Arial"/>
          <w:color w:val="000000" w:themeColor="text1"/>
          <w:sz w:val="24"/>
          <w:szCs w:val="24"/>
          <w14:textFill>
            <w14:solidFill>
              <w14:schemeClr w14:val="tx1"/>
            </w14:solidFill>
          </w14:textFill>
        </w:rPr>
        <w:t>3、重新组织谈判，采购单位将进行</w:t>
      </w:r>
      <w:r>
        <w:rPr>
          <w:rFonts w:hint="eastAsia" w:ascii="宋体" w:hAnsi="宋体" w:cs="Arial"/>
          <w:color w:val="000000" w:themeColor="text1"/>
          <w:sz w:val="24"/>
          <w:szCs w:val="24"/>
          <w:lang w:eastAsia="zh-CN"/>
          <w14:textFill>
            <w14:solidFill>
              <w14:schemeClr w14:val="tx1"/>
            </w14:solidFill>
          </w14:textFill>
        </w:rPr>
        <w:t>二次</w:t>
      </w:r>
      <w:r>
        <w:rPr>
          <w:rFonts w:hint="eastAsia" w:ascii="宋体" w:hAnsi="宋体" w:cs="Arial"/>
          <w:color w:val="000000" w:themeColor="text1"/>
          <w:sz w:val="24"/>
          <w:szCs w:val="24"/>
          <w14:textFill>
            <w14:solidFill>
              <w14:schemeClr w14:val="tx1"/>
            </w14:solidFill>
          </w14:textFill>
        </w:rPr>
        <w:t>公告</w:t>
      </w:r>
    </w:p>
    <w:p w14:paraId="3DAF9FFD">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（七）报价响应及答疑</w:t>
      </w:r>
      <w:bookmarkEnd w:id="85"/>
      <w:bookmarkEnd w:id="86"/>
    </w:p>
    <w:bookmarkEnd w:id="87"/>
    <w:p w14:paraId="38D5BF27">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1、响应报价应含有所投</w:t>
      </w:r>
      <w:r>
        <w:rPr>
          <w:rFonts w:hint="eastAsia" w:ascii="宋体" w:hAnsi="宋体"/>
          <w:color w:val="000000" w:themeColor="text1"/>
          <w:sz w:val="24"/>
          <w:szCs w:val="24"/>
          <w:lang w:val="en-US" w:eastAsia="zh-CN"/>
          <w14:textFill>
            <w14:solidFill>
              <w14:schemeClr w14:val="tx1"/>
            </w14:solidFill>
          </w14:textFill>
        </w:rPr>
        <w:t>服务及</w:t>
      </w:r>
      <w:r>
        <w:rPr>
          <w:rFonts w:hint="eastAsia" w:ascii="宋体" w:hAnsi="宋体"/>
          <w:color w:val="000000" w:themeColor="text1"/>
          <w:sz w:val="24"/>
          <w:szCs w:val="24"/>
          <w14:textFill>
            <w14:solidFill>
              <w14:schemeClr w14:val="tx1"/>
            </w14:solidFill>
          </w14:textFill>
        </w:rPr>
        <w:t>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000000" w:themeColor="text1"/>
          <w:sz w:val="24"/>
          <w:szCs w:val="24"/>
          <w:lang w:eastAsia="zh-CN"/>
          <w14:textFill>
            <w14:solidFill>
              <w14:schemeClr w14:val="tx1"/>
            </w14:solidFill>
          </w14:textFill>
        </w:rPr>
        <w:t>应有</w:t>
      </w:r>
      <w:r>
        <w:rPr>
          <w:rFonts w:hint="eastAsia" w:ascii="宋体" w:hAnsi="宋体"/>
          <w:color w:val="000000" w:themeColor="text1"/>
          <w:sz w:val="24"/>
          <w:szCs w:val="24"/>
          <w14:textFill>
            <w14:solidFill>
              <w14:schemeClr w14:val="tx1"/>
            </w14:solidFill>
          </w14:textFill>
        </w:rPr>
        <w:t>费用。响应报价为供应商在响应文件中提出的各项支付金额的总和。只有总价而没有分项报价的响应文件无效。</w:t>
      </w:r>
    </w:p>
    <w:p w14:paraId="48A6B85B">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4154F9CA">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3F6E3D0">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052A60A3">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5、供应商如果对谈判文件的其他任何内容有相关疑问，可</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lang w:eastAsia="zh-CN"/>
          <w14:textFill>
            <w14:solidFill>
              <w14:schemeClr w14:val="tx1"/>
            </w14:solidFill>
          </w14:textFill>
        </w:rPr>
        <w:t>书面形式</w:t>
      </w:r>
      <w:r>
        <w:rPr>
          <w:rFonts w:hint="eastAsia" w:ascii="宋体" w:hAnsi="宋体"/>
          <w:color w:val="000000" w:themeColor="text1"/>
          <w:sz w:val="24"/>
          <w14:textFill>
            <w14:solidFill>
              <w14:schemeClr w14:val="tx1"/>
            </w14:solidFill>
          </w14:textFill>
        </w:rPr>
        <w:t>提出（疑问文件以文档形式提供，如WORD文档等）。</w:t>
      </w:r>
    </w:p>
    <w:p w14:paraId="7251E22C">
      <w:pPr>
        <w:pageBreakBefore w:val="0"/>
        <w:kinsoku/>
        <w:wordWrap/>
        <w:overflowPunct/>
        <w:topLinePunct w:val="0"/>
        <w:autoSpaceDE/>
        <w:autoSpaceDN/>
        <w:bidi w:val="0"/>
        <w:snapToGrid/>
        <w:spacing w:line="49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6、供应商应确保其所提供的响应资料的真实性、有效性及合法性，否则，由此引起的任何责任由其自行承担。</w:t>
      </w:r>
    </w:p>
    <w:p w14:paraId="0074A7C5">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88" w:name="_Toc28647"/>
      <w:bookmarkStart w:id="89" w:name="_Toc8394"/>
      <w:r>
        <w:rPr>
          <w:rFonts w:hint="eastAsia" w:ascii="宋体" w:hAnsi="宋体" w:eastAsia="宋体" w:cs="宋体"/>
          <w:color w:val="000000" w:themeColor="text1"/>
          <w:sz w:val="24"/>
          <w:szCs w:val="24"/>
          <w14:textFill>
            <w14:solidFill>
              <w14:schemeClr w14:val="tx1"/>
            </w14:solidFill>
          </w14:textFill>
        </w:rPr>
        <w:t>（八）合同的签订</w:t>
      </w:r>
      <w:bookmarkEnd w:id="88"/>
      <w:bookmarkEnd w:id="89"/>
    </w:p>
    <w:p w14:paraId="067DA4C6">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3DCCB376">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2</w:t>
      </w:r>
      <w:r>
        <w:rPr>
          <w:rFonts w:hint="eastAsia" w:ascii="宋体" w:hAnsi="宋体" w:cs="Arial"/>
          <w:color w:val="000000" w:themeColor="text1"/>
          <w:sz w:val="24"/>
          <w:szCs w:val="24"/>
          <w14:textFill>
            <w14:solidFill>
              <w14:schemeClr w14:val="tx1"/>
            </w14:solidFill>
          </w14:textFill>
        </w:rPr>
        <w:t>、</w:t>
      </w:r>
      <w:r>
        <w:rPr>
          <w:rFonts w:ascii="宋体" w:hAnsi="宋体" w:cs="Arial"/>
          <w:color w:val="000000" w:themeColor="text1"/>
          <w:sz w:val="24"/>
          <w:szCs w:val="24"/>
          <w14:textFill>
            <w14:solidFill>
              <w14:schemeClr w14:val="tx1"/>
            </w14:solidFill>
          </w14:textFill>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000000" w:themeColor="text1"/>
          <w:sz w:val="24"/>
          <w:szCs w:val="24"/>
          <w14:textFill>
            <w14:solidFill>
              <w14:schemeClr w14:val="tx1"/>
            </w14:solidFill>
          </w14:textFill>
        </w:rPr>
        <w:t>或重新组织采购。</w:t>
      </w:r>
    </w:p>
    <w:p w14:paraId="3A52FF01">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3</w:t>
      </w:r>
      <w:r>
        <w:rPr>
          <w:rFonts w:hint="eastAsia" w:ascii="宋体" w:hAnsi="宋体" w:cs="Arial"/>
          <w:color w:val="000000" w:themeColor="text1"/>
          <w:sz w:val="24"/>
          <w:szCs w:val="24"/>
          <w14:textFill>
            <w14:solidFill>
              <w14:schemeClr w14:val="tx1"/>
            </w14:solidFill>
          </w14:textFill>
        </w:rPr>
        <w:t>、因政策变化等原因不能签订合同，造成企业合法利益受损的情形，采购人可以与供应商充分协商，给予合理补偿。</w:t>
      </w:r>
    </w:p>
    <w:p w14:paraId="3C215064">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4</w:t>
      </w:r>
      <w:r>
        <w:rPr>
          <w:rFonts w:hint="eastAsia" w:ascii="宋体" w:hAnsi="宋体" w:cs="Arial"/>
          <w:color w:val="000000" w:themeColor="text1"/>
          <w:sz w:val="24"/>
          <w:szCs w:val="24"/>
          <w14:textFill>
            <w14:solidFill>
              <w14:schemeClr w14:val="tx1"/>
            </w14:solidFill>
          </w14:textFill>
        </w:rPr>
        <w:t>、在签订合同时，供应商书面明确表示无需预付款或者主动要求降低预付款比例的，采购人可不适用前述（即付款方式）规定。</w:t>
      </w:r>
    </w:p>
    <w:p w14:paraId="4D4D55F5">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5</w:t>
      </w:r>
      <w:r>
        <w:rPr>
          <w:rFonts w:hint="eastAsia" w:ascii="宋体" w:hAnsi="宋体" w:cs="Arial"/>
          <w:color w:val="000000" w:themeColor="text1"/>
          <w:sz w:val="24"/>
          <w:szCs w:val="24"/>
          <w14:textFill>
            <w14:solidFill>
              <w14:schemeClr w14:val="tx1"/>
            </w14:solidFill>
          </w14:textFill>
        </w:rPr>
        <w:t>、采购文件和合同中没有约定预付款的，经供应商申请，采购人可以支付预付款。</w:t>
      </w:r>
    </w:p>
    <w:p w14:paraId="3876FBFE">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6</w:t>
      </w:r>
      <w:r>
        <w:rPr>
          <w:rFonts w:hint="eastAsia" w:ascii="宋体" w:hAnsi="宋体" w:cs="Arial"/>
          <w:color w:val="000000" w:themeColor="text1"/>
          <w:sz w:val="24"/>
          <w:szCs w:val="24"/>
          <w14:textFill>
            <w14:solidFill>
              <w14:schemeClr w14:val="tx1"/>
            </w14:solidFill>
          </w14:textFill>
        </w:rPr>
        <w:t>、采购人可根据项目特点、供应商诚信等因素，要求供应商提交银行、保险公司、担保公司等金融机构出具的预付款保函或其他担保措施。</w:t>
      </w:r>
    </w:p>
    <w:p w14:paraId="5B191A03">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7</w:t>
      </w:r>
      <w:r>
        <w:rPr>
          <w:rFonts w:hint="eastAsia" w:ascii="宋体" w:hAnsi="宋体" w:cs="Arial"/>
          <w:color w:val="000000" w:themeColor="text1"/>
          <w:sz w:val="24"/>
          <w:szCs w:val="24"/>
          <w14:textFill>
            <w14:solidFill>
              <w14:schemeClr w14:val="tx1"/>
            </w14:solidFill>
          </w14:textFill>
        </w:rPr>
        <w:t>、政府采购预付款应在合同、担保措施生效以及具备实施条件后 5 个工作日内支付。</w:t>
      </w:r>
    </w:p>
    <w:p w14:paraId="4CBBF5F7">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8</w:t>
      </w:r>
      <w:r>
        <w:rPr>
          <w:rFonts w:hint="eastAsia" w:ascii="宋体" w:hAnsi="宋体" w:cs="Arial"/>
          <w:color w:val="000000" w:themeColor="text1"/>
          <w:sz w:val="24"/>
          <w:szCs w:val="24"/>
          <w14:textFill>
            <w14:solidFill>
              <w14:schemeClr w14:val="tx1"/>
            </w14:solidFill>
          </w14:textFill>
        </w:rPr>
        <w:t>、延迟支付中小企业款项的，供应商可要求采购人按照合同约定支付逾期利息，合同没有约定的，按照同期人民银行 LPR支付逾期利息。</w:t>
      </w:r>
    </w:p>
    <w:p w14:paraId="7BC57839">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lang w:val="en-US" w:eastAsia="zh-CN"/>
          <w14:textFill>
            <w14:solidFill>
              <w14:schemeClr w14:val="tx1"/>
            </w14:solidFill>
          </w14:textFill>
        </w:rPr>
        <w:t>9</w:t>
      </w:r>
      <w:r>
        <w:rPr>
          <w:rFonts w:hint="eastAsia" w:ascii="宋体" w:hAnsi="宋体" w:cs="Arial"/>
          <w:color w:val="000000" w:themeColor="text1"/>
          <w:sz w:val="24"/>
          <w:szCs w:val="24"/>
          <w14:textFill>
            <w14:solidFill>
              <w14:schemeClr w14:val="tx1"/>
            </w14:solidFill>
          </w14:textFill>
        </w:rPr>
        <w:t>、成交供应商无正当理由不与采购人订立合同的处罚依据：</w:t>
      </w:r>
    </w:p>
    <w:p w14:paraId="0DA1C49C">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（1）《中华人民共和国政府采购法实施条例》</w:t>
      </w:r>
    </w:p>
    <w:p w14:paraId="3C6DAC41">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第七十二条 供应商有下列情形之一的，依照政府采购法第七十七条第一款的规定追究法律责任：……</w:t>
      </w:r>
    </w:p>
    <w:p w14:paraId="13E9F17F">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（二）中标或者成交后无正当理由拒不与采购人签订政府采购合同；……</w:t>
      </w:r>
    </w:p>
    <w:p w14:paraId="6AA4539C">
      <w:pPr>
        <w:pageBreakBefore w:val="0"/>
        <w:kinsoku/>
        <w:wordWrap/>
        <w:overflowPunct/>
        <w:topLinePunct w:val="0"/>
        <w:autoSpaceDE/>
        <w:autoSpaceDN/>
        <w:bidi w:val="0"/>
        <w:snapToGrid/>
        <w:spacing w:line="490" w:lineRule="exact"/>
        <w:ind w:firstLine="480" w:firstLineChars="200"/>
        <w:jc w:val="left"/>
        <w:rPr>
          <w:rFonts w:ascii="宋体" w:hAnsi="宋体"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（2）《中华人民共和国政府采购法》</w:t>
      </w:r>
    </w:p>
    <w:p w14:paraId="6DDB910D">
      <w:pPr>
        <w:pageBreakBefore w:val="0"/>
        <w:kinsoku/>
        <w:wordWrap/>
        <w:overflowPunct/>
        <w:topLinePunct w:val="0"/>
        <w:autoSpaceDE/>
        <w:autoSpaceDN/>
        <w:bidi w:val="0"/>
        <w:snapToGrid/>
        <w:spacing w:line="490" w:lineRule="exact"/>
        <w:ind w:firstLine="480" w:firstLineChars="200"/>
        <w:jc w:val="left"/>
        <w:rPr>
          <w:color w:val="000000" w:themeColor="text1"/>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第七十七条 供应商有下列情形之一的，处以采购金额千分之五以上千分之十以下的罚款，</w:t>
      </w:r>
      <w:r>
        <w:rPr>
          <w:rFonts w:hint="eastAsia" w:ascii="Times New Roman" w:hAnsi="Times New Roman" w:eastAsia="宋体" w:cs="Times New Roman"/>
          <w:color w:val="000000" w:themeColor="text1"/>
          <w:kern w:val="2"/>
          <w:sz w:val="24"/>
          <w:szCs w:val="20"/>
          <w:lang w:val="en-US" w:eastAsia="zh-CN" w:bidi="ar-SA"/>
          <w14:textFill>
            <w14:solidFill>
              <w14:schemeClr w14:val="tx1"/>
            </w14:solidFill>
          </w14:textFill>
        </w:rPr>
        <w:t>列入不良行为记录名单，在一至三年内禁止参加政府采购活动，有违法所得的，并处没收违法所得，情节严重的，由工商行政管理机关吊销营业执照；构成犯罪的，依法追究刑事责任：……</w:t>
      </w:r>
    </w:p>
    <w:p w14:paraId="7FDD1F57">
      <w:pPr>
        <w:pStyle w:val="2"/>
        <w:pageBreakBefore w:val="0"/>
        <w:kinsoku/>
        <w:wordWrap/>
        <w:overflowPunct/>
        <w:topLinePunct w:val="0"/>
        <w:autoSpaceDE/>
        <w:autoSpaceDN/>
        <w:bidi w:val="0"/>
        <w:snapToGrid/>
        <w:spacing w:after="0" w:line="49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（3）《政府采购非招标采购方式管理办法》（财政部令第74号）</w:t>
      </w:r>
    </w:p>
    <w:p w14:paraId="07B3E456">
      <w:pPr>
        <w:pStyle w:val="2"/>
        <w:pageBreakBefore w:val="0"/>
        <w:kinsoku/>
        <w:wordWrap/>
        <w:overflowPunct/>
        <w:topLinePunct w:val="0"/>
        <w:autoSpaceDE/>
        <w:autoSpaceDN/>
        <w:bidi w:val="0"/>
        <w:snapToGrid/>
        <w:spacing w:after="0" w:line="49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第五十四条 成交供应商有下列情形之一的，责令限期整改，情节严重的，列入不良行为记录名单，在1至3年内禁止参加政府采购活动，并予以通报：……</w:t>
      </w:r>
    </w:p>
    <w:p w14:paraId="79CA987A">
      <w:pPr>
        <w:pStyle w:val="2"/>
        <w:pageBreakBefore w:val="0"/>
        <w:kinsoku/>
        <w:wordWrap/>
        <w:overflowPunct/>
        <w:topLinePunct w:val="0"/>
        <w:autoSpaceDE/>
        <w:autoSpaceDN/>
        <w:bidi w:val="0"/>
        <w:snapToGrid/>
        <w:spacing w:after="0" w:line="490" w:lineRule="exact"/>
        <w:ind w:firstLine="480" w:firstLineChars="200"/>
        <w:rPr>
          <w:rFonts w:ascii="宋体" w:hAnsi="宋体"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（二）成交后无正当理由不与采购人签订合同的；……</w:t>
      </w:r>
    </w:p>
    <w:p w14:paraId="313F0434">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0" w:name="_Toc15212"/>
      <w:bookmarkStart w:id="91" w:name="_Toc30371"/>
      <w:r>
        <w:rPr>
          <w:rFonts w:hint="eastAsia" w:ascii="宋体" w:hAnsi="宋体" w:eastAsia="宋体" w:cs="宋体"/>
          <w:color w:val="000000" w:themeColor="text1"/>
          <w:sz w:val="24"/>
          <w:szCs w:val="24"/>
          <w14:textFill>
            <w14:solidFill>
              <w14:schemeClr w14:val="tx1"/>
            </w14:solidFill>
          </w14:textFill>
        </w:rPr>
        <w:t>（九）澄清及变更</w:t>
      </w:r>
      <w:bookmarkEnd w:id="90"/>
      <w:bookmarkEnd w:id="91"/>
    </w:p>
    <w:p w14:paraId="1979C9F8">
      <w:pPr>
        <w:pageBreakBefore w:val="0"/>
        <w:kinsoku/>
        <w:wordWrap/>
        <w:overflowPunct/>
        <w:topLinePunct w:val="0"/>
        <w:autoSpaceDE/>
        <w:autoSpaceDN/>
        <w:bidi w:val="0"/>
        <w:snapToGrid/>
        <w:spacing w:line="490" w:lineRule="exact"/>
        <w:ind w:firstLine="480" w:firstLineChars="20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谈判文件如有澄清及变更，将以网上公告形式发布，请供应商及时关注。</w:t>
      </w:r>
    </w:p>
    <w:p w14:paraId="2E15A7C2">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2" w:name="_Toc14936"/>
      <w:bookmarkStart w:id="93" w:name="_Toc11886"/>
      <w:r>
        <w:rPr>
          <w:rFonts w:hint="eastAsia" w:ascii="宋体" w:hAnsi="宋体" w:eastAsia="宋体" w:cs="宋体"/>
          <w:color w:val="000000" w:themeColor="text1"/>
          <w:sz w:val="24"/>
          <w:szCs w:val="24"/>
          <w14:textFill>
            <w14:solidFill>
              <w14:schemeClr w14:val="tx1"/>
            </w14:solidFill>
          </w14:textFill>
        </w:rPr>
        <w:t>（十）验收</w:t>
      </w:r>
      <w:bookmarkEnd w:id="92"/>
      <w:r>
        <w:rPr>
          <w:rFonts w:hint="eastAsia" w:ascii="宋体" w:hAnsi="宋体" w:eastAsia="宋体" w:cs="宋体"/>
          <w:color w:val="000000" w:themeColor="text1"/>
          <w:sz w:val="24"/>
          <w:szCs w:val="24"/>
          <w14:textFill>
            <w14:solidFill>
              <w14:schemeClr w14:val="tx1"/>
            </w14:solidFill>
          </w14:textFill>
        </w:rPr>
        <w:t>与支付</w:t>
      </w:r>
      <w:bookmarkEnd w:id="93"/>
    </w:p>
    <w:p w14:paraId="41CC8A3E">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highlight w:val="none"/>
          <w14:textFill>
            <w14:solidFill>
              <w14:schemeClr w14:val="tx1"/>
            </w14:solidFill>
          </w14:textFill>
        </w:rPr>
      </w:pPr>
    </w:p>
    <w:p w14:paraId="5AB90091">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597B611D">
      <w:pPr>
        <w:pageBreakBefore w:val="0"/>
        <w:kinsoku/>
        <w:wordWrap/>
        <w:overflowPunct/>
        <w:topLinePunct w:val="0"/>
        <w:autoSpaceDE/>
        <w:autoSpaceDN/>
        <w:bidi w:val="0"/>
        <w:snapToGrid/>
        <w:spacing w:line="4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、涉及安全、消防、环保等其他需要由质检或行业主管部门进行验收的项目，必须邀请相关部门或相关专家参与验收。</w:t>
      </w:r>
    </w:p>
    <w:p w14:paraId="127FB80A">
      <w:pPr>
        <w:pStyle w:val="7"/>
        <w:pageBreakBefore w:val="0"/>
        <w:kinsoku/>
        <w:wordWrap/>
        <w:overflowPunct/>
        <w:topLinePunct w:val="0"/>
        <w:autoSpaceDE/>
        <w:autoSpaceDN/>
        <w:bidi w:val="0"/>
        <w:snapToGrid/>
        <w:spacing w:before="0" w:after="0" w:line="490" w:lineRule="exact"/>
        <w:jc w:val="center"/>
        <w:rPr>
          <w:rFonts w:ascii="宋体" w:hAnsi="宋体" w:eastAsia="宋体" w:cs="宋体"/>
          <w:color w:val="000000" w:themeColor="text1"/>
          <w:sz w:val="24"/>
          <w:szCs w:val="24"/>
          <w14:textFill>
            <w14:solidFill>
              <w14:schemeClr w14:val="tx1"/>
            </w14:solidFill>
          </w14:textFill>
        </w:rPr>
      </w:pPr>
      <w:bookmarkStart w:id="94" w:name="_Toc29355"/>
      <w:bookmarkStart w:id="95" w:name="_Toc24748"/>
      <w:r>
        <w:rPr>
          <w:rFonts w:hint="eastAsia" w:ascii="宋体" w:hAnsi="宋体" w:eastAsia="宋体" w:cs="宋体"/>
          <w:color w:val="000000" w:themeColor="text1"/>
          <w:sz w:val="24"/>
          <w:szCs w:val="24"/>
          <w14:textFill>
            <w14:solidFill>
              <w14:schemeClr w14:val="tx1"/>
            </w14:solidFill>
          </w14:textFill>
        </w:rPr>
        <w:t>（十一）质疑</w:t>
      </w:r>
      <w:bookmarkEnd w:id="94"/>
      <w:bookmarkEnd w:id="95"/>
    </w:p>
    <w:p w14:paraId="45362103">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1、质疑人认为</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结果使自己的权益受到损害的，可以向采购人及采购代理机构提出质疑。质疑实行实名制，应当有具体的事项及根据，不得进行虚假、恶意质疑，扰乱公共资源交易活动的正常工作秩序。</w:t>
      </w:r>
    </w:p>
    <w:p w14:paraId="34C5463A">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2、质疑应在规定时限内提出： </w:t>
      </w:r>
    </w:p>
    <w:p w14:paraId="1D14A7C4">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对采购</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结果的质疑，应在</w:t>
      </w:r>
      <w:r>
        <w:rPr>
          <w:rFonts w:hint="eastAsia" w:ascii="宋体" w:hAnsi="宋体"/>
          <w:bCs/>
          <w:color w:val="000000" w:themeColor="text1"/>
          <w:sz w:val="24"/>
          <w:lang w:val="en-US" w:eastAsia="zh-CN"/>
          <w14:textFill>
            <w14:solidFill>
              <w14:schemeClr w14:val="tx1"/>
            </w14:solidFill>
          </w14:textFill>
        </w:rPr>
        <w:t>成交</w:t>
      </w:r>
      <w:r>
        <w:rPr>
          <w:rFonts w:hint="eastAsia" w:ascii="宋体" w:hAnsi="宋体"/>
          <w:bCs/>
          <w:color w:val="000000" w:themeColor="text1"/>
          <w:sz w:val="24"/>
          <w14:textFill>
            <w14:solidFill>
              <w14:schemeClr w14:val="tx1"/>
            </w14:solidFill>
          </w14:textFill>
        </w:rPr>
        <w:t>结果公布之日起七个工作日内提出。</w:t>
      </w:r>
    </w:p>
    <w:p w14:paraId="182D52EA">
      <w:pPr>
        <w:pageBreakBefore w:val="0"/>
        <w:kinsoku/>
        <w:wordWrap/>
        <w:overflowPunct/>
        <w:topLinePunct w:val="0"/>
        <w:autoSpaceDE/>
        <w:autoSpaceDN/>
        <w:bidi w:val="0"/>
        <w:snapToGrid/>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3、质疑材料应当包括以下内容：</w:t>
      </w:r>
    </w:p>
    <w:p w14:paraId="2CB2A85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3.1质疑人的名称、地址、有效联系方式；</w:t>
      </w:r>
    </w:p>
    <w:p w14:paraId="6BBB7B9D">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3.2项目名称、项目编号、包别号（如有）；</w:t>
      </w:r>
    </w:p>
    <w:p w14:paraId="31460D7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3.3被质疑人名称；</w:t>
      </w:r>
    </w:p>
    <w:p w14:paraId="23AE6992">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3.4具体的质疑事项、基本事实及必要的证明材料；</w:t>
      </w:r>
    </w:p>
    <w:p w14:paraId="2C4F3608">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3.5明确的请求及主张；</w:t>
      </w:r>
    </w:p>
    <w:p w14:paraId="4B301C0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3.6提起质疑的日期。</w:t>
      </w:r>
    </w:p>
    <w:p w14:paraId="25BC8D7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质疑人为法人或者其他组织的，应当由法定代表人或其委托代理人（需有委托授权书）签字并加盖公章。</w:t>
      </w:r>
    </w:p>
    <w:p w14:paraId="2A46C92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质疑人需要修改、补充质疑材料的，应当在质疑期内提交修改或补充材料。</w:t>
      </w:r>
    </w:p>
    <w:p w14:paraId="06E21EF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4、有下列情形之一的，不予受理：</w:t>
      </w:r>
    </w:p>
    <w:p w14:paraId="5746B3E5">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4.1提起质疑的主体不是参与该政府采购项目活动的供应商；</w:t>
      </w:r>
    </w:p>
    <w:p w14:paraId="3060099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4.2提起质疑的时间超过规定时限的；</w:t>
      </w:r>
    </w:p>
    <w:p w14:paraId="4F0A6896">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4.3质疑材料不完整的；</w:t>
      </w:r>
    </w:p>
    <w:p w14:paraId="0F55989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4.4质疑事项含有主观猜测等内容且未提供有效线索、难以查证的；</w:t>
      </w:r>
    </w:p>
    <w:p w14:paraId="4C6565F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4.5对其他投标供应商的投标文件详细内容质疑，无法提供合法来源渠道的；</w:t>
      </w:r>
    </w:p>
    <w:p w14:paraId="30EFF4D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4.6质疑事项已进入投诉处理、行政复议或行政诉讼程序的。</w:t>
      </w:r>
    </w:p>
    <w:p w14:paraId="647D7989">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5、经审查符合质疑条件的，自收到质疑之日起即为受理。采购人及采购代理机构将在质疑受理后</w:t>
      </w:r>
      <w:r>
        <w:rPr>
          <w:rFonts w:hint="eastAsia" w:ascii="宋体" w:hAnsi="宋体"/>
          <w:bCs/>
          <w:color w:val="000000" w:themeColor="text1"/>
          <w:sz w:val="24"/>
          <w:lang w:eastAsia="zh-CN"/>
          <w14:textFill>
            <w14:solidFill>
              <w14:schemeClr w14:val="tx1"/>
            </w14:solidFill>
          </w14:textFill>
        </w:rPr>
        <w:t>及时</w:t>
      </w:r>
      <w:r>
        <w:rPr>
          <w:rFonts w:hint="eastAsia" w:ascii="宋体" w:hAnsi="宋体"/>
          <w:bCs/>
          <w:color w:val="000000" w:themeColor="text1"/>
          <w:sz w:val="24"/>
          <w14:textFill>
            <w14:solidFill>
              <w14:schemeClr w14:val="tx1"/>
            </w14:solidFill>
          </w14:textFill>
        </w:rPr>
        <w:t>作出答复或相关处理决定，并以书面形式通知质疑人，答复的内容不得涉及商业秘密。</w:t>
      </w:r>
    </w:p>
    <w:p w14:paraId="55BB4437">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6、质疑人在答复期满前撤回质疑的，应由法定代表人或授权代表人签字确认，即终止质疑处理程序。质疑人不得以同一理由再次提出质疑。</w:t>
      </w:r>
    </w:p>
    <w:p w14:paraId="4325A9C5">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质疑人对质疑答复不满意或采购人及采购代理机构未在规定时间内做出答复的，可以在规定期限内向</w:t>
      </w:r>
      <w:r>
        <w:rPr>
          <w:rFonts w:hint="eastAsia" w:ascii="宋体" w:hAnsi="宋体"/>
          <w:bCs/>
          <w:color w:val="000000" w:themeColor="text1"/>
          <w:sz w:val="24"/>
          <w:lang w:val="en-US" w:eastAsia="zh-CN"/>
          <w14:textFill>
            <w14:solidFill>
              <w14:schemeClr w14:val="tx1"/>
            </w14:solidFill>
          </w14:textFill>
        </w:rPr>
        <w:t>监管部门</w:t>
      </w:r>
      <w:r>
        <w:rPr>
          <w:rFonts w:hint="eastAsia" w:ascii="宋体" w:hAnsi="宋体"/>
          <w:bCs/>
          <w:color w:val="000000" w:themeColor="text1"/>
          <w:sz w:val="24"/>
          <w14:textFill>
            <w14:solidFill>
              <w14:schemeClr w14:val="tx1"/>
            </w14:solidFill>
          </w14:textFill>
        </w:rPr>
        <w:t>提起投诉。</w:t>
      </w:r>
    </w:p>
    <w:p w14:paraId="74F65EA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质疑人应在答复期满后十五个工作日内提起投诉。</w:t>
      </w:r>
    </w:p>
    <w:p w14:paraId="6717A818">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7、</w:t>
      </w: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投诉人在全国范围12个月内三次以上投诉查无实据的，由财政部门列入不良行为记录名单。</w:t>
      </w:r>
    </w:p>
    <w:p w14:paraId="778AF49F">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投诉人有下列行为之一的，属于虚假、恶意投诉，由财政部门列入不良行为记录名单，禁止其1至3年内参加政府采购活动：</w:t>
      </w:r>
    </w:p>
    <w:p w14:paraId="1DA35768">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（一）捏造事实</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77DC967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（二）提供虚假材料</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21EF3F49">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color w:val="000000" w:themeColor="text1"/>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（三）以非法手段取得证明材料。证据来源的合法性存在明显疑问，投诉人无法证明其取得方式合法的，视为以非法手段取得证明材料。</w:t>
      </w:r>
    </w:p>
    <w:p w14:paraId="43E1C902">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86BBEEC">
      <w:pPr>
        <w:pStyle w:val="7"/>
        <w:spacing w:before="0" w:after="0" w:line="560" w:lineRule="exact"/>
        <w:jc w:val="center"/>
        <w:rPr>
          <w:rFonts w:ascii="宋体" w:hAnsi="宋体" w:eastAsia="宋体" w:cs="宋体"/>
          <w:color w:val="000000" w:themeColor="text1"/>
          <w:sz w:val="28"/>
          <w:szCs w:val="28"/>
          <w14:textFill>
            <w14:solidFill>
              <w14:schemeClr w14:val="tx1"/>
            </w14:solidFill>
          </w14:textFill>
        </w:rPr>
      </w:pPr>
      <w:bookmarkStart w:id="96" w:name="_Toc13399"/>
      <w:r>
        <w:rPr>
          <w:rFonts w:hint="eastAsia" w:ascii="宋体" w:hAnsi="宋体" w:eastAsia="宋体" w:cs="宋体"/>
          <w:color w:val="000000" w:themeColor="text1"/>
          <w:sz w:val="28"/>
          <w:szCs w:val="28"/>
          <w14:textFill>
            <w14:solidFill>
              <w14:schemeClr w14:val="tx1"/>
            </w14:solidFill>
          </w14:textFill>
        </w:rPr>
        <w:t>二、采购合同</w:t>
      </w:r>
      <w:bookmarkEnd w:id="96"/>
    </w:p>
    <w:bookmarkEnd w:id="65"/>
    <w:p w14:paraId="5B890703">
      <w:pPr>
        <w:spacing w:line="254" w:lineRule="auto"/>
        <w:rPr>
          <w:color w:val="000000" w:themeColor="text1"/>
          <w:spacing w:val="0"/>
          <w:position w:val="0"/>
          <w14:textFill>
            <w14:solidFill>
              <w14:schemeClr w14:val="tx1"/>
            </w14:solidFill>
          </w14:textFill>
        </w:rPr>
      </w:pPr>
      <w:bookmarkStart w:id="97" w:name="_Toc363199273"/>
    </w:p>
    <w:p w14:paraId="0864622B">
      <w:pPr>
        <w:pStyle w:val="2"/>
        <w:keepNext w:val="0"/>
        <w:keepLines w:val="0"/>
        <w:pageBreakBefore w:val="0"/>
        <w:widowControl w:val="0"/>
        <w:kinsoku/>
        <w:wordWrap/>
        <w:overflowPunct/>
        <w:topLinePunct w:val="0"/>
        <w:autoSpaceDE/>
        <w:autoSpaceDN/>
        <w:bidi w:val="0"/>
        <w:adjustRightInd/>
        <w:snapToGrid/>
        <w:spacing w:after="0" w:line="490" w:lineRule="exact"/>
        <w:textAlignment w:val="auto"/>
        <w:rPr>
          <w:rFonts w:hint="default"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甲乙双方自行拟定</w:t>
      </w:r>
      <w:r>
        <w:rPr>
          <w:rFonts w:hint="eastAsia" w:ascii="宋体" w:hAnsi="宋体" w:cs="Times New Roman"/>
          <w:bCs/>
          <w:color w:val="000000" w:themeColor="text1"/>
          <w:kern w:val="2"/>
          <w:sz w:val="24"/>
          <w:szCs w:val="24"/>
          <w:lang w:val="en-US" w:eastAsia="zh-CN" w:bidi="ar-SA"/>
          <w14:textFill>
            <w14:solidFill>
              <w14:schemeClr w14:val="tx1"/>
            </w14:solidFill>
          </w14:textFill>
        </w:rPr>
        <w:t>。</w:t>
      </w:r>
    </w:p>
    <w:p w14:paraId="12849182">
      <w:pPr>
        <w:spacing w:line="253" w:lineRule="auto"/>
        <w:rPr>
          <w:color w:val="000000" w:themeColor="text1"/>
          <w14:textFill>
            <w14:solidFill>
              <w14:schemeClr w14:val="tx1"/>
            </w14:solidFill>
          </w14:textFill>
        </w:rPr>
      </w:pPr>
    </w:p>
    <w:p w14:paraId="08642388">
      <w:pPr>
        <w:rPr>
          <w:color w:val="000000" w:themeColor="text1"/>
          <w:sz w:val="28"/>
          <w:szCs w:val="28"/>
          <w14:textFill>
            <w14:solidFill>
              <w14:schemeClr w14:val="tx1"/>
            </w14:solidFill>
          </w14:textFill>
        </w:rPr>
      </w:pPr>
    </w:p>
    <w:p w14:paraId="78DF12E1">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2CDC5E2">
      <w:pPr>
        <w:pStyle w:val="7"/>
        <w:numPr>
          <w:ilvl w:val="0"/>
          <w:numId w:val="0"/>
        </w:numPr>
        <w:spacing w:before="0" w:after="0" w:line="560" w:lineRule="exact"/>
        <w:jc w:val="center"/>
        <w:rPr>
          <w:rFonts w:hint="eastAsia" w:ascii="宋体" w:hAnsi="宋体" w:cs="宋体"/>
          <w:b/>
          <w:bCs/>
          <w:color w:val="000000" w:themeColor="text1"/>
          <w:spacing w:val="-2"/>
          <w:sz w:val="28"/>
          <w:szCs w:val="28"/>
          <w:highlight w:val="yellow"/>
          <w:u w:val="none"/>
          <w:lang w:val="en-US" w:eastAsia="zh-CN"/>
          <w14:textFill>
            <w14:solidFill>
              <w14:schemeClr w14:val="tx1"/>
            </w14:solidFill>
          </w14:textFill>
        </w:rPr>
      </w:pPr>
      <w:bookmarkStart w:id="98" w:name="_Toc20887"/>
      <w:r>
        <w:rPr>
          <w:rFonts w:hint="eastAsia" w:ascii="宋体" w:hAnsi="宋体" w:eastAsia="黑体" w:cs="宋体"/>
          <w:b/>
          <w:bCs/>
          <w:color w:val="000000" w:themeColor="text1"/>
          <w:spacing w:val="-2"/>
          <w:kern w:val="0"/>
          <w:sz w:val="28"/>
          <w:szCs w:val="28"/>
          <w:lang w:val="en-US" w:eastAsia="zh-CN" w:bidi="ar-SA"/>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采购需求</w:t>
      </w:r>
      <w:bookmarkEnd w:id="98"/>
    </w:p>
    <w:p w14:paraId="194968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项目概况</w:t>
      </w:r>
    </w:p>
    <w:p w14:paraId="311845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1、项目分类：消防设施检测、消防设施维保</w:t>
      </w:r>
      <w:r>
        <w:rPr>
          <w:rFonts w:hint="eastAsia" w:ascii="宋体" w:hAnsi="宋体" w:eastAsia="宋体" w:cs="宋体"/>
          <w:sz w:val="24"/>
          <w:szCs w:val="24"/>
          <w:lang w:eastAsia="zh-CN"/>
        </w:rPr>
        <w:t>。预算</w:t>
      </w:r>
      <w:r>
        <w:rPr>
          <w:rFonts w:hint="eastAsia" w:ascii="宋体" w:hAnsi="宋体" w:eastAsia="宋体" w:cs="宋体"/>
          <w:sz w:val="24"/>
          <w:szCs w:val="24"/>
          <w:lang w:val="en-US" w:eastAsia="zh-CN"/>
        </w:rPr>
        <w:t>3万元，本次采购合同期为1年，年度考核合格后可续签合同，考核不合格不再续签，每次续签1年，最多续签2次。</w:t>
      </w:r>
    </w:p>
    <w:p w14:paraId="6902CD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2、消防设施检测、维保区域及面积：</w:t>
      </w:r>
      <w:r>
        <w:rPr>
          <w:rFonts w:hint="eastAsia" w:ascii="宋体" w:hAnsi="宋体" w:eastAsia="宋体" w:cs="宋体"/>
          <w:sz w:val="24"/>
          <w:szCs w:val="24"/>
          <w:lang w:val="en-US" w:eastAsia="zh-CN"/>
        </w:rPr>
        <w:t>建筑面积约</w:t>
      </w:r>
      <w:r>
        <w:rPr>
          <w:rFonts w:hint="eastAsia" w:ascii="宋体" w:hAnsi="宋体" w:eastAsia="宋体" w:cs="宋体"/>
          <w:b w:val="0"/>
          <w:bCs w:val="0"/>
          <w:sz w:val="24"/>
          <w:szCs w:val="24"/>
          <w:lang w:val="en-US" w:eastAsia="zh-CN"/>
        </w:rPr>
        <w:t>28173m</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vertAlign w:val="baseline"/>
          <w:lang w:val="en-US" w:eastAsia="zh-CN"/>
        </w:rPr>
        <w:t>，包含：门诊楼、住院楼，核磁楼、血透中心、发热门诊、食堂、PCR实验室</w:t>
      </w:r>
      <w:r>
        <w:rPr>
          <w:rFonts w:hint="eastAsia" w:ascii="宋体"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医院室外区域等。</w:t>
      </w:r>
    </w:p>
    <w:p w14:paraId="773EA07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项目内容</w:t>
      </w:r>
    </w:p>
    <w:p w14:paraId="41B89D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按照《消防法》、《机关、团体、企业、事业单位消防安全管理规定》、《建筑消防设施的维护管理》（GB25201）、《建筑消防设施检测技术规程》（XF503）、《火灾自动报警系统施工及验收规范》（GB50166）等消防法规和技术标准规定的内容、程序、周期等要求，对招标范围内的所有消防系统、设备、设施的维修保养技术服务，包含但不限于以下方面：  </w:t>
      </w:r>
    </w:p>
    <w:p w14:paraId="52B9B6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1、消防供配电设施；</w:t>
      </w:r>
    </w:p>
    <w:p w14:paraId="6B4EA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2、火灾自动报警及联动系统（包括主机、电源、探头等）；</w:t>
      </w:r>
    </w:p>
    <w:p w14:paraId="18B2B7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3、消防供水设施（消防水箱水池、进水浮球阀等）；</w:t>
      </w:r>
    </w:p>
    <w:p w14:paraId="600448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4、消火栓和消防水炮灭火系统（包括管路、消火栓泵、各种阀类、电气控制柜等）；</w:t>
      </w:r>
    </w:p>
    <w:p w14:paraId="3BF271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5、自动喷水灭火系统（包括管道、喷淋泵、各种阀类、电气控制柜等）；</w:t>
      </w:r>
    </w:p>
    <w:p w14:paraId="1FCC87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6、干粉灭火系统；</w:t>
      </w:r>
    </w:p>
    <w:p w14:paraId="549B6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7、气体灭火系统；</w:t>
      </w:r>
    </w:p>
    <w:p w14:paraId="6E1D3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8、防排烟系统；</w:t>
      </w:r>
    </w:p>
    <w:p w14:paraId="5306C8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9、火灾应急照明和疏散指示系统；</w:t>
      </w:r>
    </w:p>
    <w:p w14:paraId="06CE8B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10、应急广播系统；</w:t>
      </w:r>
    </w:p>
    <w:p w14:paraId="0D90E6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11、消防专用电话；</w:t>
      </w:r>
    </w:p>
    <w:p w14:paraId="13FFD8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12、防火分隔设施（防火门、防火卷帘等）；</w:t>
      </w:r>
    </w:p>
    <w:p w14:paraId="6CFAC4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13、电气火灾监控系统；</w:t>
      </w:r>
    </w:p>
    <w:p w14:paraId="6A744C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14、可燃气体探测报警系统；</w:t>
      </w:r>
    </w:p>
    <w:p w14:paraId="43969A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15、灭火器；</w:t>
      </w:r>
    </w:p>
    <w:p w14:paraId="2D9918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16、其他建筑消防设施。</w:t>
      </w:r>
    </w:p>
    <w:p w14:paraId="2D64067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检测、维保服务细则</w:t>
      </w:r>
    </w:p>
    <w:p w14:paraId="37C357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1、消防供配电设施</w:t>
      </w:r>
    </w:p>
    <w:p w14:paraId="4AAF83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（1）每月对备用电源进行1 次充放电试验，每季度进行1 次主电源和备用电源自动切换试验；</w:t>
      </w:r>
    </w:p>
    <w:p w14:paraId="2F8971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（2）每月进行强制切断非消防电源联动试验1 次（根据医院实际情况决定是否实施）；</w:t>
      </w:r>
    </w:p>
    <w:p w14:paraId="020886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（3）每月对所有的消防控制柜、配电箱、端子箱等进行一次全面检查，发生故障及时维修；</w:t>
      </w:r>
    </w:p>
    <w:p w14:paraId="309BFA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（4）每月进行报警及控制线路维修检查，每半年对消防系统进行一次全面检查。</w:t>
      </w:r>
    </w:p>
    <w:p w14:paraId="7A47BB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2、火灾自动报警及联动系统</w:t>
      </w:r>
    </w:p>
    <w:p w14:paraId="0A85CC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（1）对火灾报警系统作检查和试验：</w:t>
      </w:r>
    </w:p>
    <w:p w14:paraId="4991C7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每月对火灾报警控制器的自检、消音复位、故障报警、火灾优先、楼层显示、联动控制、报警记忆、火灾广播、打印和主备电源自动切换等功能进行一次全面检查、试验；</w:t>
      </w:r>
    </w:p>
    <w:p w14:paraId="477D2A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每月按不少于安装总量的10% 采用专用检测设备对火灾探测器、手动报警器按钮、警铃、声光报警器等进行模拟火灾响应实验和故障报警实验；</w:t>
      </w:r>
    </w:p>
    <w:p w14:paraId="4D8482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（2）对消防系统联动设备作检查和试验：</w:t>
      </w:r>
    </w:p>
    <w:p w14:paraId="322280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每月对消防电磁锁进行联动测试1 次；</w:t>
      </w:r>
    </w:p>
    <w:p w14:paraId="043542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每月对防排烟设备、防火卷帘等控制设备做联动试验1 次；</w:t>
      </w:r>
    </w:p>
    <w:p w14:paraId="69D47E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 每月对消防广播系统进行联动试验1 次；</w:t>
      </w:r>
    </w:p>
    <w:p w14:paraId="081B52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 每月对电梯进行强制停于首层联动试验1 次；</w:t>
      </w:r>
    </w:p>
    <w:p w14:paraId="29A54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 每月对消防通讯设备进行对讲通话试验1 次。</w:t>
      </w:r>
    </w:p>
    <w:p w14:paraId="55A3D2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3、消防供水设施</w:t>
      </w:r>
    </w:p>
    <w:p w14:paraId="5D65B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（1）每月应对水源控制阀、报警阀组进行外观检查，并应保证系统处于无故障状态；</w:t>
      </w:r>
    </w:p>
    <w:p w14:paraId="6CCF48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（2）每半年应对水源的供水能力进行一次测定；</w:t>
      </w:r>
    </w:p>
    <w:p w14:paraId="6F2A4E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（3）每月检查一次消防水池、消防水箱及消防气压给水设备，测试补水是否正常； </w:t>
      </w:r>
    </w:p>
    <w:p w14:paraId="1FC5F3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（4）每月应核对消防水池、消防水箱水位是否在正常范围内。</w:t>
      </w:r>
    </w:p>
    <w:p w14:paraId="1156D9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4、消火栓灭火系统</w:t>
      </w:r>
    </w:p>
    <w:p w14:paraId="7F01A9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（1）消火栓系统</w:t>
      </w:r>
    </w:p>
    <w:p w14:paraId="34849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 每月应检查消防泵房工作环境及消防泵、稳压设备、电源控制柜、管网、阀门、喷头、水泵结合器、储水设施等，确保其处于完好状态；</w:t>
      </w:r>
    </w:p>
    <w:p w14:paraId="5E3C5D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 每月对消防泵进行启动运转试验，同时试验主、备泵的自动切换，并对消防泵进行消火栓按钮联动启泵试验，试验数量不少于安装总数的10%；</w:t>
      </w:r>
    </w:p>
    <w:p w14:paraId="278A21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 每月对系统上所有的控制阀门进行检查，保证控制阀门处于正常工作状态；</w:t>
      </w:r>
    </w:p>
    <w:p w14:paraId="27BC4F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④ 每月对最不利点消火栓进行静压压力试验；</w:t>
      </w:r>
    </w:p>
    <w:p w14:paraId="1478D3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⑤ 每月进行消火栓箱内的水枪、水带等设施的有效性检查；</w:t>
      </w:r>
    </w:p>
    <w:p w14:paraId="792F88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⑥ 每月对水泵接合器的接口及附件进行检查，并应保证接口完好、无渗漏、闷盖齐全；</w:t>
      </w:r>
    </w:p>
    <w:p w14:paraId="5D728A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⑦ 每月对室内、外消火栓系统进行放水试验，保持消防水源的清洁；对不能使用或损坏的阀门进行维修、更换。</w:t>
      </w:r>
    </w:p>
    <w:p w14:paraId="79C401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5、自动喷水灭火系统</w:t>
      </w:r>
    </w:p>
    <w:p w14:paraId="0C93C9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（1）每月应检查喷淋泵房的工作环境及喷淋泵、电源控制柜、湿式报警阀、管网、阀门、喷头、水泵接合器、储水设施等，确保其处于完好状态。</w:t>
      </w:r>
    </w:p>
    <w:p w14:paraId="62DEC3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（2）每月对喷淋泵进行启动运转试验，同时试验主、备泵的自动切换；</w:t>
      </w:r>
    </w:p>
    <w:p w14:paraId="1C404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（3）每月对系统上所有的控制阀门和报警阀组进行检查，保证控制阀门处于正常工作状态；</w:t>
      </w:r>
    </w:p>
    <w:p w14:paraId="47ECB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（4）每月利用报警阀上的放水实验阀进行泄水试验，验证系统供水情况，并测试水力警铃工作是否正常，压力开关电信号是否正确；</w:t>
      </w:r>
    </w:p>
    <w:p w14:paraId="3B370C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（5）每月利用末端试水装置进行放水试验，检查水流指示器和压力开关报警功能、自动启泵功能和信号显示是否正常；</w:t>
      </w:r>
    </w:p>
    <w:p w14:paraId="775490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（6）每月应对喷头进行一次外观检查，发现有不正常的喷头应及时更换；当喷头上有异物时应及时清除。</w:t>
      </w:r>
    </w:p>
    <w:p w14:paraId="74EC3C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6、干粉灭火系统</w:t>
      </w:r>
    </w:p>
    <w:p w14:paraId="374E49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（1）每月抽检灭火器的种类、数量、设置位置、标志等是否符合规范要求；</w:t>
      </w:r>
    </w:p>
    <w:p w14:paraId="40FF74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（2）每季度对按照总数的30%检查灭火器压力、重量、有效期等是否合格，必要时进行喷射试验。</w:t>
      </w:r>
    </w:p>
    <w:p w14:paraId="53E668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7、气体灭火系统</w:t>
      </w:r>
    </w:p>
    <w:p w14:paraId="3AAAAA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（1）每月检查储气瓶间及防护区工作环境、储气瓶、高压软管、集流管、启动装置、阀驱动装置、管网、喷嘴、压力信号器、安全泄压阀、紧急启动按钮、放气灯、声光报警装置等是否正常；</w:t>
      </w:r>
    </w:p>
    <w:p w14:paraId="2EFA7E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（2）每月检查驱动控制盘面板上的指示灯是否正常，各开关位置应正确，各连线应无松动现象；</w:t>
      </w:r>
    </w:p>
    <w:p w14:paraId="43FFA5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（3）每月对气体灭火系统储存容器内的压力、气动型驱动装置的气动源的压力进行检查，要求均不得小于设计压力的90%；</w:t>
      </w:r>
    </w:p>
    <w:p w14:paraId="2635F9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（4）每季度对灭火剂储存容器进行称重检查，灭火剂净重不得少于设计量的90%；</w:t>
      </w:r>
    </w:p>
    <w:p w14:paraId="23F005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（5）每年对每个保护区进行一次模拟自动启动试验，并按规定进行一次模拟喷气试验。</w:t>
      </w:r>
    </w:p>
    <w:p w14:paraId="7D78FE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8、防排烟系统</w:t>
      </w:r>
    </w:p>
    <w:p w14:paraId="1B5DBB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（1）每月检查送风、排烟风机机房的工作环境，送风、排烟风机的电源控制箱、送风口、排风口，防火阀、排烟阀等是否处于正常完好状态；</w:t>
      </w:r>
    </w:p>
    <w:p w14:paraId="151865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（2）每月按安装总量的10%和15%，分别试验手动方式和自动方式启动排烟阀，检查风机运行状态及动作和反馈信号是否正常；</w:t>
      </w:r>
    </w:p>
    <w:p w14:paraId="04E1C1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（3）每季度与火灾报警控制器和消防控制室进行联动试验，检查送风机、排烟机、防火阀等动作及反馈信号是否正常（包括远程启停送、排风一次）；</w:t>
      </w:r>
    </w:p>
    <w:p w14:paraId="008EAB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（4）每半年按安装总量的30%试验自动方式打开排烟口，启动送风机、排烟机；</w:t>
      </w:r>
    </w:p>
    <w:p w14:paraId="65C81A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（5）每半年按安装总量的30%试验自动方式关闭空调通风系统、电动防火阀检查其性能。</w:t>
      </w:r>
    </w:p>
    <w:p w14:paraId="2DA998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9、火灾应急照明和疏散指示系统</w:t>
      </w:r>
    </w:p>
    <w:p w14:paraId="5DA4CC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（1）每月检查应急照明和疏散指示标志是否处于正常完好状态，并及时维修或更换；</w:t>
      </w:r>
    </w:p>
    <w:p w14:paraId="23405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（2）每月试验应急照明灯和疏散指示灯切断电源后能否正常工作；</w:t>
      </w:r>
    </w:p>
    <w:p w14:paraId="5558F6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（3）每季度按安装总量的30%试验应急照明和疏散指示灯的工作、照度和疏散照度是否正常和达到要求。</w:t>
      </w:r>
    </w:p>
    <w:p w14:paraId="4755D4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10、应急广播系统</w:t>
      </w:r>
    </w:p>
    <w:p w14:paraId="7A5EAE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（1）每月在消防控制室用话筒对所选区域播音，检查音响效果；</w:t>
      </w:r>
    </w:p>
    <w:p w14:paraId="0092B6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（2）每季度进行从背景音乐状态下强切至事故广播状态的功能试验。</w:t>
      </w:r>
    </w:p>
    <w:p w14:paraId="480B3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11、消防专用电话</w:t>
      </w:r>
    </w:p>
    <w:p w14:paraId="5C3651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（1）每月试验电话插孔和对讲电话的通话质量，抽查数量不少于总数的30%；</w:t>
      </w:r>
    </w:p>
    <w:p w14:paraId="7E11B8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（2）每季度按安装总量的30%试验广播，检查广播是否正常。</w:t>
      </w:r>
    </w:p>
    <w:p w14:paraId="05388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12、防火分隔设施（防火门、防火卷帘等）</w:t>
      </w:r>
    </w:p>
    <w:p w14:paraId="3A696A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（1）每季度按安装总量的30%进行抽检防火门的启闭功能，检查闭门器及顺序器是否完好；</w:t>
      </w:r>
    </w:p>
    <w:p w14:paraId="2E15A1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（2）每月试验手动按钮启动防火卷帘门能否正常升降；</w:t>
      </w:r>
    </w:p>
    <w:p w14:paraId="6511A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（3）每季度通过消防控制室进行联动试验，检查防火卷帘门联动功能和反馈信号是否正常。</w:t>
      </w:r>
    </w:p>
    <w:p w14:paraId="7B89CE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13、电气火灾监控系统</w:t>
      </w:r>
    </w:p>
    <w:p w14:paraId="441645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（1）每月检查电气火灾监控器外观，声光报警器件、指示灯、显示器应正常；</w:t>
      </w:r>
    </w:p>
    <w:p w14:paraId="3C393D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（2）每月检查故障信息及报警处理情况；</w:t>
      </w:r>
    </w:p>
    <w:p w14:paraId="2F3E61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（3）每季度检查显示器显示内容。</w:t>
      </w:r>
    </w:p>
    <w:p w14:paraId="649235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14、可燃气体探测报警系统</w:t>
      </w:r>
    </w:p>
    <w:p w14:paraId="0ADFDA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（1）每月按动报警器自检试验系统按钮一次，检查指示系统运行状况；</w:t>
      </w:r>
    </w:p>
    <w:p w14:paraId="361FB1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（2）每月对探测器外观及安装环境进行检查，确保安装正确、未被异物覆盖、溅水和腐蚀等。</w:t>
      </w:r>
    </w:p>
    <w:p w14:paraId="1249F7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15、灭火器</w:t>
      </w:r>
    </w:p>
    <w:p w14:paraId="07ECC4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（1）每月检查灭火器的种类、数量、设置位置、标志等是否符合规范要求；</w:t>
      </w:r>
    </w:p>
    <w:p w14:paraId="7AED40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（2）每季度对按照总数的30%检查灭火器压力、重量、有效期等是否合格，必要时进行喷射试验。</w:t>
      </w:r>
    </w:p>
    <w:p w14:paraId="15DCAA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16、其他建筑消防设施</w:t>
      </w:r>
    </w:p>
    <w:p w14:paraId="49C92A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注：以上提出的技术方案作为参考和日常监督要求，如无明确法规和规范限制，</w:t>
      </w:r>
      <w:r>
        <w:rPr>
          <w:rFonts w:hint="eastAsia" w:ascii="宋体" w:hAnsi="宋体" w:eastAsia="宋体" w:cs="宋体"/>
          <w:sz w:val="24"/>
          <w:szCs w:val="24"/>
          <w:lang w:eastAsia="zh-CN"/>
        </w:rPr>
        <w:t>成交供应商</w:t>
      </w:r>
      <w:r>
        <w:rPr>
          <w:rFonts w:hint="eastAsia" w:ascii="宋体" w:hAnsi="宋体" w:eastAsia="宋体" w:cs="宋体"/>
          <w:sz w:val="24"/>
          <w:szCs w:val="24"/>
        </w:rPr>
        <w:t>可进行优化，提供满足实际需要的更优（或者性能实质上不低于的）服务方案。</w:t>
      </w:r>
    </w:p>
    <w:p w14:paraId="5E957BF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维保服务要求</w:t>
      </w:r>
    </w:p>
    <w:p w14:paraId="271099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1、采购人相关归口科室对维护保养工作进行日常监督和定期考核，若发现</w:t>
      </w:r>
      <w:r>
        <w:rPr>
          <w:rFonts w:hint="eastAsia" w:ascii="宋体" w:hAnsi="宋体" w:eastAsia="宋体" w:cs="宋体"/>
          <w:sz w:val="24"/>
          <w:szCs w:val="24"/>
          <w:lang w:eastAsia="zh-CN"/>
        </w:rPr>
        <w:t>成交供应商</w:t>
      </w:r>
      <w:r>
        <w:rPr>
          <w:rFonts w:hint="eastAsia" w:ascii="宋体" w:hAnsi="宋体" w:eastAsia="宋体" w:cs="宋体"/>
          <w:sz w:val="24"/>
          <w:szCs w:val="24"/>
        </w:rPr>
        <w:t>违反双方约定或消防相关法规和规定要求，采购人有权责令其立即整改， 并有权扣罚相应履约保证金或维保费用，单项不足部分从另一项补齐。</w:t>
      </w:r>
    </w:p>
    <w:p w14:paraId="023885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应按要求进行调整、点检、修理等维修保养工作。每次工作完毕，维保人员应请采购人归口管理人员在作业表单上签字确认。</w:t>
      </w:r>
    </w:p>
    <w:p w14:paraId="6F911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3、采购人消防值班人员如有变动,</w:t>
      </w:r>
      <w:r>
        <w:rPr>
          <w:rFonts w:hint="eastAsia" w:ascii="宋体" w:hAnsi="宋体" w:eastAsia="宋体" w:cs="宋体"/>
          <w:sz w:val="24"/>
          <w:szCs w:val="24"/>
          <w:lang w:eastAsia="zh-CN"/>
        </w:rPr>
        <w:t>成交供应商</w:t>
      </w:r>
      <w:r>
        <w:rPr>
          <w:rFonts w:hint="eastAsia" w:ascii="宋体" w:hAnsi="宋体" w:eastAsia="宋体" w:cs="宋体"/>
          <w:sz w:val="24"/>
          <w:szCs w:val="24"/>
        </w:rPr>
        <w:t>随时派专业技术人员进行培训，详细介绍系统的组成、日常操作、注意事项等,使每位值班人员可以正确和熟练操作设备,掌握发生火灾或故障时的处理方法。</w:t>
      </w:r>
    </w:p>
    <w:p w14:paraId="2CFD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4、对消防系统每月、每季度和年检的维护工作完成后，应出具相应维护保养记录单；另外每季度应出具《消防评估报告》，每年应出具《消防设施检测报告》。年度《消防设施检测报告》除</w:t>
      </w:r>
      <w:r>
        <w:rPr>
          <w:rFonts w:hint="eastAsia" w:ascii="宋体" w:hAnsi="宋体" w:eastAsia="宋体" w:cs="宋体"/>
          <w:sz w:val="24"/>
          <w:szCs w:val="24"/>
          <w:lang w:eastAsia="zh-CN"/>
        </w:rPr>
        <w:t>成交供应商</w:t>
      </w:r>
      <w:r>
        <w:rPr>
          <w:rFonts w:hint="eastAsia" w:ascii="宋体" w:hAnsi="宋体" w:eastAsia="宋体" w:cs="宋体"/>
          <w:sz w:val="24"/>
          <w:szCs w:val="24"/>
        </w:rPr>
        <w:t>自行出具外，同时</w:t>
      </w:r>
      <w:r>
        <w:rPr>
          <w:rFonts w:hint="eastAsia" w:ascii="宋体" w:hAnsi="宋体" w:eastAsia="宋体" w:cs="宋体"/>
          <w:sz w:val="24"/>
          <w:szCs w:val="24"/>
          <w:lang w:eastAsia="zh-CN"/>
        </w:rPr>
        <w:t>成交供应商</w:t>
      </w:r>
      <w:r>
        <w:rPr>
          <w:rFonts w:hint="eastAsia" w:ascii="宋体" w:hAnsi="宋体" w:eastAsia="宋体" w:cs="宋体"/>
          <w:sz w:val="24"/>
          <w:szCs w:val="24"/>
        </w:rPr>
        <w:t>应委托有检测资质的第三方再出具一份，并提供第三方单位资质证书、营业执照以及检测操作人员上岗证等复印件（盖章）资料供采购人备案。以上所有费用均已包含在维保服务费内。</w:t>
      </w:r>
    </w:p>
    <w:p w14:paraId="3E694A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在接到采购人电话或书面通知后，须在0.5小时内形成电话反馈，当天派人到达现场处理（每次至少2人）。对于突发紧急故障需要解决的，</w:t>
      </w:r>
      <w:r>
        <w:rPr>
          <w:rFonts w:hint="eastAsia" w:ascii="宋体" w:hAnsi="宋体" w:eastAsia="宋体" w:cs="宋体"/>
          <w:sz w:val="24"/>
          <w:szCs w:val="24"/>
          <w:lang w:eastAsia="zh-CN"/>
        </w:rPr>
        <w:t>成交供应商</w:t>
      </w:r>
      <w:r>
        <w:rPr>
          <w:rFonts w:hint="eastAsia" w:ascii="宋体" w:hAnsi="宋体" w:eastAsia="宋体" w:cs="宋体"/>
          <w:sz w:val="24"/>
          <w:szCs w:val="24"/>
        </w:rPr>
        <w:t>必须派专人1小时内到场（每次至少2人）；能现场处理及时处置，不能当场解决的形成处理方案，报采购人同意后实施。若</w:t>
      </w:r>
      <w:r>
        <w:rPr>
          <w:rFonts w:hint="eastAsia" w:ascii="宋体" w:hAnsi="宋体" w:eastAsia="宋体" w:cs="宋体"/>
          <w:sz w:val="24"/>
          <w:szCs w:val="24"/>
          <w:lang w:eastAsia="zh-CN"/>
        </w:rPr>
        <w:t>成交供应商</w:t>
      </w:r>
      <w:r>
        <w:rPr>
          <w:rFonts w:hint="eastAsia" w:ascii="宋体" w:hAnsi="宋体" w:eastAsia="宋体" w:cs="宋体"/>
          <w:sz w:val="24"/>
          <w:szCs w:val="24"/>
        </w:rPr>
        <w:t>违约1次，单次扣罚年维保费</w:t>
      </w:r>
      <w:r>
        <w:rPr>
          <w:rFonts w:hint="eastAsia" w:ascii="宋体" w:hAnsi="宋体" w:eastAsia="宋体" w:cs="宋体"/>
          <w:sz w:val="24"/>
          <w:szCs w:val="24"/>
          <w:lang w:val="en-US" w:eastAsia="zh-CN"/>
        </w:rPr>
        <w:t>5</w:t>
      </w:r>
      <w:r>
        <w:rPr>
          <w:rFonts w:hint="eastAsia" w:ascii="宋体" w:hAnsi="宋体" w:eastAsia="宋体" w:cs="宋体"/>
          <w:sz w:val="24"/>
          <w:szCs w:val="24"/>
        </w:rPr>
        <w:t>00元，以此类推。</w:t>
      </w:r>
    </w:p>
    <w:p w14:paraId="764048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应无条件配合采购人接受相关部门的消防安全检查工作，若检查中发现因</w:t>
      </w:r>
      <w:r>
        <w:rPr>
          <w:rFonts w:hint="eastAsia" w:ascii="宋体" w:hAnsi="宋体" w:eastAsia="宋体" w:cs="宋体"/>
          <w:sz w:val="24"/>
          <w:szCs w:val="24"/>
          <w:lang w:eastAsia="zh-CN"/>
        </w:rPr>
        <w:t>成交供应商</w:t>
      </w:r>
      <w:r>
        <w:rPr>
          <w:rFonts w:hint="eastAsia" w:ascii="宋体" w:hAnsi="宋体" w:eastAsia="宋体" w:cs="宋体"/>
          <w:sz w:val="24"/>
          <w:szCs w:val="24"/>
        </w:rPr>
        <w:t>维修保养不良而产生的整改项目，</w:t>
      </w:r>
      <w:r>
        <w:rPr>
          <w:rFonts w:hint="eastAsia" w:ascii="宋体" w:hAnsi="宋体" w:eastAsia="宋体" w:cs="宋体"/>
          <w:sz w:val="24"/>
          <w:szCs w:val="24"/>
          <w:lang w:eastAsia="zh-CN"/>
        </w:rPr>
        <w:t>成交供应商</w:t>
      </w:r>
      <w:r>
        <w:rPr>
          <w:rFonts w:hint="eastAsia" w:ascii="宋体" w:hAnsi="宋体" w:eastAsia="宋体" w:cs="宋体"/>
          <w:sz w:val="24"/>
          <w:szCs w:val="24"/>
        </w:rPr>
        <w:t>应立即整改。</w:t>
      </w:r>
    </w:p>
    <w:p w14:paraId="1E6076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highlight w:val="yellow"/>
          <w:u w:val="single"/>
        </w:rPr>
        <w:t>7、维修时，</w:t>
      </w:r>
      <w:r>
        <w:rPr>
          <w:rFonts w:hint="eastAsia" w:ascii="宋体" w:hAnsi="宋体" w:cs="宋体"/>
          <w:sz w:val="24"/>
          <w:szCs w:val="24"/>
          <w:highlight w:val="yellow"/>
          <w:u w:val="single"/>
          <w:lang w:val="en-US" w:eastAsia="zh-CN"/>
        </w:rPr>
        <w:t>采购人</w:t>
      </w:r>
      <w:r>
        <w:rPr>
          <w:rFonts w:hint="eastAsia" w:ascii="宋体" w:hAnsi="宋体" w:eastAsia="宋体" w:cs="宋体"/>
          <w:sz w:val="24"/>
          <w:szCs w:val="24"/>
          <w:highlight w:val="yellow"/>
          <w:u w:val="single"/>
        </w:rPr>
        <w:t>只</w:t>
      </w:r>
      <w:r>
        <w:rPr>
          <w:rFonts w:hint="eastAsia" w:ascii="宋体" w:hAnsi="宋体" w:cs="宋体"/>
          <w:sz w:val="24"/>
          <w:szCs w:val="24"/>
          <w:highlight w:val="yellow"/>
          <w:u w:val="single"/>
          <w:lang w:val="en-US" w:eastAsia="zh-CN"/>
        </w:rPr>
        <w:t>承担</w:t>
      </w:r>
      <w:r>
        <w:rPr>
          <w:rFonts w:hint="eastAsia" w:ascii="宋体" w:hAnsi="宋体" w:eastAsia="宋体" w:cs="宋体"/>
          <w:sz w:val="24"/>
          <w:szCs w:val="24"/>
          <w:highlight w:val="yellow"/>
          <w:u w:val="single"/>
        </w:rPr>
        <w:t>材料费，人工费及物流费等其他费用，由</w:t>
      </w:r>
      <w:r>
        <w:rPr>
          <w:rFonts w:hint="eastAsia" w:ascii="宋体" w:hAnsi="宋体" w:cs="宋体"/>
          <w:sz w:val="24"/>
          <w:szCs w:val="24"/>
          <w:highlight w:val="yellow"/>
          <w:u w:val="single"/>
          <w:lang w:val="en-US" w:eastAsia="zh-CN"/>
        </w:rPr>
        <w:t>成交供应商</w:t>
      </w:r>
      <w:r>
        <w:rPr>
          <w:rFonts w:hint="eastAsia" w:ascii="宋体" w:hAnsi="宋体" w:eastAsia="宋体" w:cs="宋体"/>
          <w:sz w:val="24"/>
          <w:szCs w:val="24"/>
          <w:highlight w:val="yellow"/>
          <w:u w:val="single"/>
        </w:rPr>
        <w:t>承担。</w:t>
      </w:r>
    </w:p>
    <w:p w14:paraId="79B05C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8、对某些隐蔽工程进行维修时，</w:t>
      </w:r>
      <w:r>
        <w:rPr>
          <w:rFonts w:hint="eastAsia" w:ascii="宋体" w:hAnsi="宋体" w:eastAsia="宋体" w:cs="宋体"/>
          <w:sz w:val="24"/>
          <w:szCs w:val="24"/>
          <w:lang w:eastAsia="zh-CN"/>
        </w:rPr>
        <w:t>成交供应商</w:t>
      </w:r>
      <w:r>
        <w:rPr>
          <w:rFonts w:hint="eastAsia" w:ascii="宋体" w:hAnsi="宋体" w:eastAsia="宋体" w:cs="宋体"/>
          <w:sz w:val="24"/>
          <w:szCs w:val="24"/>
        </w:rPr>
        <w:t>应尽量保护原设施，若不可避免要对原装修进行改动，由双方协商解决。</w:t>
      </w:r>
      <w:r>
        <w:rPr>
          <w:rFonts w:hint="eastAsia" w:ascii="宋体" w:hAnsi="宋体" w:eastAsia="宋体" w:cs="宋体"/>
          <w:sz w:val="24"/>
          <w:szCs w:val="24"/>
          <w:lang w:eastAsia="zh-CN"/>
        </w:rPr>
        <w:t>成交供应商</w:t>
      </w:r>
      <w:r>
        <w:rPr>
          <w:rFonts w:hint="eastAsia" w:ascii="宋体" w:hAnsi="宋体" w:eastAsia="宋体" w:cs="宋体"/>
          <w:sz w:val="24"/>
          <w:szCs w:val="24"/>
        </w:rPr>
        <w:t>操作人员违规操作造成采购人设备损坏的，</w:t>
      </w:r>
      <w:r>
        <w:rPr>
          <w:rFonts w:hint="eastAsia" w:ascii="宋体" w:hAnsi="宋体" w:eastAsia="宋体" w:cs="宋体"/>
          <w:sz w:val="24"/>
          <w:szCs w:val="24"/>
          <w:lang w:eastAsia="zh-CN"/>
        </w:rPr>
        <w:t>成交供应商</w:t>
      </w:r>
      <w:r>
        <w:rPr>
          <w:rFonts w:hint="eastAsia" w:ascii="宋体" w:hAnsi="宋体" w:eastAsia="宋体" w:cs="宋体"/>
          <w:sz w:val="24"/>
          <w:szCs w:val="24"/>
        </w:rPr>
        <w:t>负责修复，并赔偿损失。</w:t>
      </w:r>
    </w:p>
    <w:p w14:paraId="003F51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eastAsia="zh-CN"/>
        </w:rPr>
        <w:t>成交供应商</w:t>
      </w:r>
      <w:r>
        <w:rPr>
          <w:rFonts w:hint="eastAsia" w:ascii="宋体" w:hAnsi="宋体" w:eastAsia="宋体" w:cs="宋体"/>
          <w:sz w:val="24"/>
          <w:szCs w:val="24"/>
        </w:rPr>
        <w:t>每年应对维保项目制定相应维修检测保养工作计划，并成册交予采购人，每月、每季度应按工作计划完成，未按工作计划完成，3次及以上采购人有权单方面解除合同。采购人归口管理科室对照</w:t>
      </w:r>
      <w:r>
        <w:rPr>
          <w:rFonts w:hint="eastAsia" w:ascii="宋体" w:hAnsi="宋体" w:eastAsia="宋体" w:cs="宋体"/>
          <w:sz w:val="24"/>
          <w:szCs w:val="24"/>
          <w:lang w:eastAsia="zh-CN"/>
        </w:rPr>
        <w:t>成交供应商</w:t>
      </w:r>
      <w:r>
        <w:rPr>
          <w:rFonts w:hint="eastAsia" w:ascii="宋体" w:hAnsi="宋体" w:eastAsia="宋体" w:cs="宋体"/>
          <w:sz w:val="24"/>
          <w:szCs w:val="24"/>
        </w:rPr>
        <w:t>提交工作计划进行考核。</w:t>
      </w:r>
    </w:p>
    <w:p w14:paraId="05E5A6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成交供应商</w:t>
      </w:r>
      <w:r>
        <w:rPr>
          <w:rFonts w:hint="eastAsia" w:ascii="宋体" w:hAnsi="宋体" w:eastAsia="宋体" w:cs="宋体"/>
          <w:sz w:val="24"/>
          <w:szCs w:val="24"/>
        </w:rPr>
        <w:t>应组织人员参加采购人组织的消防应急演练（每年不少于1次），并对整个演练过程给予相关建议及技术指导。</w:t>
      </w:r>
    </w:p>
    <w:p w14:paraId="7A91A5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yellow"/>
          <w:shd w:val="clear" w:color="FFFFFF" w:fill="D9D9D9"/>
        </w:rPr>
        <w:t>11、消防水、电系统中发生故障损坏的（包括强电、弱电、消火栓、阀门、水泵、卡箍等），</w:t>
      </w:r>
      <w:r>
        <w:rPr>
          <w:rFonts w:hint="eastAsia" w:ascii="宋体" w:hAnsi="宋体" w:eastAsia="宋体" w:cs="宋体"/>
          <w:b w:val="0"/>
          <w:bCs w:val="0"/>
          <w:color w:val="auto"/>
          <w:sz w:val="24"/>
          <w:szCs w:val="24"/>
          <w:highlight w:val="yellow"/>
          <w:shd w:val="clear" w:color="FFFFFF" w:fill="D9D9D9"/>
          <w:lang w:eastAsia="zh-CN"/>
        </w:rPr>
        <w:t>成交供应商</w:t>
      </w:r>
      <w:r>
        <w:rPr>
          <w:rFonts w:hint="eastAsia" w:ascii="宋体" w:hAnsi="宋体" w:eastAsia="宋体" w:cs="宋体"/>
          <w:b w:val="0"/>
          <w:bCs w:val="0"/>
          <w:color w:val="auto"/>
          <w:sz w:val="24"/>
          <w:szCs w:val="24"/>
          <w:highlight w:val="yellow"/>
          <w:shd w:val="clear" w:color="FFFFFF" w:fill="D9D9D9"/>
        </w:rPr>
        <w:t>须提供免费维修服务，涉及耗材更换的须征得采购人消防管理部门认可，价格按照</w:t>
      </w:r>
      <w:r>
        <w:rPr>
          <w:rFonts w:hint="eastAsia" w:ascii="宋体" w:hAnsi="宋体" w:eastAsia="宋体" w:cs="宋体"/>
          <w:b w:val="0"/>
          <w:bCs w:val="0"/>
          <w:color w:val="auto"/>
          <w:sz w:val="24"/>
          <w:szCs w:val="24"/>
          <w:highlight w:val="yellow"/>
          <w:shd w:val="clear" w:color="FFFFFF" w:fill="D9D9D9"/>
          <w:lang w:val="en-US" w:eastAsia="zh-CN"/>
        </w:rPr>
        <w:t>市场价</w:t>
      </w:r>
      <w:r>
        <w:rPr>
          <w:rFonts w:hint="eastAsia" w:ascii="宋体" w:hAnsi="宋体" w:eastAsia="宋体" w:cs="宋体"/>
          <w:b w:val="0"/>
          <w:bCs w:val="0"/>
          <w:color w:val="auto"/>
          <w:sz w:val="24"/>
          <w:szCs w:val="24"/>
          <w:highlight w:val="yellow"/>
          <w:shd w:val="clear" w:color="FFFFFF" w:fill="D9D9D9"/>
        </w:rPr>
        <w:t>据实结算。要求响应时间为 30分钟内，一般故障 24 小时内解决，重大故障72小时内解决，若因</w:t>
      </w:r>
      <w:r>
        <w:rPr>
          <w:rFonts w:hint="eastAsia" w:ascii="宋体" w:hAnsi="宋体" w:eastAsia="宋体" w:cs="宋体"/>
          <w:b w:val="0"/>
          <w:bCs w:val="0"/>
          <w:color w:val="auto"/>
          <w:sz w:val="24"/>
          <w:szCs w:val="24"/>
          <w:highlight w:val="yellow"/>
          <w:shd w:val="clear" w:color="FFFFFF" w:fill="D9D9D9"/>
          <w:lang w:eastAsia="zh-CN"/>
        </w:rPr>
        <w:t>成交供应商</w:t>
      </w:r>
      <w:r>
        <w:rPr>
          <w:rFonts w:hint="eastAsia" w:ascii="宋体" w:hAnsi="宋体" w:eastAsia="宋体" w:cs="宋体"/>
          <w:b w:val="0"/>
          <w:bCs w:val="0"/>
          <w:color w:val="auto"/>
          <w:sz w:val="24"/>
          <w:szCs w:val="24"/>
          <w:highlight w:val="yellow"/>
          <w:shd w:val="clear" w:color="FFFFFF" w:fill="D9D9D9"/>
        </w:rPr>
        <w:t>服务不及时，并经催促后仍不到场的，采购人有权交由第三方进行维修，所产生的所有费用均从当年维保费扣除，</w:t>
      </w:r>
      <w:r>
        <w:rPr>
          <w:rFonts w:hint="eastAsia" w:ascii="宋体" w:hAnsi="宋体" w:eastAsia="宋体" w:cs="宋体"/>
          <w:b w:val="0"/>
          <w:bCs w:val="0"/>
          <w:color w:val="auto"/>
          <w:sz w:val="24"/>
          <w:szCs w:val="24"/>
          <w:highlight w:val="yellow"/>
          <w:shd w:val="clear" w:color="FFFFFF" w:fill="D9D9D9"/>
          <w:lang w:eastAsia="zh-CN"/>
        </w:rPr>
        <w:t>成交供应商</w:t>
      </w:r>
      <w:r>
        <w:rPr>
          <w:rFonts w:hint="eastAsia" w:ascii="宋体" w:hAnsi="宋体" w:eastAsia="宋体" w:cs="宋体"/>
          <w:b w:val="0"/>
          <w:bCs w:val="0"/>
          <w:color w:val="auto"/>
          <w:sz w:val="24"/>
          <w:szCs w:val="24"/>
          <w:highlight w:val="yellow"/>
          <w:shd w:val="clear" w:color="FFFFFF" w:fill="D9D9D9"/>
        </w:rPr>
        <w:t>不得有任何异议。</w:t>
      </w:r>
    </w:p>
    <w:p w14:paraId="5198C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、根据采购人制定的消防维保服务考核标准对</w:t>
      </w:r>
      <w:r>
        <w:rPr>
          <w:rFonts w:hint="eastAsia" w:ascii="宋体" w:hAnsi="宋体" w:eastAsia="宋体" w:cs="宋体"/>
          <w:sz w:val="24"/>
          <w:szCs w:val="24"/>
          <w:lang w:eastAsia="zh-CN"/>
        </w:rPr>
        <w:t>成交供应商</w:t>
      </w:r>
      <w:r>
        <w:rPr>
          <w:rFonts w:hint="eastAsia" w:ascii="宋体" w:hAnsi="宋体" w:eastAsia="宋体" w:cs="宋体"/>
          <w:sz w:val="24"/>
          <w:szCs w:val="24"/>
        </w:rPr>
        <w:t>进行定期考核，考核分＜90分为不合格，采购人有权对</w:t>
      </w:r>
      <w:r>
        <w:rPr>
          <w:rFonts w:hint="eastAsia" w:ascii="宋体" w:hAnsi="宋体" w:eastAsia="宋体" w:cs="宋体"/>
          <w:sz w:val="24"/>
          <w:szCs w:val="24"/>
          <w:lang w:eastAsia="zh-CN"/>
        </w:rPr>
        <w:t>成交供应商</w:t>
      </w:r>
      <w:r>
        <w:rPr>
          <w:rFonts w:hint="eastAsia" w:ascii="宋体" w:hAnsi="宋体" w:eastAsia="宋体" w:cs="宋体"/>
          <w:sz w:val="24"/>
          <w:szCs w:val="24"/>
        </w:rPr>
        <w:t>进行约谈，</w:t>
      </w:r>
      <w:r>
        <w:rPr>
          <w:rFonts w:hint="eastAsia" w:ascii="宋体" w:hAnsi="宋体" w:eastAsia="宋体" w:cs="宋体"/>
          <w:sz w:val="24"/>
          <w:szCs w:val="24"/>
          <w:lang w:eastAsia="zh-CN"/>
        </w:rPr>
        <w:t>成交供应商</w:t>
      </w:r>
      <w:r>
        <w:rPr>
          <w:rFonts w:hint="eastAsia" w:ascii="宋体" w:hAnsi="宋体" w:eastAsia="宋体" w:cs="宋体"/>
          <w:sz w:val="24"/>
          <w:szCs w:val="24"/>
        </w:rPr>
        <w:t>应查找原因并及时整改；一个考核年度内考核不合格次数累计达2次（含2次）, 采购人有权立即终止合同并不予</w:t>
      </w:r>
      <w:r>
        <w:rPr>
          <w:rFonts w:hint="eastAsia" w:ascii="宋体" w:hAnsi="宋体" w:eastAsia="宋体" w:cs="宋体"/>
          <w:sz w:val="24"/>
          <w:szCs w:val="24"/>
          <w:lang w:val="en-US" w:eastAsia="zh-CN"/>
        </w:rPr>
        <w:t>结算费用</w:t>
      </w:r>
      <w:r>
        <w:rPr>
          <w:rFonts w:hint="eastAsia" w:ascii="宋体" w:hAnsi="宋体" w:eastAsia="宋体" w:cs="宋体"/>
          <w:sz w:val="24"/>
          <w:szCs w:val="24"/>
        </w:rPr>
        <w:t>。</w:t>
      </w:r>
    </w:p>
    <w:p w14:paraId="581C5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、在维保服务期内因</w:t>
      </w:r>
      <w:r>
        <w:rPr>
          <w:rFonts w:hint="eastAsia" w:ascii="宋体" w:hAnsi="宋体" w:eastAsia="宋体" w:cs="宋体"/>
          <w:sz w:val="24"/>
          <w:szCs w:val="24"/>
          <w:lang w:eastAsia="zh-CN"/>
        </w:rPr>
        <w:t>成交供应商</w:t>
      </w:r>
      <w:r>
        <w:rPr>
          <w:rFonts w:hint="eastAsia" w:ascii="宋体" w:hAnsi="宋体" w:eastAsia="宋体" w:cs="宋体"/>
          <w:sz w:val="24"/>
          <w:szCs w:val="24"/>
        </w:rPr>
        <w:t>原因造成的一切安全责任均由</w:t>
      </w:r>
      <w:r>
        <w:rPr>
          <w:rFonts w:hint="eastAsia" w:ascii="宋体" w:hAnsi="宋体" w:eastAsia="宋体" w:cs="宋体"/>
          <w:sz w:val="24"/>
          <w:szCs w:val="24"/>
          <w:lang w:eastAsia="zh-CN"/>
        </w:rPr>
        <w:t>成交供应商</w:t>
      </w:r>
      <w:r>
        <w:rPr>
          <w:rFonts w:hint="eastAsia" w:ascii="宋体" w:hAnsi="宋体" w:eastAsia="宋体" w:cs="宋体"/>
          <w:sz w:val="24"/>
          <w:szCs w:val="24"/>
        </w:rPr>
        <w:t>负责，采购人不负任何连带责任。</w:t>
      </w:r>
    </w:p>
    <w:p w14:paraId="36AA2D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成交供应商</w:t>
      </w:r>
      <w:r>
        <w:rPr>
          <w:rFonts w:hint="eastAsia" w:ascii="宋体" w:hAnsi="宋体" w:eastAsia="宋体" w:cs="宋体"/>
          <w:sz w:val="24"/>
          <w:szCs w:val="24"/>
        </w:rPr>
        <w:t>在服务期内不得无故或因自身经营亏损、物价上涨等外在因素提出上调价格、解除合同或不与采购人按要求续签合同。</w:t>
      </w:r>
    </w:p>
    <w:p w14:paraId="3FD9E072">
      <w:pPr>
        <w:keepNext w:val="0"/>
        <w:keepLines w:val="0"/>
        <w:pageBreakBefore w:val="0"/>
        <w:widowControl w:val="0"/>
        <w:tabs>
          <w:tab w:val="left" w:pos="30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不得擅自更换资格审查和投标时所报项目负责人、其他维护维修人员。</w:t>
      </w:r>
    </w:p>
    <w:p w14:paraId="581969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消防系统维保季度考核表</w:t>
      </w:r>
    </w:p>
    <w:tbl>
      <w:tblPr>
        <w:tblStyle w:val="36"/>
        <w:tblW w:w="9195" w:type="dxa"/>
        <w:tblInd w:w="0" w:type="dxa"/>
        <w:tblLayout w:type="fixed"/>
        <w:tblCellMar>
          <w:top w:w="0" w:type="dxa"/>
          <w:left w:w="108" w:type="dxa"/>
          <w:bottom w:w="0" w:type="dxa"/>
          <w:right w:w="108" w:type="dxa"/>
        </w:tblCellMar>
      </w:tblPr>
      <w:tblGrid>
        <w:gridCol w:w="705"/>
        <w:gridCol w:w="1278"/>
        <w:gridCol w:w="6477"/>
        <w:gridCol w:w="735"/>
      </w:tblGrid>
      <w:tr w14:paraId="68E02875">
        <w:tblPrEx>
          <w:tblCellMar>
            <w:top w:w="0" w:type="dxa"/>
            <w:left w:w="108" w:type="dxa"/>
            <w:bottom w:w="0" w:type="dxa"/>
            <w:right w:w="108" w:type="dxa"/>
          </w:tblCellMar>
        </w:tblPrEx>
        <w:trPr>
          <w:trHeight w:val="21" w:hRule="atLeast"/>
        </w:trPr>
        <w:tc>
          <w:tcPr>
            <w:tcW w:w="705" w:type="dxa"/>
            <w:tcBorders>
              <w:top w:val="single" w:color="auto" w:sz="4" w:space="0"/>
              <w:left w:val="single" w:color="000000" w:sz="4" w:space="0"/>
              <w:bottom w:val="single" w:color="000000" w:sz="4" w:space="0"/>
              <w:right w:val="single" w:color="000000" w:sz="4" w:space="0"/>
            </w:tcBorders>
            <w:noWrap/>
            <w:vAlign w:val="center"/>
          </w:tcPr>
          <w:p w14:paraId="7F3E6B95">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278" w:type="dxa"/>
            <w:tcBorders>
              <w:top w:val="single" w:color="auto" w:sz="4" w:space="0"/>
              <w:left w:val="single" w:color="000000" w:sz="4" w:space="0"/>
              <w:bottom w:val="single" w:color="000000" w:sz="4" w:space="0"/>
              <w:right w:val="single" w:color="000000" w:sz="4" w:space="0"/>
            </w:tcBorders>
            <w:noWrap/>
            <w:vAlign w:val="center"/>
          </w:tcPr>
          <w:p w14:paraId="0EF63299">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工作内容</w:t>
            </w:r>
          </w:p>
        </w:tc>
        <w:tc>
          <w:tcPr>
            <w:tcW w:w="6477" w:type="dxa"/>
            <w:tcBorders>
              <w:top w:val="single" w:color="auto" w:sz="4" w:space="0"/>
              <w:left w:val="single" w:color="000000" w:sz="4" w:space="0"/>
              <w:bottom w:val="single" w:color="000000" w:sz="4" w:space="0"/>
              <w:right w:val="single" w:color="000000" w:sz="4" w:space="0"/>
            </w:tcBorders>
            <w:noWrap/>
            <w:vAlign w:val="center"/>
          </w:tcPr>
          <w:p w14:paraId="03099C9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检查考核内容</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7F18F6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得分</w:t>
            </w:r>
          </w:p>
        </w:tc>
      </w:tr>
      <w:tr w14:paraId="02D9DC56">
        <w:tblPrEx>
          <w:tblCellMar>
            <w:top w:w="0" w:type="dxa"/>
            <w:left w:w="108" w:type="dxa"/>
            <w:bottom w:w="0" w:type="dxa"/>
            <w:right w:w="108" w:type="dxa"/>
          </w:tblCellMar>
        </w:tblPrEx>
        <w:trPr>
          <w:trHeight w:val="21" w:hRule="atLeast"/>
        </w:trPr>
        <w:tc>
          <w:tcPr>
            <w:tcW w:w="705" w:type="dxa"/>
            <w:vMerge w:val="restart"/>
            <w:tcBorders>
              <w:top w:val="single" w:color="000000" w:sz="4" w:space="0"/>
              <w:left w:val="single" w:color="000000" w:sz="4" w:space="0"/>
              <w:right w:val="single" w:color="000000" w:sz="4" w:space="0"/>
            </w:tcBorders>
            <w:noWrap/>
            <w:vAlign w:val="center"/>
          </w:tcPr>
          <w:p w14:paraId="317145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8" w:type="dxa"/>
            <w:vMerge w:val="restart"/>
            <w:tcBorders>
              <w:top w:val="single" w:color="000000" w:sz="4" w:space="0"/>
              <w:left w:val="single" w:color="000000" w:sz="4" w:space="0"/>
              <w:right w:val="single" w:color="000000" w:sz="4" w:space="0"/>
            </w:tcBorders>
            <w:noWrap w:val="0"/>
            <w:vAlign w:val="center"/>
          </w:tcPr>
          <w:p w14:paraId="63BD6F2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消防系统维修、保养</w:t>
            </w:r>
          </w:p>
        </w:tc>
        <w:tc>
          <w:tcPr>
            <w:tcW w:w="6477" w:type="dxa"/>
            <w:tcBorders>
              <w:top w:val="single" w:color="000000" w:sz="4" w:space="0"/>
              <w:left w:val="single" w:color="000000" w:sz="4" w:space="0"/>
              <w:bottom w:val="nil"/>
              <w:right w:val="single" w:color="000000" w:sz="4" w:space="0"/>
            </w:tcBorders>
            <w:noWrap w:val="0"/>
            <w:vAlign w:val="center"/>
          </w:tcPr>
          <w:p w14:paraId="7F000F2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维护保养工作未按照合同约定或者违反消防维护保养规定的地方，每次扣2.5分。</w:t>
            </w:r>
          </w:p>
        </w:tc>
        <w:tc>
          <w:tcPr>
            <w:tcW w:w="735" w:type="dxa"/>
            <w:vMerge w:val="restart"/>
            <w:tcBorders>
              <w:top w:val="single" w:color="000000" w:sz="4" w:space="0"/>
              <w:left w:val="single" w:color="000000" w:sz="4" w:space="0"/>
              <w:right w:val="single" w:color="000000" w:sz="4" w:space="0"/>
            </w:tcBorders>
            <w:noWrap/>
            <w:vAlign w:val="center"/>
          </w:tcPr>
          <w:p w14:paraId="38EEDEC7">
            <w:pPr>
              <w:jc w:val="center"/>
              <w:rPr>
                <w:rFonts w:hint="eastAsia" w:ascii="宋体" w:hAnsi="宋体" w:eastAsia="宋体" w:cs="宋体"/>
                <w:color w:val="000000"/>
                <w:sz w:val="24"/>
                <w:szCs w:val="24"/>
              </w:rPr>
            </w:pPr>
          </w:p>
        </w:tc>
      </w:tr>
      <w:tr w14:paraId="2C83B2DB">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6E563D0F">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217E0C1D">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6E70548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维修保养记录填写不齐全或记录不实，每次扣5分</w:t>
            </w:r>
          </w:p>
        </w:tc>
        <w:tc>
          <w:tcPr>
            <w:tcW w:w="735" w:type="dxa"/>
            <w:vMerge w:val="continue"/>
            <w:tcBorders>
              <w:left w:val="single" w:color="000000" w:sz="4" w:space="0"/>
              <w:right w:val="single" w:color="000000" w:sz="4" w:space="0"/>
            </w:tcBorders>
            <w:noWrap/>
            <w:vAlign w:val="center"/>
          </w:tcPr>
          <w:p w14:paraId="1F14DF97">
            <w:pPr>
              <w:jc w:val="center"/>
              <w:rPr>
                <w:rFonts w:hint="eastAsia" w:ascii="宋体" w:hAnsi="宋体" w:eastAsia="宋体" w:cs="宋体"/>
                <w:color w:val="000000"/>
                <w:sz w:val="24"/>
                <w:szCs w:val="24"/>
              </w:rPr>
            </w:pPr>
          </w:p>
        </w:tc>
      </w:tr>
      <w:tr w14:paraId="7BD5E5B8">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4B0734B2">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10BBC88D">
            <w:pPr>
              <w:widowControl/>
              <w:jc w:val="left"/>
              <w:textAlignment w:val="center"/>
              <w:rPr>
                <w:rFonts w:hint="eastAsia" w:ascii="宋体" w:hAnsi="宋体" w:eastAsia="宋体" w:cs="宋体"/>
                <w:color w:val="000000"/>
                <w:kern w:val="0"/>
                <w:sz w:val="24"/>
                <w:szCs w:val="24"/>
                <w:lang w:bidi="ar"/>
              </w:rPr>
            </w:pPr>
          </w:p>
        </w:tc>
        <w:tc>
          <w:tcPr>
            <w:tcW w:w="6477" w:type="dxa"/>
            <w:tcBorders>
              <w:top w:val="nil"/>
              <w:left w:val="nil"/>
              <w:bottom w:val="nil"/>
              <w:right w:val="nil"/>
            </w:tcBorders>
            <w:noWrap w:val="0"/>
            <w:vAlign w:val="center"/>
          </w:tcPr>
          <w:p w14:paraId="1FB637C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未按时出具每月《维保记录》，每季度《消防评估报告》，每年《消防设施检测报告》，每次扣5分</w:t>
            </w:r>
          </w:p>
        </w:tc>
        <w:tc>
          <w:tcPr>
            <w:tcW w:w="735" w:type="dxa"/>
            <w:vMerge w:val="continue"/>
            <w:tcBorders>
              <w:left w:val="single" w:color="000000" w:sz="4" w:space="0"/>
              <w:right w:val="single" w:color="000000" w:sz="4" w:space="0"/>
            </w:tcBorders>
            <w:noWrap/>
            <w:vAlign w:val="center"/>
          </w:tcPr>
          <w:p w14:paraId="3B062192">
            <w:pPr>
              <w:jc w:val="center"/>
              <w:rPr>
                <w:rFonts w:hint="eastAsia" w:ascii="宋体" w:hAnsi="宋体" w:eastAsia="宋体" w:cs="宋体"/>
                <w:color w:val="000000"/>
                <w:sz w:val="24"/>
                <w:szCs w:val="24"/>
              </w:rPr>
            </w:pPr>
          </w:p>
        </w:tc>
      </w:tr>
      <w:tr w14:paraId="0FEC699F">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0780FDD3">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766DA077">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1D28FC76">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维保工作不及时或无故拒绝维保的，每次扣2.5分。</w:t>
            </w:r>
          </w:p>
        </w:tc>
        <w:tc>
          <w:tcPr>
            <w:tcW w:w="735" w:type="dxa"/>
            <w:vMerge w:val="continue"/>
            <w:tcBorders>
              <w:left w:val="single" w:color="000000" w:sz="4" w:space="0"/>
              <w:right w:val="single" w:color="000000" w:sz="4" w:space="0"/>
            </w:tcBorders>
            <w:noWrap/>
            <w:vAlign w:val="center"/>
          </w:tcPr>
          <w:p w14:paraId="2B8AEC64">
            <w:pPr>
              <w:jc w:val="center"/>
              <w:rPr>
                <w:rFonts w:hint="eastAsia" w:ascii="宋体" w:hAnsi="宋体" w:eastAsia="宋体" w:cs="宋体"/>
                <w:color w:val="000000"/>
                <w:sz w:val="24"/>
                <w:szCs w:val="24"/>
              </w:rPr>
            </w:pPr>
          </w:p>
        </w:tc>
      </w:tr>
      <w:tr w14:paraId="174DEDFA">
        <w:tblPrEx>
          <w:tblCellMar>
            <w:top w:w="0" w:type="dxa"/>
            <w:left w:w="108" w:type="dxa"/>
            <w:bottom w:w="0" w:type="dxa"/>
            <w:right w:w="108" w:type="dxa"/>
          </w:tblCellMar>
        </w:tblPrEx>
        <w:trPr>
          <w:trHeight w:val="21" w:hRule="atLeast"/>
        </w:trPr>
        <w:tc>
          <w:tcPr>
            <w:tcW w:w="705" w:type="dxa"/>
            <w:vMerge w:val="continue"/>
            <w:tcBorders>
              <w:left w:val="single" w:color="000000" w:sz="4" w:space="0"/>
              <w:right w:val="single" w:color="000000" w:sz="4" w:space="0"/>
            </w:tcBorders>
            <w:noWrap/>
            <w:vAlign w:val="center"/>
          </w:tcPr>
          <w:p w14:paraId="46C9CF92">
            <w:pPr>
              <w:jc w:val="center"/>
              <w:rPr>
                <w:rFonts w:hint="eastAsia" w:ascii="宋体" w:hAnsi="宋体" w:eastAsia="宋体" w:cs="宋体"/>
                <w:color w:val="000000"/>
                <w:sz w:val="24"/>
                <w:szCs w:val="24"/>
              </w:rPr>
            </w:pPr>
          </w:p>
        </w:tc>
        <w:tc>
          <w:tcPr>
            <w:tcW w:w="1278" w:type="dxa"/>
            <w:vMerge w:val="continue"/>
            <w:tcBorders>
              <w:left w:val="single" w:color="000000" w:sz="4" w:space="0"/>
              <w:right w:val="single" w:color="000000" w:sz="4" w:space="0"/>
            </w:tcBorders>
            <w:noWrap w:val="0"/>
            <w:vAlign w:val="center"/>
          </w:tcPr>
          <w:p w14:paraId="1F77186E">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single" w:color="000000" w:sz="4" w:space="0"/>
              <w:bottom w:val="single" w:color="000000" w:sz="4" w:space="0"/>
              <w:right w:val="single" w:color="000000" w:sz="4" w:space="0"/>
            </w:tcBorders>
            <w:noWrap w:val="0"/>
            <w:vAlign w:val="center"/>
          </w:tcPr>
          <w:p w14:paraId="31AFBF4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成交供应商</w:t>
            </w:r>
            <w:r>
              <w:rPr>
                <w:rFonts w:hint="eastAsia" w:ascii="宋体" w:hAnsi="宋体" w:eastAsia="宋体" w:cs="宋体"/>
                <w:color w:val="000000"/>
                <w:kern w:val="0"/>
                <w:sz w:val="24"/>
                <w:szCs w:val="24"/>
                <w:lang w:bidi="ar"/>
              </w:rPr>
              <w:t>未配合采购人接受相关部门对采购人检查，每次扣5分。</w:t>
            </w:r>
          </w:p>
        </w:tc>
        <w:tc>
          <w:tcPr>
            <w:tcW w:w="735" w:type="dxa"/>
            <w:vMerge w:val="continue"/>
            <w:tcBorders>
              <w:left w:val="single" w:color="000000" w:sz="4" w:space="0"/>
              <w:right w:val="single" w:color="000000" w:sz="4" w:space="0"/>
            </w:tcBorders>
            <w:noWrap/>
            <w:vAlign w:val="center"/>
          </w:tcPr>
          <w:p w14:paraId="78AA3BE9">
            <w:pPr>
              <w:jc w:val="center"/>
              <w:rPr>
                <w:rFonts w:hint="eastAsia" w:ascii="宋体" w:hAnsi="宋体" w:eastAsia="宋体" w:cs="宋体"/>
                <w:color w:val="000000"/>
                <w:sz w:val="24"/>
                <w:szCs w:val="24"/>
              </w:rPr>
            </w:pPr>
          </w:p>
        </w:tc>
      </w:tr>
      <w:tr w14:paraId="5F328815">
        <w:tblPrEx>
          <w:tblCellMar>
            <w:top w:w="0" w:type="dxa"/>
            <w:left w:w="108" w:type="dxa"/>
            <w:bottom w:w="0" w:type="dxa"/>
            <w:right w:w="108" w:type="dxa"/>
          </w:tblCellMar>
        </w:tblPrEx>
        <w:trPr>
          <w:trHeight w:val="21" w:hRule="atLeast"/>
        </w:trPr>
        <w:tc>
          <w:tcPr>
            <w:tcW w:w="705" w:type="dxa"/>
            <w:vMerge w:val="continue"/>
            <w:tcBorders>
              <w:left w:val="single" w:color="000000" w:sz="4" w:space="0"/>
              <w:bottom w:val="nil"/>
              <w:right w:val="single" w:color="000000" w:sz="4" w:space="0"/>
            </w:tcBorders>
            <w:noWrap/>
            <w:vAlign w:val="center"/>
          </w:tcPr>
          <w:p w14:paraId="4417F9C7">
            <w:pPr>
              <w:widowControl/>
              <w:jc w:val="center"/>
              <w:textAlignment w:val="center"/>
              <w:rPr>
                <w:rFonts w:hint="eastAsia" w:ascii="宋体" w:hAnsi="宋体" w:eastAsia="宋体" w:cs="宋体"/>
                <w:color w:val="000000"/>
                <w:kern w:val="0"/>
                <w:sz w:val="24"/>
                <w:szCs w:val="24"/>
                <w:lang w:bidi="ar"/>
              </w:rPr>
            </w:pPr>
          </w:p>
        </w:tc>
        <w:tc>
          <w:tcPr>
            <w:tcW w:w="1278" w:type="dxa"/>
            <w:vMerge w:val="continue"/>
            <w:tcBorders>
              <w:left w:val="single" w:color="000000" w:sz="4" w:space="0"/>
              <w:bottom w:val="single" w:color="000000" w:sz="4" w:space="0"/>
              <w:right w:val="single" w:color="000000" w:sz="4" w:space="0"/>
            </w:tcBorders>
            <w:noWrap w:val="0"/>
            <w:vAlign w:val="center"/>
          </w:tcPr>
          <w:p w14:paraId="118DF78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1A23C47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在上级部门检查中，对因维修保养不良而产生的整改项目，每条扣5分。</w:t>
            </w:r>
          </w:p>
        </w:tc>
        <w:tc>
          <w:tcPr>
            <w:tcW w:w="735" w:type="dxa"/>
            <w:vMerge w:val="continue"/>
            <w:tcBorders>
              <w:left w:val="single" w:color="000000" w:sz="4" w:space="0"/>
              <w:bottom w:val="single" w:color="000000" w:sz="4" w:space="0"/>
              <w:right w:val="single" w:color="000000" w:sz="4" w:space="0"/>
            </w:tcBorders>
            <w:noWrap/>
            <w:vAlign w:val="center"/>
          </w:tcPr>
          <w:p w14:paraId="3E965908">
            <w:pPr>
              <w:jc w:val="center"/>
              <w:rPr>
                <w:rFonts w:hint="eastAsia" w:ascii="宋体" w:hAnsi="宋体" w:eastAsia="宋体" w:cs="宋体"/>
                <w:color w:val="000000"/>
                <w:sz w:val="24"/>
                <w:szCs w:val="24"/>
              </w:rPr>
            </w:pPr>
          </w:p>
        </w:tc>
      </w:tr>
      <w:tr w14:paraId="6DD5AAFF">
        <w:tblPrEx>
          <w:tblCellMar>
            <w:top w:w="0" w:type="dxa"/>
            <w:left w:w="108" w:type="dxa"/>
            <w:bottom w:w="0" w:type="dxa"/>
            <w:right w:w="108" w:type="dxa"/>
          </w:tblCellMar>
        </w:tblPrEx>
        <w:trPr>
          <w:trHeight w:val="21" w:hRule="atLeast"/>
        </w:trPr>
        <w:tc>
          <w:tcPr>
            <w:tcW w:w="705" w:type="dxa"/>
            <w:vMerge w:val="restart"/>
            <w:tcBorders>
              <w:top w:val="single" w:color="000000" w:sz="4" w:space="0"/>
              <w:left w:val="single" w:color="000000" w:sz="4" w:space="0"/>
              <w:bottom w:val="nil"/>
              <w:right w:val="nil"/>
            </w:tcBorders>
            <w:noWrap/>
            <w:vAlign w:val="center"/>
          </w:tcPr>
          <w:p w14:paraId="7F0BA7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CE44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消防系统运行管理和服务</w:t>
            </w:r>
          </w:p>
        </w:tc>
        <w:tc>
          <w:tcPr>
            <w:tcW w:w="6477" w:type="dxa"/>
            <w:tcBorders>
              <w:top w:val="single" w:color="000000" w:sz="4" w:space="0"/>
              <w:left w:val="nil"/>
              <w:bottom w:val="single" w:color="000000" w:sz="4" w:space="0"/>
              <w:right w:val="single" w:color="000000" w:sz="4" w:space="0"/>
            </w:tcBorders>
            <w:noWrap w:val="0"/>
            <w:vAlign w:val="center"/>
          </w:tcPr>
          <w:p w14:paraId="4F3CCC2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维保单位接到采购人故障报修后，未按时派遣持有职业资格证书的维修人员（每次至少2人），每次扣2.5分。未按合同要求完成维修任务，每次扣5分。</w:t>
            </w:r>
          </w:p>
        </w:tc>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14:paraId="6EC090B4">
            <w:pPr>
              <w:jc w:val="center"/>
              <w:rPr>
                <w:rFonts w:hint="eastAsia" w:ascii="宋体" w:hAnsi="宋体" w:eastAsia="宋体" w:cs="宋体"/>
                <w:color w:val="000000"/>
                <w:sz w:val="24"/>
                <w:szCs w:val="24"/>
              </w:rPr>
            </w:pPr>
          </w:p>
        </w:tc>
      </w:tr>
      <w:tr w14:paraId="03BFA4CF">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132D0C68">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2B77B">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45DA240C">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维保单位未制定维修检测维保工作计划，并成册交予采购人进行备案的，扣10分。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4042643B">
            <w:pPr>
              <w:jc w:val="center"/>
              <w:rPr>
                <w:rFonts w:hint="eastAsia" w:ascii="宋体" w:hAnsi="宋体" w:eastAsia="宋体" w:cs="宋体"/>
                <w:color w:val="000000"/>
                <w:sz w:val="24"/>
                <w:szCs w:val="24"/>
              </w:rPr>
            </w:pPr>
          </w:p>
        </w:tc>
      </w:tr>
      <w:tr w14:paraId="6C64ABFE">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656CD146">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CF6D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30C1ACD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每月、每季度未按计划完成相应维修检测保养工作，每次扣5分。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EE8C10F">
            <w:pPr>
              <w:jc w:val="center"/>
              <w:rPr>
                <w:rFonts w:hint="eastAsia" w:ascii="宋体" w:hAnsi="宋体" w:eastAsia="宋体" w:cs="宋体"/>
                <w:color w:val="000000"/>
                <w:sz w:val="24"/>
                <w:szCs w:val="24"/>
              </w:rPr>
            </w:pPr>
          </w:p>
        </w:tc>
      </w:tr>
      <w:tr w14:paraId="16A9011F">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434BC4CD">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5DDF5">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56C39FB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采购人在已通知</w:t>
            </w:r>
            <w:r>
              <w:rPr>
                <w:rFonts w:hint="eastAsia" w:ascii="宋体" w:hAnsi="宋体" w:eastAsia="宋体" w:cs="宋体"/>
                <w:color w:val="000000"/>
                <w:kern w:val="0"/>
                <w:sz w:val="24"/>
                <w:szCs w:val="24"/>
                <w:lang w:eastAsia="zh-CN" w:bidi="ar"/>
              </w:rPr>
              <w:t>成交供应商</w:t>
            </w:r>
            <w:r>
              <w:rPr>
                <w:rFonts w:hint="eastAsia" w:ascii="宋体" w:hAnsi="宋体" w:eastAsia="宋体" w:cs="宋体"/>
                <w:color w:val="000000"/>
                <w:kern w:val="0"/>
                <w:sz w:val="24"/>
                <w:szCs w:val="24"/>
                <w:lang w:bidi="ar"/>
              </w:rPr>
              <w:t>消防值班人员有变动情况下,维保单位未随时派专业技术人员对新增值班人员进行相关培训，每次扣2.5分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5C2A40FC">
            <w:pPr>
              <w:jc w:val="center"/>
              <w:rPr>
                <w:rFonts w:hint="eastAsia" w:ascii="宋体" w:hAnsi="宋体" w:eastAsia="宋体" w:cs="宋体"/>
                <w:color w:val="000000"/>
                <w:sz w:val="24"/>
                <w:szCs w:val="24"/>
              </w:rPr>
            </w:pPr>
          </w:p>
        </w:tc>
      </w:tr>
      <w:tr w14:paraId="283883CC">
        <w:tblPrEx>
          <w:tblCellMar>
            <w:top w:w="0" w:type="dxa"/>
            <w:left w:w="108" w:type="dxa"/>
            <w:bottom w:w="0" w:type="dxa"/>
            <w:right w:w="108" w:type="dxa"/>
          </w:tblCellMar>
        </w:tblPrEx>
        <w:trPr>
          <w:trHeight w:val="21" w:hRule="atLeast"/>
        </w:trPr>
        <w:tc>
          <w:tcPr>
            <w:tcW w:w="705" w:type="dxa"/>
            <w:vMerge w:val="continue"/>
            <w:tcBorders>
              <w:top w:val="single" w:color="000000" w:sz="4" w:space="0"/>
              <w:left w:val="single" w:color="000000" w:sz="4" w:space="0"/>
              <w:bottom w:val="nil"/>
              <w:right w:val="nil"/>
            </w:tcBorders>
            <w:noWrap/>
            <w:vAlign w:val="center"/>
          </w:tcPr>
          <w:p w14:paraId="4DF43ABF">
            <w:pPr>
              <w:jc w:val="center"/>
              <w:rPr>
                <w:rFonts w:hint="eastAsia" w:ascii="宋体" w:hAnsi="宋体" w:eastAsia="宋体" w:cs="宋体"/>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11857">
            <w:pPr>
              <w:widowControl/>
              <w:jc w:val="left"/>
              <w:textAlignment w:val="center"/>
              <w:rPr>
                <w:rFonts w:hint="eastAsia" w:ascii="宋体" w:hAnsi="宋体" w:eastAsia="宋体" w:cs="宋体"/>
                <w:color w:val="000000"/>
                <w:kern w:val="0"/>
                <w:sz w:val="24"/>
                <w:szCs w:val="24"/>
                <w:lang w:bidi="ar"/>
              </w:rPr>
            </w:pPr>
          </w:p>
        </w:tc>
        <w:tc>
          <w:tcPr>
            <w:tcW w:w="6477" w:type="dxa"/>
            <w:tcBorders>
              <w:top w:val="single" w:color="000000" w:sz="4" w:space="0"/>
              <w:left w:val="nil"/>
              <w:bottom w:val="single" w:color="000000" w:sz="4" w:space="0"/>
              <w:right w:val="single" w:color="000000" w:sz="4" w:space="0"/>
            </w:tcBorders>
            <w:noWrap w:val="0"/>
            <w:vAlign w:val="center"/>
          </w:tcPr>
          <w:p w14:paraId="68595DB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维保单位未参加采购人组织的消防应急演练（每年不少于1次），扣5分。</w:t>
            </w:r>
          </w:p>
        </w:tc>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14:paraId="6955B6EA">
            <w:pPr>
              <w:jc w:val="center"/>
              <w:rPr>
                <w:rFonts w:hint="eastAsia" w:ascii="宋体" w:hAnsi="宋体" w:eastAsia="宋体" w:cs="宋体"/>
                <w:color w:val="000000"/>
                <w:sz w:val="24"/>
                <w:szCs w:val="24"/>
              </w:rPr>
            </w:pPr>
          </w:p>
        </w:tc>
      </w:tr>
      <w:tr w14:paraId="2BF46EC3">
        <w:tblPrEx>
          <w:tblCellMar>
            <w:top w:w="0" w:type="dxa"/>
            <w:left w:w="108" w:type="dxa"/>
            <w:bottom w:w="0" w:type="dxa"/>
            <w:right w:w="108" w:type="dxa"/>
          </w:tblCellMar>
        </w:tblPrEx>
        <w:trPr>
          <w:trHeight w:val="21" w:hRule="atLeast"/>
        </w:trPr>
        <w:tc>
          <w:tcPr>
            <w:tcW w:w="8460" w:type="dxa"/>
            <w:gridSpan w:val="3"/>
            <w:tcBorders>
              <w:top w:val="single" w:color="000000" w:sz="4" w:space="0"/>
              <w:left w:val="single" w:color="000000" w:sz="4" w:space="0"/>
              <w:bottom w:val="single" w:color="000000" w:sz="4" w:space="0"/>
              <w:right w:val="single" w:color="000000" w:sz="4" w:space="0"/>
            </w:tcBorders>
            <w:noWrap/>
            <w:vAlign w:val="center"/>
          </w:tcPr>
          <w:p w14:paraId="22D26057">
            <w:pPr>
              <w:jc w:val="left"/>
              <w:rPr>
                <w:rStyle w:val="109"/>
                <w:rFonts w:hint="eastAsia" w:ascii="宋体" w:hAnsi="宋体" w:eastAsia="宋体" w:cs="宋体"/>
                <w:sz w:val="24"/>
                <w:szCs w:val="24"/>
                <w:lang w:bidi="ar"/>
              </w:rPr>
            </w:pPr>
            <w:r>
              <w:rPr>
                <w:rFonts w:hint="eastAsia" w:ascii="宋体" w:hAnsi="宋体" w:eastAsia="宋体" w:cs="宋体"/>
                <w:color w:val="000000"/>
                <w:sz w:val="24"/>
                <w:szCs w:val="24"/>
              </w:rPr>
              <w:t>备注：满分100分，</w:t>
            </w:r>
            <w:r>
              <w:rPr>
                <w:rStyle w:val="109"/>
                <w:rFonts w:hint="eastAsia" w:ascii="宋体" w:hAnsi="宋体" w:eastAsia="宋体" w:cs="宋体"/>
                <w:sz w:val="24"/>
                <w:szCs w:val="24"/>
                <w:lang w:bidi="ar"/>
              </w:rPr>
              <w:t>考核分＜90分为不合格</w:t>
            </w:r>
          </w:p>
        </w:tc>
        <w:tc>
          <w:tcPr>
            <w:tcW w:w="735" w:type="dxa"/>
            <w:tcBorders>
              <w:top w:val="single" w:color="000000" w:sz="4" w:space="0"/>
              <w:left w:val="single" w:color="000000" w:sz="4" w:space="0"/>
              <w:bottom w:val="single" w:color="000000" w:sz="4" w:space="0"/>
              <w:right w:val="single" w:color="auto" w:sz="4" w:space="0"/>
            </w:tcBorders>
            <w:noWrap/>
            <w:vAlign w:val="center"/>
          </w:tcPr>
          <w:p w14:paraId="6BD8F90E">
            <w:pPr>
              <w:jc w:val="center"/>
              <w:rPr>
                <w:rFonts w:hint="eastAsia" w:ascii="宋体" w:hAnsi="宋体" w:eastAsia="宋体" w:cs="宋体"/>
                <w:color w:val="000000"/>
                <w:sz w:val="24"/>
                <w:szCs w:val="24"/>
              </w:rPr>
            </w:pPr>
          </w:p>
        </w:tc>
      </w:tr>
      <w:tr w14:paraId="3F8DAA1A">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00916C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维保人员</w:t>
            </w:r>
          </w:p>
        </w:tc>
        <w:tc>
          <w:tcPr>
            <w:tcW w:w="7212" w:type="dxa"/>
            <w:gridSpan w:val="2"/>
            <w:tcBorders>
              <w:top w:val="single" w:color="auto" w:sz="4" w:space="0"/>
              <w:bottom w:val="single" w:color="auto" w:sz="4" w:space="0"/>
              <w:right w:val="single" w:color="auto" w:sz="4" w:space="0"/>
            </w:tcBorders>
            <w:noWrap w:val="0"/>
            <w:vAlign w:val="top"/>
          </w:tcPr>
          <w:p w14:paraId="32C21ECD">
            <w:pPr>
              <w:widowControl/>
              <w:jc w:val="left"/>
              <w:rPr>
                <w:rFonts w:hint="eastAsia" w:ascii="宋体" w:hAnsi="宋体" w:eastAsia="宋体" w:cs="宋体"/>
                <w:sz w:val="24"/>
                <w:szCs w:val="24"/>
              </w:rPr>
            </w:pPr>
          </w:p>
        </w:tc>
      </w:tr>
      <w:tr w14:paraId="70A33979">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777DF98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考核人员</w:t>
            </w:r>
          </w:p>
        </w:tc>
        <w:tc>
          <w:tcPr>
            <w:tcW w:w="7212" w:type="dxa"/>
            <w:gridSpan w:val="2"/>
            <w:tcBorders>
              <w:top w:val="single" w:color="auto" w:sz="4" w:space="0"/>
              <w:bottom w:val="single" w:color="auto" w:sz="4" w:space="0"/>
              <w:right w:val="single" w:color="auto" w:sz="4" w:space="0"/>
            </w:tcBorders>
            <w:noWrap w:val="0"/>
            <w:vAlign w:val="top"/>
          </w:tcPr>
          <w:p w14:paraId="3FA11A8A">
            <w:pPr>
              <w:widowControl/>
              <w:jc w:val="left"/>
              <w:rPr>
                <w:rFonts w:hint="eastAsia" w:ascii="宋体" w:hAnsi="宋体" w:eastAsia="宋体" w:cs="宋体"/>
                <w:sz w:val="24"/>
                <w:szCs w:val="24"/>
              </w:rPr>
            </w:pPr>
          </w:p>
        </w:tc>
      </w:tr>
      <w:tr w14:paraId="48781EC5">
        <w:tblPrEx>
          <w:tblCellMar>
            <w:top w:w="0" w:type="dxa"/>
            <w:left w:w="108" w:type="dxa"/>
            <w:bottom w:w="0" w:type="dxa"/>
            <w:right w:w="108" w:type="dxa"/>
          </w:tblCellMar>
        </w:tblPrEx>
        <w:trPr>
          <w:trHeight w:val="21" w:hRule="atLeast"/>
        </w:trPr>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14:paraId="68C195C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考核时间</w:t>
            </w:r>
          </w:p>
        </w:tc>
        <w:tc>
          <w:tcPr>
            <w:tcW w:w="7212" w:type="dxa"/>
            <w:gridSpan w:val="2"/>
            <w:tcBorders>
              <w:top w:val="single" w:color="auto" w:sz="4" w:space="0"/>
              <w:bottom w:val="single" w:color="auto" w:sz="4" w:space="0"/>
              <w:right w:val="single" w:color="auto" w:sz="4" w:space="0"/>
            </w:tcBorders>
            <w:noWrap w:val="0"/>
            <w:vAlign w:val="top"/>
          </w:tcPr>
          <w:p w14:paraId="7782D9B5">
            <w:pPr>
              <w:widowControl/>
              <w:jc w:val="left"/>
              <w:rPr>
                <w:rFonts w:hint="eastAsia" w:ascii="宋体" w:hAnsi="宋体" w:eastAsia="宋体" w:cs="宋体"/>
                <w:sz w:val="24"/>
                <w:szCs w:val="24"/>
              </w:rPr>
            </w:pPr>
          </w:p>
        </w:tc>
      </w:tr>
    </w:tbl>
    <w:p w14:paraId="572EAA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p>
    <w:p w14:paraId="7C437B4B">
      <w:pPr>
        <w:numPr>
          <w:ilvl w:val="0"/>
          <w:numId w:val="0"/>
        </w:numPr>
        <w:rPr>
          <w:rFonts w:hint="eastAsia" w:ascii="宋体" w:hAnsi="宋体" w:cs="宋体"/>
          <w:b w:val="0"/>
          <w:bCs w:val="0"/>
          <w:color w:val="000000" w:themeColor="text1"/>
          <w:spacing w:val="-2"/>
          <w:sz w:val="28"/>
          <w:szCs w:val="28"/>
          <w:u w:val="none"/>
          <w:lang w:val="en-US" w:eastAsia="zh-CN"/>
          <w14:textFill>
            <w14:solidFill>
              <w14:schemeClr w14:val="tx1"/>
            </w14:solidFill>
          </w14:textFill>
        </w:rPr>
      </w:pPr>
    </w:p>
    <w:p w14:paraId="2E141736">
      <w:pPr>
        <w:keepNext w:val="0"/>
        <w:keepLines w:val="0"/>
        <w:pageBreakBefore w:val="0"/>
        <w:widowControl w:val="0"/>
        <w:kinsoku/>
        <w:overflowPunct/>
        <w:topLinePunct w:val="0"/>
        <w:autoSpaceDE/>
        <w:autoSpaceDN/>
        <w:bidi w:val="0"/>
        <w:adjustRightInd/>
        <w:snapToGrid/>
        <w:spacing w:line="500" w:lineRule="exact"/>
        <w:jc w:val="both"/>
        <w:textAlignment w:val="auto"/>
        <w:outlineLvl w:val="0"/>
        <w:rPr>
          <w:rFonts w:hint="eastAsia" w:ascii="宋体" w:hAnsi="宋体" w:cs="宋体"/>
          <w:b/>
          <w:bCs/>
          <w:color w:val="000000" w:themeColor="text1"/>
          <w:spacing w:val="-2"/>
          <w:sz w:val="28"/>
          <w:szCs w:val="28"/>
          <w:u w:val="none"/>
          <w:lang w:val="en-US" w:eastAsia="zh-CN"/>
          <w14:textFill>
            <w14:solidFill>
              <w14:schemeClr w14:val="tx1"/>
            </w14:solidFill>
          </w14:textFill>
        </w:rPr>
      </w:pPr>
    </w:p>
    <w:p w14:paraId="5432B459">
      <w:pPr>
        <w:keepNext w:val="0"/>
        <w:keepLines w:val="0"/>
        <w:pageBreakBefore w:val="0"/>
        <w:widowControl w:val="0"/>
        <w:kinsoku/>
        <w:overflowPunct/>
        <w:topLinePunct w:val="0"/>
        <w:autoSpaceDE/>
        <w:autoSpaceDN/>
        <w:bidi w:val="0"/>
        <w:adjustRightInd/>
        <w:snapToGrid/>
        <w:spacing w:line="500" w:lineRule="exact"/>
        <w:jc w:val="center"/>
        <w:textAlignment w:val="auto"/>
        <w:outlineLvl w:val="0"/>
        <w:rPr>
          <w:rFonts w:hint="eastAsia" w:ascii="宋体" w:hAnsi="宋体" w:cs="宋体"/>
          <w:b/>
          <w:bCs/>
          <w:color w:val="000000" w:themeColor="text1"/>
          <w:spacing w:val="-2"/>
          <w:sz w:val="28"/>
          <w:szCs w:val="28"/>
          <w:u w:val="none"/>
          <w:lang w:val="en-US" w:eastAsia="zh-CN"/>
          <w14:textFill>
            <w14:solidFill>
              <w14:schemeClr w14:val="tx1"/>
            </w14:solidFill>
          </w14:textFill>
        </w:rPr>
      </w:pPr>
      <w:r>
        <w:rPr>
          <w:rFonts w:hint="eastAsia" w:ascii="宋体" w:hAnsi="宋体" w:cs="宋体"/>
          <w:b/>
          <w:bCs/>
          <w:color w:val="000000" w:themeColor="text1"/>
          <w:spacing w:val="-2"/>
          <w:sz w:val="28"/>
          <w:szCs w:val="28"/>
          <w:u w:val="none"/>
          <w:lang w:val="en-US" w:eastAsia="zh-CN"/>
          <w14:textFill>
            <w14:solidFill>
              <w14:schemeClr w14:val="tx1"/>
            </w14:solidFill>
          </w14:textFill>
        </w:rPr>
        <w:t>四、评审方法</w:t>
      </w:r>
    </w:p>
    <w:p w14:paraId="7090DA1F">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themeColor="text1"/>
          <w:sz w:val="24"/>
          <w:szCs w:val="24"/>
          <w:u w:val="none"/>
          <w14:textFill>
            <w14:solidFill>
              <w14:schemeClr w14:val="tx1"/>
            </w14:solidFill>
          </w14:textFill>
        </w:rPr>
      </w:pPr>
      <w:bookmarkStart w:id="99" w:name="_Toc17782"/>
      <w:r>
        <w:rPr>
          <w:rFonts w:hint="eastAsia" w:ascii="宋体" w:hAnsi="宋体" w:eastAsia="宋体" w:cs="宋体"/>
          <w:b/>
          <w:bCs/>
          <w:color w:val="000000" w:themeColor="text1"/>
          <w:spacing w:val="-2"/>
          <w:sz w:val="24"/>
          <w:szCs w:val="24"/>
          <w:u w:val="none"/>
          <w:lang w:eastAsia="zh-CN"/>
          <w14:textFill>
            <w14:solidFill>
              <w14:schemeClr w14:val="tx1"/>
            </w14:solidFill>
          </w14:textFill>
        </w:rPr>
        <w:t>（一）</w:t>
      </w:r>
      <w:r>
        <w:rPr>
          <w:rFonts w:hint="eastAsia" w:ascii="宋体" w:hAnsi="宋体" w:eastAsia="宋体" w:cs="宋体"/>
          <w:b/>
          <w:bCs/>
          <w:color w:val="000000" w:themeColor="text1"/>
          <w:spacing w:val="-2"/>
          <w:sz w:val="24"/>
          <w:szCs w:val="24"/>
          <w:u w:val="none"/>
          <w14:textFill>
            <w14:solidFill>
              <w14:schemeClr w14:val="tx1"/>
            </w14:solidFill>
          </w14:textFill>
        </w:rPr>
        <w:t>资格</w:t>
      </w:r>
      <w:r>
        <w:rPr>
          <w:rFonts w:hint="eastAsia" w:ascii="宋体" w:hAnsi="宋体" w:cs="宋体"/>
          <w:b/>
          <w:bCs/>
          <w:color w:val="000000" w:themeColor="text1"/>
          <w:spacing w:val="-2"/>
          <w:sz w:val="24"/>
          <w:szCs w:val="24"/>
          <w:u w:val="none"/>
          <w:lang w:eastAsia="zh-CN"/>
          <w14:textFill>
            <w14:solidFill>
              <w14:schemeClr w14:val="tx1"/>
            </w14:solidFill>
          </w14:textFill>
        </w:rPr>
        <w:t>及实质性响应</w:t>
      </w:r>
      <w:r>
        <w:rPr>
          <w:rFonts w:hint="eastAsia" w:ascii="宋体" w:hAnsi="宋体" w:eastAsia="宋体" w:cs="宋体"/>
          <w:b/>
          <w:bCs/>
          <w:color w:val="000000" w:themeColor="text1"/>
          <w:spacing w:val="-2"/>
          <w:sz w:val="24"/>
          <w:szCs w:val="24"/>
          <w:u w:val="none"/>
          <w14:textFill>
            <w14:solidFill>
              <w14:schemeClr w14:val="tx1"/>
            </w14:solidFill>
          </w14:textFill>
        </w:rPr>
        <w:t>审查</w:t>
      </w:r>
    </w:p>
    <w:p w14:paraId="513BFB9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none"/>
          <w:lang w:val="en-US" w:eastAsia="zh-CN"/>
          <w14:textFill>
            <w14:solidFill>
              <w14:schemeClr w14:val="tx1"/>
            </w14:solidFill>
          </w14:textFill>
        </w:rPr>
        <w:t>采购人或代理机构对供应商的资格及实质性响应情况进行审查，审查响应文件是否响应了谈判文件的资格及实质性响应要求。当发现供应商或其响应文件存在下列情况之一时，将判定供应商不符合采购文件要求，审查不通过。</w:t>
      </w:r>
    </w:p>
    <w:tbl>
      <w:tblPr>
        <w:tblStyle w:val="107"/>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6BC5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6541A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w:t>
            </w:r>
          </w:p>
        </w:tc>
        <w:tc>
          <w:tcPr>
            <w:tcW w:w="6233" w:type="dxa"/>
            <w:noWrap w:val="0"/>
            <w:vAlign w:val="center"/>
          </w:tcPr>
          <w:p w14:paraId="0D37F6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审查标准</w:t>
            </w:r>
          </w:p>
        </w:tc>
      </w:tr>
      <w:tr w14:paraId="7A52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170A82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（一）资格审查</w:t>
            </w:r>
          </w:p>
        </w:tc>
      </w:tr>
      <w:tr w14:paraId="05F4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010699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w:t>
            </w:r>
            <w:r>
              <w:rPr>
                <w:rFonts w:hint="eastAsia" w:ascii="宋体" w:hAnsi="宋体" w:eastAsia="宋体" w:cs="宋体"/>
                <w:color w:val="000000" w:themeColor="text1"/>
                <w:sz w:val="24"/>
                <w:szCs w:val="24"/>
                <w:highlight w:val="none"/>
                <w:lang w:eastAsia="zh-CN"/>
                <w14:textFill>
                  <w14:solidFill>
                    <w14:schemeClr w14:val="tx1"/>
                  </w14:solidFill>
                </w14:textFill>
              </w:rPr>
              <w:t>审查</w:t>
            </w:r>
          </w:p>
        </w:tc>
        <w:tc>
          <w:tcPr>
            <w:tcW w:w="1722" w:type="dxa"/>
            <w:tcBorders>
              <w:bottom w:val="single" w:color="000000" w:sz="2" w:space="0"/>
            </w:tcBorders>
            <w:noWrap w:val="0"/>
            <w:vAlign w:val="center"/>
          </w:tcPr>
          <w:p w14:paraId="091A24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w:t>
            </w:r>
          </w:p>
        </w:tc>
        <w:tc>
          <w:tcPr>
            <w:tcW w:w="6233" w:type="dxa"/>
            <w:noWrap w:val="0"/>
            <w:vAlign w:val="center"/>
          </w:tcPr>
          <w:p w14:paraId="60C8B5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未提供营业执照</w:t>
            </w:r>
          </w:p>
        </w:tc>
      </w:tr>
      <w:tr w14:paraId="1682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3FD1D0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2F814E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资格条件</w:t>
            </w:r>
          </w:p>
        </w:tc>
        <w:tc>
          <w:tcPr>
            <w:tcW w:w="6233" w:type="dxa"/>
            <w:noWrap w:val="0"/>
            <w:vAlign w:val="center"/>
          </w:tcPr>
          <w:p w14:paraId="7ACF07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文件要求</w:t>
            </w:r>
          </w:p>
        </w:tc>
      </w:tr>
      <w:tr w14:paraId="25AF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2E431E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670978C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信用要求</w:t>
            </w:r>
          </w:p>
        </w:tc>
        <w:tc>
          <w:tcPr>
            <w:tcW w:w="6233" w:type="dxa"/>
            <w:noWrap w:val="0"/>
            <w:vAlign w:val="center"/>
          </w:tcPr>
          <w:p w14:paraId="5746818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采购人或采购代理机构依据法律法规和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文件中规定的内容，对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资格进行审查，未通过资格审查的</w:t>
            </w:r>
            <w:r>
              <w:rPr>
                <w:rFonts w:hint="eastAsia" w:ascii="宋体" w:hAnsi="宋体" w:eastAsia="宋体" w:cs="宋体"/>
                <w:color w:val="000000" w:themeColor="text1"/>
                <w:sz w:val="24"/>
                <w:szCs w:val="24"/>
                <w:highlight w:val="none"/>
                <w:lang w:eastAsia="zh-CN"/>
                <w14:textFill>
                  <w14:solidFill>
                    <w14:schemeClr w14:val="tx1"/>
                  </w14:solidFill>
                </w14:textFill>
              </w:rPr>
              <w:t>供应商不可参加后续评审</w:t>
            </w:r>
            <w:r>
              <w:rPr>
                <w:rFonts w:hint="eastAsia" w:ascii="宋体" w:hAnsi="宋体" w:eastAsia="宋体" w:cs="宋体"/>
                <w:color w:val="000000" w:themeColor="text1"/>
                <w:sz w:val="24"/>
                <w:szCs w:val="24"/>
                <w:highlight w:val="none"/>
                <w14:textFill>
                  <w14:solidFill>
                    <w14:schemeClr w14:val="tx1"/>
                  </w14:solidFill>
                </w14:textFill>
              </w:rPr>
              <w:t>。</w:t>
            </w:r>
          </w:p>
          <w:p w14:paraId="14735F22">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按照《财政部关于在政府采购活动中查询及使用信用记录有关问题的通知》(财库〔2016〕125号)</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C1521AA">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两个以上的自然人、法人或者其他组织组成一个联合体，以一个</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的身份共同参加政府采购活动的，应当对所有联合体成员进行信用记录查询，联合体成员之一存在不良信用记录的，视同联合体存在不良信用记录。</w:t>
            </w:r>
          </w:p>
          <w:p w14:paraId="39CF3B6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eastAsia="zh-CN"/>
                <w14:textFill>
                  <w14:solidFill>
                    <w14:schemeClr w14:val="tx1"/>
                  </w14:solidFill>
                </w14:textFill>
              </w:rPr>
              <w:t>：投标人在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文件中无需提供证明材料。</w:t>
            </w:r>
            <w:r>
              <w:rPr>
                <w:rFonts w:hint="eastAsia" w:ascii="宋体" w:hAnsi="宋体" w:eastAsia="宋体" w:cs="宋体"/>
                <w:color w:val="000000" w:themeColor="text1"/>
                <w:sz w:val="24"/>
                <w:szCs w:val="24"/>
                <w:highlight w:val="none"/>
                <w14:textFill>
                  <w14:solidFill>
                    <w14:schemeClr w14:val="tx1"/>
                  </w14:solidFill>
                </w14:textFill>
              </w:rPr>
              <w:t>投标截止时间后至评审结束前</w:t>
            </w:r>
            <w:r>
              <w:rPr>
                <w:rFonts w:hint="eastAsia" w:ascii="宋体" w:hAnsi="宋体" w:eastAsia="宋体" w:cs="宋体"/>
                <w:color w:val="000000" w:themeColor="text1"/>
                <w:sz w:val="24"/>
                <w:szCs w:val="24"/>
                <w:highlight w:val="none"/>
                <w:lang w:eastAsia="zh-CN"/>
                <w14:textFill>
                  <w14:solidFill>
                    <w14:schemeClr w14:val="tx1"/>
                  </w14:solidFill>
                </w14:textFill>
              </w:rPr>
              <w:t>，通过</w:t>
            </w:r>
            <w:r>
              <w:rPr>
                <w:rFonts w:hint="eastAsia" w:ascii="宋体" w:hAnsi="宋体" w:eastAsia="宋体" w:cs="宋体"/>
                <w:color w:val="000000" w:themeColor="text1"/>
                <w:sz w:val="24"/>
                <w:szCs w:val="24"/>
                <w:highlight w:val="none"/>
                <w14:textFill>
                  <w14:solidFill>
                    <w14:schemeClr w14:val="tx1"/>
                  </w14:solidFill>
                </w14:textFill>
              </w:rPr>
              <w:t>系统对</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(含联合体成员)进行交互查询，以评标时系统与“信用中国(www.creditchina.gov.cn)”平台实时交互数据为准。</w:t>
            </w:r>
            <w:r>
              <w:rPr>
                <w:rFonts w:hint="eastAsia" w:ascii="宋体" w:hAnsi="宋体" w:eastAsia="宋体" w:cs="宋体"/>
                <w:color w:val="000000" w:themeColor="text1"/>
                <w:sz w:val="24"/>
                <w:szCs w:val="24"/>
                <w:highlight w:val="none"/>
                <w:lang w:eastAsia="zh-CN"/>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遇系统故障，</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“信用中国(www.creditchina.gov.cn)”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网站</w:t>
            </w:r>
            <w:r>
              <w:rPr>
                <w:rFonts w:hint="eastAsia" w:ascii="宋体" w:hAnsi="宋体" w:eastAsia="宋体" w:cs="宋体"/>
                <w:color w:val="000000" w:themeColor="text1"/>
                <w:sz w:val="24"/>
                <w:szCs w:val="24"/>
                <w:highlight w:val="none"/>
                <w14:textFill>
                  <w14:solidFill>
                    <w14:schemeClr w14:val="tx1"/>
                  </w14:solidFill>
                </w14:textFill>
              </w:rPr>
              <w:t>人工查询为准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人工查询仍有故障的，则此项</w:t>
            </w:r>
            <w:r>
              <w:rPr>
                <w:rFonts w:hint="eastAsia" w:ascii="宋体" w:hAnsi="宋体" w:eastAsia="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时不作要求</w:t>
            </w:r>
            <w:r>
              <w:rPr>
                <w:rFonts w:hint="eastAsia" w:ascii="宋体" w:hAnsi="宋体" w:eastAsia="宋体" w:cs="宋体"/>
                <w:color w:val="000000" w:themeColor="text1"/>
                <w:sz w:val="24"/>
                <w:szCs w:val="24"/>
                <w:highlight w:val="none"/>
                <w:lang w:eastAsia="zh-CN"/>
                <w14:textFill>
                  <w14:solidFill>
                    <w14:schemeClr w14:val="tx1"/>
                  </w14:solidFill>
                </w14:textFill>
              </w:rPr>
              <w:t>，现场</w:t>
            </w:r>
            <w:r>
              <w:rPr>
                <w:rFonts w:hint="eastAsia" w:ascii="宋体" w:hAnsi="宋体" w:eastAsia="宋体" w:cs="宋体"/>
                <w:color w:val="000000" w:themeColor="text1"/>
                <w:sz w:val="24"/>
                <w:szCs w:val="24"/>
                <w:highlight w:val="none"/>
                <w14:textFill>
                  <w14:solidFill>
                    <w14:schemeClr w14:val="tx1"/>
                  </w14:solidFill>
                </w14:textFill>
              </w:rPr>
              <w:t>对故障页面证据截图存档</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70CE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3CCB35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tcBorders>
              <w:top w:val="single" w:color="000000" w:sz="2" w:space="0"/>
              <w:bottom w:val="single" w:color="000000" w:sz="2" w:space="0"/>
            </w:tcBorders>
            <w:noWrap w:val="0"/>
            <w:vAlign w:val="center"/>
          </w:tcPr>
          <w:p w14:paraId="3A533D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p>
        </w:tc>
        <w:tc>
          <w:tcPr>
            <w:tcW w:w="6233" w:type="dxa"/>
            <w:noWrap w:val="0"/>
            <w:vAlign w:val="center"/>
          </w:tcPr>
          <w:p w14:paraId="5252EF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供应商被行政监督部门作出禁止</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处罚且在有效期内的，或其他违反法律法规和</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文件规定的应该按无效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处理的情形</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6AFC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AB52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（二）符合性审查</w:t>
            </w:r>
          </w:p>
        </w:tc>
      </w:tr>
      <w:tr w14:paraId="3627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3D11FF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符合性审查</w:t>
            </w:r>
          </w:p>
        </w:tc>
        <w:tc>
          <w:tcPr>
            <w:tcW w:w="1722" w:type="dxa"/>
            <w:tcBorders>
              <w:top w:val="single" w:color="000000" w:sz="2" w:space="0"/>
            </w:tcBorders>
            <w:shd w:val="clear" w:color="auto" w:fill="auto"/>
            <w:noWrap w:val="0"/>
            <w:vAlign w:val="center"/>
          </w:tcPr>
          <w:p w14:paraId="60B437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技术响应情况</w:t>
            </w:r>
          </w:p>
        </w:tc>
        <w:tc>
          <w:tcPr>
            <w:tcW w:w="6233" w:type="dxa"/>
            <w:shd w:val="clear" w:color="auto" w:fill="auto"/>
            <w:noWrap w:val="0"/>
            <w:vAlign w:val="center"/>
          </w:tcPr>
          <w:p w14:paraId="7DB7090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文件采购需求中</w:t>
            </w:r>
            <w:r>
              <w:rPr>
                <w:rFonts w:hint="eastAsia" w:ascii="宋体" w:hAnsi="宋体" w:eastAsia="宋体" w:cs="宋体"/>
                <w:color w:val="000000" w:themeColor="text1"/>
                <w:sz w:val="24"/>
                <w:szCs w:val="24"/>
                <w:highlight w:val="none"/>
                <w:lang w:eastAsia="zh-CN"/>
                <w14:textFill>
                  <w14:solidFill>
                    <w14:schemeClr w14:val="tx1"/>
                  </w14:solidFill>
                </w14:textFill>
              </w:rPr>
              <w:t>实质性响应</w:t>
            </w:r>
            <w:r>
              <w:rPr>
                <w:rFonts w:hint="eastAsia" w:ascii="宋体" w:hAnsi="宋体" w:eastAsia="宋体" w:cs="宋体"/>
                <w:color w:val="000000" w:themeColor="text1"/>
                <w:sz w:val="24"/>
                <w:szCs w:val="24"/>
                <w:highlight w:val="none"/>
                <w14:textFill>
                  <w14:solidFill>
                    <w14:schemeClr w14:val="tx1"/>
                  </w14:solidFill>
                </w14:textFill>
              </w:rPr>
              <w:t>技术参数</w:t>
            </w:r>
            <w:r>
              <w:rPr>
                <w:rFonts w:hint="eastAsia" w:ascii="宋体" w:hAnsi="宋体" w:eastAsia="宋体" w:cs="宋体"/>
                <w:color w:val="000000" w:themeColor="text1"/>
                <w:sz w:val="24"/>
                <w:szCs w:val="24"/>
                <w:highlight w:val="none"/>
                <w:lang w:eastAsia="zh-CN"/>
                <w14:textFill>
                  <w14:solidFill>
                    <w14:schemeClr w14:val="tx1"/>
                  </w14:solidFill>
                </w14:textFill>
              </w:rPr>
              <w:t>要求</w:t>
            </w:r>
          </w:p>
        </w:tc>
      </w:tr>
      <w:tr w14:paraId="72021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13E9E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722" w:type="dxa"/>
            <w:shd w:val="clear" w:color="auto" w:fill="auto"/>
            <w:vAlign w:val="center"/>
          </w:tcPr>
          <w:p w14:paraId="364C75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商务响应情况</w:t>
            </w:r>
          </w:p>
        </w:tc>
        <w:tc>
          <w:tcPr>
            <w:tcW w:w="6233" w:type="dxa"/>
            <w:shd w:val="clear" w:color="auto" w:fill="auto"/>
            <w:vAlign w:val="center"/>
          </w:tcPr>
          <w:p w14:paraId="2961B6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w:t>
            </w: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付款方式、</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等实质性响应要求</w:t>
            </w:r>
          </w:p>
        </w:tc>
      </w:tr>
      <w:tr w14:paraId="4746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58C456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2"/>
                <w:sz w:val="24"/>
                <w:szCs w:val="24"/>
                <w:highlight w:val="none"/>
                <w:u w:val="none"/>
                <w:lang w:val="en-US" w:eastAsia="zh-CN"/>
                <w14:textFill>
                  <w14:solidFill>
                    <w14:schemeClr w14:val="tx1"/>
                  </w14:solidFill>
                </w14:textFill>
              </w:rPr>
              <w:t>（三）报价评审</w:t>
            </w:r>
          </w:p>
        </w:tc>
      </w:tr>
      <w:tr w14:paraId="45AF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1DC05A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报价评审</w:t>
            </w:r>
          </w:p>
        </w:tc>
        <w:tc>
          <w:tcPr>
            <w:tcW w:w="1722" w:type="dxa"/>
            <w:shd w:val="clear" w:color="auto" w:fill="auto"/>
            <w:vAlign w:val="center"/>
          </w:tcPr>
          <w:p w14:paraId="44E134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6233" w:type="dxa"/>
            <w:shd w:val="clear" w:color="auto" w:fill="auto"/>
            <w:vAlign w:val="center"/>
          </w:tcPr>
          <w:p w14:paraId="478DBE79">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未按采购文件规定进行二轮报价的，属于响应文件有效组成部分缺失，</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A1E9922">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超出项目预算金额或最高限价的，</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3FB5EEC5">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000000" w:themeColor="text1"/>
                <w:sz w:val="24"/>
                <w:szCs w:val="24"/>
                <w:highlight w:val="none"/>
                <w14:textFill>
                  <w14:solidFill>
                    <w14:schemeClr w14:val="tx1"/>
                  </w14:solidFill>
                </w14:textFill>
              </w:rPr>
              <w:t>按无效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5D9222AD">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lang w:val="en-US" w:eastAsia="zh-CN"/>
          <w14:textFill>
            <w14:solidFill>
              <w14:schemeClr w14:val="tx1"/>
            </w14:solidFill>
          </w14:textFill>
        </w:rPr>
        <w:t>2、综合评审</w:t>
      </w:r>
    </w:p>
    <w:p w14:paraId="47E7020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t>由谈判小组对响应文件进行评审，并根据谈判文件规定的程序、评定成交的标准等事项与实质性响应谈判文件要求的供应商进行谈判。</w:t>
      </w:r>
    </w:p>
    <w:p w14:paraId="0C7A30A3">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5AF27102">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487E0929">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4885BD75">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032EF69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62ACEFE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79D8DCC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p w14:paraId="64B2CAE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000000" w:themeColor="text1"/>
          <w:spacing w:val="0"/>
          <w:w w:val="100"/>
          <w:position w:val="0"/>
          <w:sz w:val="24"/>
          <w:szCs w:val="24"/>
          <w:u w:val="none"/>
          <w:lang w:val="en-US" w:eastAsia="zh-CN"/>
          <w14:textFill>
            <w14:solidFill>
              <w14:schemeClr w14:val="tx1"/>
            </w14:solidFill>
          </w14:textFill>
        </w:rPr>
      </w:pPr>
    </w:p>
    <w:bookmarkEnd w:id="99"/>
    <w:p w14:paraId="6ECFCAB1">
      <w:pPr>
        <w:pStyle w:val="7"/>
        <w:spacing w:before="0" w:after="0" w:line="560" w:lineRule="exact"/>
        <w:jc w:val="both"/>
        <w:rPr>
          <w:rFonts w:hint="eastAsia" w:ascii="宋体" w:hAnsi="宋体" w:eastAsia="宋体" w:cs="宋体"/>
          <w:color w:val="000000" w:themeColor="text1"/>
          <w:sz w:val="28"/>
          <w:szCs w:val="28"/>
          <w:lang w:eastAsia="zh-CN"/>
          <w14:textFill>
            <w14:solidFill>
              <w14:schemeClr w14:val="tx1"/>
            </w14:solidFill>
          </w14:textFill>
        </w:rPr>
      </w:pPr>
    </w:p>
    <w:p w14:paraId="226580EC">
      <w:pPr>
        <w:rPr>
          <w:rFonts w:hint="eastAsia" w:ascii="宋体" w:hAnsi="宋体" w:eastAsia="宋体" w:cs="宋体"/>
          <w:color w:val="000000" w:themeColor="text1"/>
          <w:sz w:val="28"/>
          <w:szCs w:val="28"/>
          <w:lang w:eastAsia="zh-CN"/>
          <w14:textFill>
            <w14:solidFill>
              <w14:schemeClr w14:val="tx1"/>
            </w14:solidFill>
          </w14:textFill>
        </w:rPr>
      </w:pPr>
    </w:p>
    <w:p w14:paraId="7D85B555">
      <w:pPr>
        <w:rPr>
          <w:rFonts w:hint="eastAsia" w:ascii="宋体" w:hAnsi="宋体" w:eastAsia="宋体" w:cs="宋体"/>
          <w:color w:val="000000" w:themeColor="text1"/>
          <w:sz w:val="28"/>
          <w:szCs w:val="28"/>
          <w:lang w:eastAsia="zh-CN"/>
          <w14:textFill>
            <w14:solidFill>
              <w14:schemeClr w14:val="tx1"/>
            </w14:solidFill>
          </w14:textFill>
        </w:rPr>
      </w:pPr>
    </w:p>
    <w:p w14:paraId="7D159B0A">
      <w:pP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br w:type="page"/>
      </w:r>
    </w:p>
    <w:p w14:paraId="3981213D">
      <w:pPr>
        <w:pStyle w:val="7"/>
        <w:spacing w:before="0" w:after="0"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五</w:t>
      </w:r>
      <w:r>
        <w:rPr>
          <w:rFonts w:hint="eastAsia" w:ascii="宋体" w:hAnsi="宋体" w:eastAsia="宋体" w:cs="宋体"/>
          <w:color w:val="000000" w:themeColor="text1"/>
          <w:sz w:val="28"/>
          <w:szCs w:val="28"/>
          <w14:textFill>
            <w14:solidFill>
              <w14:schemeClr w14:val="tx1"/>
            </w14:solidFill>
          </w14:textFill>
        </w:rPr>
        <w:t>、响应文件格式</w:t>
      </w:r>
    </w:p>
    <w:p w14:paraId="594239D5">
      <w:pPr>
        <w:spacing w:line="500" w:lineRule="exact"/>
        <w:jc w:val="center"/>
        <w:rPr>
          <w:rFonts w:hint="eastAsia" w:ascii="宋体" w:hAnsi="宋体"/>
          <w:b/>
          <w:color w:val="000000" w:themeColor="text1"/>
          <w:sz w:val="32"/>
          <w:u w:val="single"/>
          <w14:textFill>
            <w14:solidFill>
              <w14:schemeClr w14:val="tx1"/>
            </w14:solidFill>
          </w14:textFill>
        </w:rPr>
      </w:pPr>
    </w:p>
    <w:p w14:paraId="42A7ACA8">
      <w:pPr>
        <w:spacing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u w:val="single"/>
          <w14:textFill>
            <w14:solidFill>
              <w14:schemeClr w14:val="tx1"/>
            </w14:solidFill>
          </w14:textFill>
        </w:rPr>
        <w:t xml:space="preserve">　　　　　　　 </w:t>
      </w:r>
      <w:r>
        <w:rPr>
          <w:rFonts w:hint="eastAsia" w:ascii="宋体" w:hAnsi="宋体"/>
          <w:b/>
          <w:color w:val="000000" w:themeColor="text1"/>
          <w:sz w:val="32"/>
          <w14:textFill>
            <w14:solidFill>
              <w14:schemeClr w14:val="tx1"/>
            </w14:solidFill>
          </w14:textFill>
        </w:rPr>
        <w:t>项目</w:t>
      </w:r>
    </w:p>
    <w:p w14:paraId="57D374C3">
      <w:pPr>
        <w:spacing w:line="900" w:lineRule="exact"/>
        <w:rPr>
          <w:rFonts w:ascii="宋体" w:hAnsi="宋体"/>
          <w:b/>
          <w:color w:val="000000" w:themeColor="text1"/>
          <w:sz w:val="72"/>
          <w14:textFill>
            <w14:solidFill>
              <w14:schemeClr w14:val="tx1"/>
            </w14:solidFill>
          </w14:textFill>
        </w:rPr>
      </w:pPr>
    </w:p>
    <w:p w14:paraId="0DD00E3D">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w:t>
      </w:r>
    </w:p>
    <w:p w14:paraId="510BCEFD">
      <w:pPr>
        <w:spacing w:line="900" w:lineRule="exact"/>
        <w:jc w:val="center"/>
        <w:rPr>
          <w:rFonts w:ascii="宋体" w:hAnsi="宋体"/>
          <w:b/>
          <w:color w:val="000000" w:themeColor="text1"/>
          <w:sz w:val="72"/>
          <w14:textFill>
            <w14:solidFill>
              <w14:schemeClr w14:val="tx1"/>
            </w14:solidFill>
          </w14:textFill>
        </w:rPr>
      </w:pPr>
    </w:p>
    <w:p w14:paraId="2814F0B1">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应</w:t>
      </w:r>
    </w:p>
    <w:p w14:paraId="16909DE5">
      <w:pPr>
        <w:spacing w:line="900" w:lineRule="exact"/>
        <w:jc w:val="center"/>
        <w:rPr>
          <w:rFonts w:ascii="宋体" w:hAnsi="宋体"/>
          <w:b/>
          <w:color w:val="000000" w:themeColor="text1"/>
          <w:sz w:val="72"/>
          <w14:textFill>
            <w14:solidFill>
              <w14:schemeClr w14:val="tx1"/>
            </w14:solidFill>
          </w14:textFill>
        </w:rPr>
      </w:pPr>
    </w:p>
    <w:p w14:paraId="6CAC82BA">
      <w:pPr>
        <w:spacing w:line="900" w:lineRule="exact"/>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文</w:t>
      </w:r>
    </w:p>
    <w:p w14:paraId="06AB4D52">
      <w:pPr>
        <w:spacing w:line="900" w:lineRule="exact"/>
        <w:jc w:val="center"/>
        <w:rPr>
          <w:rFonts w:ascii="宋体" w:hAnsi="宋体"/>
          <w:b/>
          <w:color w:val="000000" w:themeColor="text1"/>
          <w:sz w:val="72"/>
          <w14:textFill>
            <w14:solidFill>
              <w14:schemeClr w14:val="tx1"/>
            </w14:solidFill>
          </w14:textFill>
        </w:rPr>
      </w:pPr>
    </w:p>
    <w:p w14:paraId="19707EA8">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件</w:t>
      </w:r>
    </w:p>
    <w:p w14:paraId="015D2FD7">
      <w:pPr>
        <w:spacing w:after="156" w:afterLines="50"/>
        <w:jc w:val="center"/>
        <w:rPr>
          <w:rFonts w:ascii="宋体" w:hAnsi="宋体"/>
          <w:b/>
          <w:color w:val="000000" w:themeColor="text1"/>
          <w:sz w:val="72"/>
          <w14:textFill>
            <w14:solidFill>
              <w14:schemeClr w14:val="tx1"/>
            </w14:solidFill>
          </w14:textFill>
        </w:rPr>
      </w:pPr>
    </w:p>
    <w:p w14:paraId="68B750BE">
      <w:pPr>
        <w:spacing w:after="156" w:afterLines="50" w:line="500" w:lineRule="exact"/>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第</w:t>
      </w:r>
      <w:r>
        <w:rPr>
          <w:rFonts w:hint="eastAsia" w:ascii="宋体" w:hAnsi="宋体"/>
          <w:b/>
          <w:color w:val="000000" w:themeColor="text1"/>
          <w:sz w:val="30"/>
          <w:szCs w:val="30"/>
          <w:u w:val="single"/>
          <w14:textFill>
            <w14:solidFill>
              <w14:schemeClr w14:val="tx1"/>
            </w14:solidFill>
          </w14:textFill>
        </w:rPr>
        <w:t xml:space="preserve">   </w:t>
      </w:r>
      <w:r>
        <w:rPr>
          <w:rFonts w:hint="eastAsia" w:ascii="宋体" w:hAnsi="宋体"/>
          <w:b/>
          <w:color w:val="000000" w:themeColor="text1"/>
          <w:sz w:val="30"/>
          <w:szCs w:val="30"/>
          <w14:textFill>
            <w14:solidFill>
              <w14:schemeClr w14:val="tx1"/>
            </w14:solidFill>
          </w14:textFill>
        </w:rPr>
        <w:t>包</w:t>
      </w:r>
    </w:p>
    <w:p w14:paraId="734E5983">
      <w:pPr>
        <w:spacing w:after="156" w:afterLines="50" w:line="500" w:lineRule="exact"/>
        <w:jc w:val="center"/>
        <w:rPr>
          <w:rFonts w:ascii="宋体" w:hAnsi="宋体"/>
          <w:b/>
          <w:color w:val="000000" w:themeColor="text1"/>
          <w:sz w:val="72"/>
          <w14:textFill>
            <w14:solidFill>
              <w14:schemeClr w14:val="tx1"/>
            </w14:solidFill>
          </w14:textFill>
        </w:rPr>
      </w:pPr>
    </w:p>
    <w:p w14:paraId="61FAB26E">
      <w:pPr>
        <w:spacing w:after="156" w:afterLines="50" w:line="500" w:lineRule="exact"/>
        <w:ind w:firstLine="3534" w:firstLineChars="1100"/>
        <w:rPr>
          <w:rFonts w:ascii="宋体" w:hAnsi="宋体"/>
          <w:b/>
          <w:color w:val="000000" w:themeColor="text1"/>
          <w:sz w:val="32"/>
          <w:u w:val="single"/>
          <w14:textFill>
            <w14:solidFill>
              <w14:schemeClr w14:val="tx1"/>
            </w14:solidFill>
          </w14:textFill>
        </w:rPr>
      </w:pPr>
      <w:r>
        <w:rPr>
          <w:rFonts w:hint="eastAsia" w:ascii="宋体" w:hAnsi="宋体"/>
          <w:b/>
          <w:color w:val="000000" w:themeColor="text1"/>
          <w:sz w:val="32"/>
          <w14:textFill>
            <w14:solidFill>
              <w14:schemeClr w14:val="tx1"/>
            </w14:solidFill>
          </w14:textFill>
        </w:rPr>
        <w:t>供应商：</w:t>
      </w:r>
    </w:p>
    <w:p w14:paraId="08B06DF6">
      <w:pPr>
        <w:spacing w:after="156" w:afterLines="50" w:line="500" w:lineRule="exact"/>
        <w:jc w:val="center"/>
        <w:rPr>
          <w:rFonts w:ascii="宋体" w:hAnsi="宋体"/>
          <w:b/>
          <w:color w:val="000000" w:themeColor="text1"/>
          <w:sz w:val="32"/>
          <w14:textFill>
            <w14:solidFill>
              <w14:schemeClr w14:val="tx1"/>
            </w14:solidFill>
          </w14:textFill>
        </w:rPr>
      </w:pPr>
      <w:r>
        <w:rPr>
          <w:rFonts w:hint="eastAsia" w:ascii="宋体" w:hAnsi="宋体"/>
          <w:b/>
          <w:color w:val="000000" w:themeColor="text1"/>
          <w:sz w:val="32"/>
          <w14:textFill>
            <w14:solidFill>
              <w14:schemeClr w14:val="tx1"/>
            </w14:solidFill>
          </w14:textFill>
        </w:rPr>
        <w:t>年  月  日</w:t>
      </w:r>
    </w:p>
    <w:p w14:paraId="47D78357">
      <w:pPr>
        <w:spacing w:after="156" w:afterLines="50" w:line="500" w:lineRule="exact"/>
        <w:jc w:val="center"/>
        <w:rPr>
          <w:rFonts w:ascii="宋体" w:hAnsi="宋体"/>
          <w:b/>
          <w:color w:val="000000" w:themeColor="text1"/>
          <w:sz w:val="32"/>
          <w14:textFill>
            <w14:solidFill>
              <w14:schemeClr w14:val="tx1"/>
            </w14:solidFill>
          </w14:textFill>
        </w:rPr>
      </w:pPr>
    </w:p>
    <w:p w14:paraId="231959E6">
      <w:pPr>
        <w:spacing w:line="360" w:lineRule="auto"/>
        <w:rPr>
          <w:rFonts w:ascii="宋体" w:hAnsi="宋体"/>
          <w:color w:val="000000" w:themeColor="text1"/>
          <w:sz w:val="24"/>
          <w:szCs w:val="28"/>
          <w14:textFill>
            <w14:solidFill>
              <w14:schemeClr w14:val="tx1"/>
            </w14:solidFill>
          </w14:textFill>
        </w:rPr>
      </w:pPr>
    </w:p>
    <w:bookmarkEnd w:id="97"/>
    <w:p w14:paraId="0E7F4F50">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00" w:name="_Toc6123"/>
      <w:r>
        <w:rPr>
          <w:rFonts w:hint="eastAsia" w:ascii="宋体" w:hAnsi="宋体" w:eastAsia="宋体" w:cs="宋体"/>
          <w:color w:val="000000" w:themeColor="text1"/>
          <w:sz w:val="24"/>
          <w:szCs w:val="24"/>
          <w14:textFill>
            <w14:solidFill>
              <w14:schemeClr w14:val="tx1"/>
            </w14:solidFill>
          </w14:textFill>
        </w:rPr>
        <w:t>响应文件资料清单</w:t>
      </w:r>
      <w:bookmarkEnd w:id="100"/>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7A7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C89A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6038" w:type="dxa"/>
            <w:vAlign w:val="center"/>
          </w:tcPr>
          <w:p w14:paraId="0E66E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1417" w:type="dxa"/>
            <w:vAlign w:val="center"/>
          </w:tcPr>
          <w:p w14:paraId="25944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14:paraId="0FE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EDE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一</w:t>
            </w:r>
          </w:p>
        </w:tc>
        <w:tc>
          <w:tcPr>
            <w:tcW w:w="6038" w:type="dxa"/>
            <w:vAlign w:val="center"/>
          </w:tcPr>
          <w:p w14:paraId="07E3A59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报价单</w:t>
            </w:r>
          </w:p>
        </w:tc>
        <w:tc>
          <w:tcPr>
            <w:tcW w:w="1417" w:type="dxa"/>
            <w:vAlign w:val="center"/>
          </w:tcPr>
          <w:p w14:paraId="36BD2E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101F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563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二</w:t>
            </w:r>
          </w:p>
        </w:tc>
        <w:tc>
          <w:tcPr>
            <w:tcW w:w="6038" w:type="dxa"/>
            <w:vAlign w:val="center"/>
          </w:tcPr>
          <w:p w14:paraId="234663D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供应商基本信息</w:t>
            </w:r>
          </w:p>
        </w:tc>
        <w:tc>
          <w:tcPr>
            <w:tcW w:w="1417" w:type="dxa"/>
            <w:vAlign w:val="center"/>
          </w:tcPr>
          <w:p w14:paraId="09A39C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6B9E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126CC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三</w:t>
            </w:r>
          </w:p>
        </w:tc>
        <w:tc>
          <w:tcPr>
            <w:tcW w:w="6038" w:type="dxa"/>
            <w:vAlign w:val="center"/>
          </w:tcPr>
          <w:p w14:paraId="5DD7644B">
            <w:pPr>
              <w:pStyle w:val="72"/>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谈判授权书</w:t>
            </w:r>
          </w:p>
        </w:tc>
        <w:tc>
          <w:tcPr>
            <w:tcW w:w="1417" w:type="dxa"/>
            <w:vAlign w:val="center"/>
          </w:tcPr>
          <w:p w14:paraId="76F15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2EEE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87F5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四</w:t>
            </w:r>
          </w:p>
        </w:tc>
        <w:tc>
          <w:tcPr>
            <w:tcW w:w="6038" w:type="dxa"/>
            <w:vAlign w:val="center"/>
          </w:tcPr>
          <w:p w14:paraId="1B04EC31">
            <w:pPr>
              <w:pStyle w:val="72"/>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谈判响应函</w:t>
            </w:r>
          </w:p>
        </w:tc>
        <w:tc>
          <w:tcPr>
            <w:tcW w:w="1417" w:type="dxa"/>
            <w:vAlign w:val="center"/>
          </w:tcPr>
          <w:p w14:paraId="06744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585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0ED3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五</w:t>
            </w:r>
          </w:p>
        </w:tc>
        <w:tc>
          <w:tcPr>
            <w:tcW w:w="6038" w:type="dxa"/>
            <w:vAlign w:val="center"/>
          </w:tcPr>
          <w:p w14:paraId="1265219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无重大违法记录声明函、无不良信用记录承诺函</w:t>
            </w:r>
          </w:p>
        </w:tc>
        <w:tc>
          <w:tcPr>
            <w:tcW w:w="1417" w:type="dxa"/>
            <w:vAlign w:val="center"/>
          </w:tcPr>
          <w:p w14:paraId="62D12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000000" w:themeColor="text1"/>
                <w:sz w:val="24"/>
                <w14:textFill>
                  <w14:solidFill>
                    <w14:schemeClr w14:val="tx1"/>
                  </w14:solidFill>
                </w14:textFill>
              </w:rPr>
            </w:pPr>
          </w:p>
        </w:tc>
      </w:tr>
      <w:tr w14:paraId="3BCC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DDB86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ahoma" w:hAnsi="Tahoma"/>
                <w:color w:val="000000" w:themeColor="text1"/>
                <w:sz w:val="24"/>
                <w14:textFill>
                  <w14:solidFill>
                    <w14:schemeClr w14:val="tx1"/>
                  </w14:solidFill>
                </w14:textFill>
              </w:rPr>
            </w:pPr>
            <w:r>
              <w:rPr>
                <w:rFonts w:hint="eastAsia" w:ascii="Tahoma" w:hAnsi="Tahoma"/>
                <w:color w:val="000000" w:themeColor="text1"/>
                <w:sz w:val="24"/>
                <w14:textFill>
                  <w14:solidFill>
                    <w14:schemeClr w14:val="tx1"/>
                  </w14:solidFill>
                </w14:textFill>
              </w:rPr>
              <w:t>六</w:t>
            </w:r>
          </w:p>
        </w:tc>
        <w:tc>
          <w:tcPr>
            <w:tcW w:w="6038" w:type="dxa"/>
            <w:vAlign w:val="center"/>
          </w:tcPr>
          <w:p w14:paraId="4102C0D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响应情况表</w:t>
            </w:r>
          </w:p>
        </w:tc>
        <w:tc>
          <w:tcPr>
            <w:tcW w:w="1417" w:type="dxa"/>
            <w:vAlign w:val="center"/>
          </w:tcPr>
          <w:p w14:paraId="2E107B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7A92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AAC4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r>
              <w:rPr>
                <w:rFonts w:hint="eastAsia" w:ascii="Tahoma" w:hAnsi="Tahoma"/>
                <w:color w:val="000000" w:themeColor="text1"/>
                <w:sz w:val="24"/>
                <w:lang w:eastAsia="zh-CN"/>
                <w14:textFill>
                  <w14:solidFill>
                    <w14:schemeClr w14:val="tx1"/>
                  </w14:solidFill>
                </w14:textFill>
              </w:rPr>
              <w:t>七</w:t>
            </w:r>
          </w:p>
        </w:tc>
        <w:tc>
          <w:tcPr>
            <w:tcW w:w="6038" w:type="dxa"/>
            <w:shd w:val="clear" w:color="auto" w:fill="auto"/>
            <w:vAlign w:val="center"/>
          </w:tcPr>
          <w:p w14:paraId="478A32A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联合体协议</w:t>
            </w:r>
          </w:p>
        </w:tc>
        <w:tc>
          <w:tcPr>
            <w:tcW w:w="1417" w:type="dxa"/>
            <w:vAlign w:val="center"/>
          </w:tcPr>
          <w:p w14:paraId="306B0A4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1969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4CBA4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r>
              <w:rPr>
                <w:rFonts w:hint="eastAsia" w:ascii="Tahoma" w:hAnsi="Tahoma"/>
                <w:color w:val="000000" w:themeColor="text1"/>
                <w:sz w:val="24"/>
                <w:lang w:eastAsia="zh-CN"/>
                <w14:textFill>
                  <w14:solidFill>
                    <w14:schemeClr w14:val="tx1"/>
                  </w14:solidFill>
                </w14:textFill>
              </w:rPr>
              <w:t>八</w:t>
            </w:r>
          </w:p>
        </w:tc>
        <w:tc>
          <w:tcPr>
            <w:tcW w:w="6038" w:type="dxa"/>
            <w:shd w:val="clear" w:color="auto" w:fill="auto"/>
            <w:vAlign w:val="center"/>
          </w:tcPr>
          <w:p w14:paraId="07ADB4D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谈判文件要求和供应商认为需要提供的其它说明和资料</w:t>
            </w:r>
          </w:p>
        </w:tc>
        <w:tc>
          <w:tcPr>
            <w:tcW w:w="1417" w:type="dxa"/>
            <w:vAlign w:val="center"/>
          </w:tcPr>
          <w:p w14:paraId="52B72AC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62EB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3096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ahoma" w:hAnsi="Tahoma" w:eastAsia="宋体"/>
                <w:color w:val="000000" w:themeColor="text1"/>
                <w:sz w:val="24"/>
                <w:lang w:eastAsia="zh-CN"/>
                <w14:textFill>
                  <w14:solidFill>
                    <w14:schemeClr w14:val="tx1"/>
                  </w14:solidFill>
                </w14:textFill>
              </w:rPr>
            </w:pPr>
          </w:p>
        </w:tc>
        <w:tc>
          <w:tcPr>
            <w:tcW w:w="6038" w:type="dxa"/>
            <w:vAlign w:val="center"/>
          </w:tcPr>
          <w:p w14:paraId="2BE265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 w:val="24"/>
                <w14:textFill>
                  <w14:solidFill>
                    <w14:schemeClr w14:val="tx1"/>
                  </w14:solidFill>
                </w14:textFill>
              </w:rPr>
            </w:pPr>
          </w:p>
        </w:tc>
        <w:tc>
          <w:tcPr>
            <w:tcW w:w="1417" w:type="dxa"/>
            <w:vAlign w:val="center"/>
          </w:tcPr>
          <w:p w14:paraId="6B637F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0083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5F1A8E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000000" w:themeColor="text1"/>
                <w:sz w:val="24"/>
                <w:lang w:val="en-US" w:eastAsia="zh-CN"/>
                <w14:textFill>
                  <w14:solidFill>
                    <w14:schemeClr w14:val="tx1"/>
                  </w14:solidFill>
                </w14:textFill>
              </w:rPr>
            </w:pPr>
          </w:p>
        </w:tc>
        <w:tc>
          <w:tcPr>
            <w:tcW w:w="6038" w:type="dxa"/>
            <w:vAlign w:val="center"/>
          </w:tcPr>
          <w:p w14:paraId="6B04DD7D">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0F9A91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5AB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3C41B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4"/>
                <w14:textFill>
                  <w14:solidFill>
                    <w14:schemeClr w14:val="tx1"/>
                  </w14:solidFill>
                </w14:textFill>
              </w:rPr>
            </w:pPr>
          </w:p>
        </w:tc>
        <w:tc>
          <w:tcPr>
            <w:tcW w:w="6038" w:type="dxa"/>
            <w:vAlign w:val="center"/>
          </w:tcPr>
          <w:p w14:paraId="534D9E13">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03C5CE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r w14:paraId="3D8C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23CE41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sz w:val="24"/>
                <w14:textFill>
                  <w14:solidFill>
                    <w14:schemeClr w14:val="tx1"/>
                  </w14:solidFill>
                </w14:textFill>
              </w:rPr>
            </w:pPr>
          </w:p>
        </w:tc>
        <w:tc>
          <w:tcPr>
            <w:tcW w:w="6038" w:type="dxa"/>
            <w:vAlign w:val="center"/>
          </w:tcPr>
          <w:p w14:paraId="393C40DD">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tc>
        <w:tc>
          <w:tcPr>
            <w:tcW w:w="1417" w:type="dxa"/>
            <w:vAlign w:val="center"/>
          </w:tcPr>
          <w:p w14:paraId="4049DD2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4"/>
                <w14:textFill>
                  <w14:solidFill>
                    <w14:schemeClr w14:val="tx1"/>
                  </w14:solidFill>
                </w14:textFill>
              </w:rPr>
            </w:pPr>
          </w:p>
        </w:tc>
      </w:tr>
    </w:tbl>
    <w:p w14:paraId="22E67093">
      <w:pPr>
        <w:spacing w:line="360" w:lineRule="auto"/>
        <w:jc w:val="center"/>
        <w:rPr>
          <w:rFonts w:ascii="宋体" w:hAnsi="宋体"/>
          <w:b/>
          <w:color w:val="000000" w:themeColor="text1"/>
          <w:sz w:val="24"/>
          <w14:textFill>
            <w14:solidFill>
              <w14:schemeClr w14:val="tx1"/>
            </w14:solidFill>
          </w14:textFill>
        </w:rPr>
      </w:pPr>
    </w:p>
    <w:p w14:paraId="20DA7EA0">
      <w:pPr>
        <w:spacing w:line="360" w:lineRule="auto"/>
        <w:jc w:val="center"/>
        <w:rPr>
          <w:rFonts w:ascii="宋体" w:hAnsi="宋体"/>
          <w:b/>
          <w:color w:val="000000" w:themeColor="text1"/>
          <w:sz w:val="24"/>
          <w14:textFill>
            <w14:solidFill>
              <w14:schemeClr w14:val="tx1"/>
            </w14:solidFill>
          </w14:textFill>
        </w:rPr>
      </w:pPr>
    </w:p>
    <w:p w14:paraId="019CEB2D">
      <w:pPr>
        <w:spacing w:line="360" w:lineRule="auto"/>
        <w:jc w:val="center"/>
        <w:rPr>
          <w:rFonts w:ascii="宋体" w:hAnsi="宋体"/>
          <w:b/>
          <w:color w:val="000000" w:themeColor="text1"/>
          <w:sz w:val="24"/>
          <w14:textFill>
            <w14:solidFill>
              <w14:schemeClr w14:val="tx1"/>
            </w14:solidFill>
          </w14:textFill>
        </w:rPr>
      </w:pPr>
    </w:p>
    <w:p w14:paraId="68910590">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359D5CDB">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1" w:name="_Toc2536"/>
      <w:r>
        <w:rPr>
          <w:rFonts w:hint="eastAsia" w:ascii="宋体" w:hAnsi="宋体" w:eastAsia="宋体" w:cs="宋体"/>
          <w:color w:val="000000" w:themeColor="text1"/>
          <w:sz w:val="24"/>
          <w:szCs w:val="24"/>
          <w14:textFill>
            <w14:solidFill>
              <w14:schemeClr w14:val="tx1"/>
            </w14:solidFill>
          </w14:textFill>
        </w:rPr>
        <w:t>附件一</w:t>
      </w:r>
      <w:bookmarkEnd w:id="101"/>
    </w:p>
    <w:p w14:paraId="0663D69B">
      <w:pPr>
        <w:pStyle w:val="7"/>
        <w:spacing w:before="156" w:beforeLines="50" w:after="156" w:afterLines="50" w:line="560" w:lineRule="exact"/>
        <w:jc w:val="center"/>
        <w:rPr>
          <w:rFonts w:ascii="宋体" w:hAnsi="宋体" w:eastAsia="宋体" w:cs="宋体"/>
          <w:color w:val="000000" w:themeColor="text1"/>
          <w:sz w:val="24"/>
          <w:szCs w:val="24"/>
          <w14:textFill>
            <w14:solidFill>
              <w14:schemeClr w14:val="tx1"/>
            </w14:solidFill>
          </w14:textFill>
        </w:rPr>
      </w:pPr>
      <w:bookmarkStart w:id="102" w:name="_Toc21540"/>
      <w:bookmarkStart w:id="103" w:name="_Toc15863"/>
      <w:bookmarkStart w:id="104" w:name="_Toc5601"/>
      <w:r>
        <w:rPr>
          <w:rFonts w:hint="eastAsia" w:ascii="宋体" w:hAnsi="宋体" w:eastAsia="宋体" w:cs="宋体"/>
          <w:color w:val="000000" w:themeColor="text1"/>
          <w:sz w:val="24"/>
          <w:szCs w:val="24"/>
          <w14:textFill>
            <w14:solidFill>
              <w14:schemeClr w14:val="tx1"/>
            </w14:solidFill>
          </w14:textFill>
        </w:rPr>
        <w:t>报价单</w:t>
      </w:r>
      <w:bookmarkEnd w:id="102"/>
      <w:bookmarkEnd w:id="103"/>
      <w:bookmarkEnd w:id="104"/>
    </w:p>
    <w:tbl>
      <w:tblPr>
        <w:tblStyle w:val="3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339A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1A5CBE50">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4078" w:type="dxa"/>
            <w:vAlign w:val="center"/>
          </w:tcPr>
          <w:p w14:paraId="6B286AAD">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服务内容</w:t>
            </w:r>
          </w:p>
        </w:tc>
        <w:tc>
          <w:tcPr>
            <w:tcW w:w="1214" w:type="dxa"/>
            <w:vAlign w:val="center"/>
          </w:tcPr>
          <w:p w14:paraId="04FCBC2E">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w:t>
            </w:r>
          </w:p>
        </w:tc>
        <w:tc>
          <w:tcPr>
            <w:tcW w:w="1091" w:type="dxa"/>
            <w:vAlign w:val="center"/>
          </w:tcPr>
          <w:p w14:paraId="6563B916">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单价</w:t>
            </w:r>
          </w:p>
        </w:tc>
        <w:tc>
          <w:tcPr>
            <w:tcW w:w="1821" w:type="dxa"/>
            <w:vAlign w:val="center"/>
          </w:tcPr>
          <w:p w14:paraId="775D8C71">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小计金额（元）</w:t>
            </w:r>
          </w:p>
        </w:tc>
      </w:tr>
      <w:tr w14:paraId="2DD4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8D546C1">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4078" w:type="dxa"/>
            <w:vAlign w:val="center"/>
          </w:tcPr>
          <w:p w14:paraId="6B6679B4">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214" w:type="dxa"/>
            <w:vAlign w:val="center"/>
          </w:tcPr>
          <w:p w14:paraId="65656526">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091" w:type="dxa"/>
            <w:vAlign w:val="center"/>
          </w:tcPr>
          <w:p w14:paraId="0FCA2480">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1B64532F">
            <w:pPr>
              <w:jc w:val="center"/>
              <w:rPr>
                <w:rFonts w:ascii="宋体" w:hAnsi="宋体"/>
                <w:bCs/>
                <w:color w:val="000000" w:themeColor="text1"/>
                <w:sz w:val="24"/>
                <w:szCs w:val="24"/>
                <w14:textFill>
                  <w14:solidFill>
                    <w14:schemeClr w14:val="tx1"/>
                  </w14:solidFill>
                </w14:textFill>
              </w:rPr>
            </w:pPr>
          </w:p>
        </w:tc>
      </w:tr>
      <w:tr w14:paraId="5AA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712DE2A">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p>
        </w:tc>
        <w:tc>
          <w:tcPr>
            <w:tcW w:w="4078" w:type="dxa"/>
            <w:vAlign w:val="center"/>
          </w:tcPr>
          <w:p w14:paraId="020A1B2D">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4988B88D">
            <w:pPr>
              <w:jc w:val="center"/>
              <w:rPr>
                <w:rFonts w:hint="eastAsia" w:ascii="宋体" w:hAnsi="宋体" w:eastAsia="宋体"/>
                <w:bCs/>
                <w:color w:val="000000" w:themeColor="text1"/>
                <w:sz w:val="24"/>
                <w:szCs w:val="24"/>
                <w:lang w:val="en-US" w:eastAsia="zh-CN"/>
                <w14:textFill>
                  <w14:solidFill>
                    <w14:schemeClr w14:val="tx1"/>
                  </w14:solidFill>
                </w14:textFill>
              </w:rPr>
            </w:pPr>
          </w:p>
        </w:tc>
        <w:tc>
          <w:tcPr>
            <w:tcW w:w="1091" w:type="dxa"/>
            <w:vAlign w:val="center"/>
          </w:tcPr>
          <w:p w14:paraId="3103A4C8">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3889DACC">
            <w:pPr>
              <w:jc w:val="center"/>
              <w:rPr>
                <w:rFonts w:ascii="宋体" w:hAnsi="宋体"/>
                <w:bCs/>
                <w:color w:val="000000" w:themeColor="text1"/>
                <w:sz w:val="24"/>
                <w:szCs w:val="24"/>
                <w14:textFill>
                  <w14:solidFill>
                    <w14:schemeClr w14:val="tx1"/>
                  </w14:solidFill>
                </w14:textFill>
              </w:rPr>
            </w:pPr>
          </w:p>
        </w:tc>
      </w:tr>
      <w:tr w14:paraId="6F82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B9CBE11">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4078" w:type="dxa"/>
            <w:vAlign w:val="center"/>
          </w:tcPr>
          <w:p w14:paraId="3A18BCD1">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367F667F">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06FEBA1">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76B78A84">
            <w:pPr>
              <w:jc w:val="center"/>
              <w:rPr>
                <w:rFonts w:ascii="宋体" w:hAnsi="宋体"/>
                <w:bCs/>
                <w:color w:val="000000" w:themeColor="text1"/>
                <w:sz w:val="24"/>
                <w:szCs w:val="24"/>
                <w14:textFill>
                  <w14:solidFill>
                    <w14:schemeClr w14:val="tx1"/>
                  </w14:solidFill>
                </w14:textFill>
              </w:rPr>
            </w:pPr>
          </w:p>
        </w:tc>
      </w:tr>
      <w:tr w14:paraId="7E21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ACF2167">
            <w:pPr>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tc>
        <w:tc>
          <w:tcPr>
            <w:tcW w:w="4078" w:type="dxa"/>
            <w:vAlign w:val="center"/>
          </w:tcPr>
          <w:p w14:paraId="6ADF548E">
            <w:pPr>
              <w:jc w:val="center"/>
              <w:rPr>
                <w:rFonts w:ascii="宋体" w:hAnsi="宋体"/>
                <w:bCs/>
                <w:color w:val="000000" w:themeColor="text1"/>
                <w:sz w:val="24"/>
                <w:szCs w:val="24"/>
                <w14:textFill>
                  <w14:solidFill>
                    <w14:schemeClr w14:val="tx1"/>
                  </w14:solidFill>
                </w14:textFill>
              </w:rPr>
            </w:pPr>
          </w:p>
        </w:tc>
        <w:tc>
          <w:tcPr>
            <w:tcW w:w="1214" w:type="dxa"/>
            <w:vAlign w:val="center"/>
          </w:tcPr>
          <w:p w14:paraId="14CBC944">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9A8FB39">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48A5FF54">
            <w:pPr>
              <w:jc w:val="center"/>
              <w:rPr>
                <w:rFonts w:ascii="宋体" w:hAnsi="宋体"/>
                <w:bCs/>
                <w:color w:val="000000" w:themeColor="text1"/>
                <w:sz w:val="24"/>
                <w:szCs w:val="24"/>
                <w14:textFill>
                  <w14:solidFill>
                    <w14:schemeClr w14:val="tx1"/>
                  </w14:solidFill>
                </w14:textFill>
              </w:rPr>
            </w:pPr>
          </w:p>
        </w:tc>
      </w:tr>
      <w:tr w14:paraId="4EC9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5474517">
            <w:pPr>
              <w:jc w:val="center"/>
              <w:rPr>
                <w:rFonts w:ascii="宋体" w:hAnsi="宋体"/>
                <w:bCs/>
                <w:color w:val="000000" w:themeColor="text1"/>
                <w:sz w:val="24"/>
                <w:szCs w:val="24"/>
                <w14:textFill>
                  <w14:solidFill>
                    <w14:schemeClr w14:val="tx1"/>
                  </w14:solidFill>
                </w14:textFill>
              </w:rPr>
            </w:pPr>
          </w:p>
        </w:tc>
        <w:tc>
          <w:tcPr>
            <w:tcW w:w="4078" w:type="dxa"/>
            <w:vAlign w:val="center"/>
          </w:tcPr>
          <w:p w14:paraId="0CBAC8A1">
            <w:pPr>
              <w:pStyle w:val="72"/>
              <w:ind w:left="-108"/>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其他费用</w:t>
            </w:r>
          </w:p>
        </w:tc>
        <w:tc>
          <w:tcPr>
            <w:tcW w:w="1214" w:type="dxa"/>
            <w:vAlign w:val="center"/>
          </w:tcPr>
          <w:p w14:paraId="6CB6C593">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6BF3695E">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0720D736">
            <w:pPr>
              <w:jc w:val="center"/>
              <w:rPr>
                <w:rFonts w:ascii="宋体" w:hAnsi="宋体"/>
                <w:bCs/>
                <w:color w:val="000000" w:themeColor="text1"/>
                <w:sz w:val="24"/>
                <w:szCs w:val="24"/>
                <w14:textFill>
                  <w14:solidFill>
                    <w14:schemeClr w14:val="tx1"/>
                  </w14:solidFill>
                </w14:textFill>
              </w:rPr>
            </w:pPr>
          </w:p>
        </w:tc>
      </w:tr>
      <w:tr w14:paraId="5D94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7E5158DD">
            <w:pPr>
              <w:jc w:val="center"/>
              <w:rPr>
                <w:rFonts w:ascii="宋体" w:hAnsi="宋体"/>
                <w:bCs/>
                <w:color w:val="000000" w:themeColor="text1"/>
                <w:sz w:val="24"/>
                <w:szCs w:val="24"/>
                <w14:textFill>
                  <w14:solidFill>
                    <w14:schemeClr w14:val="tx1"/>
                  </w14:solidFill>
                </w14:textFill>
              </w:rPr>
            </w:pPr>
          </w:p>
        </w:tc>
        <w:tc>
          <w:tcPr>
            <w:tcW w:w="4078" w:type="dxa"/>
            <w:vAlign w:val="center"/>
          </w:tcPr>
          <w:p w14:paraId="5AC8AF29">
            <w:pPr>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tc>
        <w:tc>
          <w:tcPr>
            <w:tcW w:w="1214" w:type="dxa"/>
            <w:vAlign w:val="center"/>
          </w:tcPr>
          <w:p w14:paraId="334B6979">
            <w:pPr>
              <w:jc w:val="center"/>
              <w:rPr>
                <w:rFonts w:ascii="宋体" w:hAnsi="宋体"/>
                <w:bCs/>
                <w:color w:val="000000" w:themeColor="text1"/>
                <w:sz w:val="24"/>
                <w:szCs w:val="24"/>
                <w14:textFill>
                  <w14:solidFill>
                    <w14:schemeClr w14:val="tx1"/>
                  </w14:solidFill>
                </w14:textFill>
              </w:rPr>
            </w:pPr>
          </w:p>
        </w:tc>
        <w:tc>
          <w:tcPr>
            <w:tcW w:w="1091" w:type="dxa"/>
            <w:vAlign w:val="center"/>
          </w:tcPr>
          <w:p w14:paraId="0A2929FF">
            <w:pPr>
              <w:jc w:val="center"/>
              <w:rPr>
                <w:rFonts w:ascii="宋体" w:hAnsi="宋体"/>
                <w:bCs/>
                <w:color w:val="000000" w:themeColor="text1"/>
                <w:sz w:val="24"/>
                <w:szCs w:val="24"/>
                <w14:textFill>
                  <w14:solidFill>
                    <w14:schemeClr w14:val="tx1"/>
                  </w14:solidFill>
                </w14:textFill>
              </w:rPr>
            </w:pPr>
          </w:p>
        </w:tc>
        <w:tc>
          <w:tcPr>
            <w:tcW w:w="1821" w:type="dxa"/>
            <w:vAlign w:val="center"/>
          </w:tcPr>
          <w:p w14:paraId="15E306EC">
            <w:pPr>
              <w:jc w:val="center"/>
              <w:rPr>
                <w:rFonts w:ascii="宋体" w:hAnsi="宋体"/>
                <w:bCs/>
                <w:color w:val="000000" w:themeColor="text1"/>
                <w:sz w:val="24"/>
                <w:szCs w:val="24"/>
                <w14:textFill>
                  <w14:solidFill>
                    <w14:schemeClr w14:val="tx1"/>
                  </w14:solidFill>
                </w14:textFill>
              </w:rPr>
            </w:pPr>
          </w:p>
        </w:tc>
      </w:tr>
      <w:tr w14:paraId="70A1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490AA5CA">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合计金额（元）</w:t>
            </w:r>
          </w:p>
        </w:tc>
        <w:tc>
          <w:tcPr>
            <w:tcW w:w="1821" w:type="dxa"/>
            <w:vAlign w:val="center"/>
          </w:tcPr>
          <w:p w14:paraId="57E7441D">
            <w:pPr>
              <w:jc w:val="center"/>
              <w:rPr>
                <w:rFonts w:ascii="宋体" w:hAnsi="宋体"/>
                <w:bCs/>
                <w:color w:val="000000" w:themeColor="text1"/>
                <w:sz w:val="24"/>
                <w:szCs w:val="24"/>
                <w14:textFill>
                  <w14:solidFill>
                    <w14:schemeClr w14:val="tx1"/>
                  </w14:solidFill>
                </w14:textFill>
              </w:rPr>
            </w:pPr>
          </w:p>
        </w:tc>
      </w:tr>
    </w:tbl>
    <w:p w14:paraId="514FA85F">
      <w:pPr>
        <w:snapToGrid w:val="0"/>
        <w:spacing w:line="360" w:lineRule="auto"/>
        <w:rPr>
          <w:rFonts w:ascii="宋体" w:hAnsi="宋体"/>
          <w:bCs/>
          <w:color w:val="000000" w:themeColor="text1"/>
          <w:sz w:val="24"/>
          <w:szCs w:val="24"/>
          <w14:textFill>
            <w14:solidFill>
              <w14:schemeClr w14:val="tx1"/>
            </w14:solidFill>
          </w14:textFill>
        </w:rPr>
      </w:pPr>
    </w:p>
    <w:p w14:paraId="5F5A44CA">
      <w:pPr>
        <w:snapToGrid w:val="0"/>
        <w:spacing w:line="360" w:lineRule="auto"/>
        <w:rPr>
          <w:rFonts w:ascii="宋体" w:hAnsi="宋体"/>
          <w:bCs/>
          <w:color w:val="000000" w:themeColor="text1"/>
          <w:sz w:val="24"/>
          <w:szCs w:val="24"/>
          <w14:textFill>
            <w14:solidFill>
              <w14:schemeClr w14:val="tx1"/>
            </w14:solidFill>
          </w14:textFill>
        </w:rPr>
      </w:pPr>
    </w:p>
    <w:p w14:paraId="1691DF95">
      <w:pPr>
        <w:spacing w:line="360" w:lineRule="auto"/>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p>
    <w:p w14:paraId="5D80BCE4">
      <w:pPr>
        <w:spacing w:line="560" w:lineRule="exact"/>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4BD82AFA">
      <w:pPr>
        <w:spacing w:line="560" w:lineRule="exact"/>
        <w:ind w:firstLine="4337" w:firstLineChars="180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     期：</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年</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月</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w:t>
      </w:r>
    </w:p>
    <w:p w14:paraId="148224F2">
      <w:pPr>
        <w:adjustRightInd w:val="0"/>
        <w:snapToGrid w:val="0"/>
        <w:spacing w:line="360" w:lineRule="auto"/>
        <w:rPr>
          <w:rFonts w:ascii="宋体" w:hAnsi="宋体"/>
          <w:b/>
          <w:color w:val="000000" w:themeColor="text1"/>
          <w:sz w:val="24"/>
          <w:szCs w:val="24"/>
          <w14:textFill>
            <w14:solidFill>
              <w14:schemeClr w14:val="tx1"/>
            </w14:solidFill>
          </w14:textFill>
        </w:rPr>
      </w:pPr>
    </w:p>
    <w:p w14:paraId="37DD521C">
      <w:pPr>
        <w:adjustRightInd w:val="0"/>
        <w:snapToGrid w:val="0"/>
        <w:spacing w:line="360" w:lineRule="auto"/>
        <w:rPr>
          <w:rFonts w:ascii="宋体" w:hAnsi="宋体"/>
          <w:b/>
          <w:color w:val="000000" w:themeColor="text1"/>
          <w:sz w:val="24"/>
          <w:szCs w:val="24"/>
          <w14:textFill>
            <w14:solidFill>
              <w14:schemeClr w14:val="tx1"/>
            </w14:solidFill>
          </w14:textFill>
        </w:rPr>
      </w:pPr>
    </w:p>
    <w:p w14:paraId="5C0477DE">
      <w:pPr>
        <w:adjustRightInd w:val="0"/>
        <w:snapToGrid w:val="0"/>
        <w:spacing w:line="360" w:lineRule="auto"/>
        <w:rPr>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注：表中所列服务为对应本项目需求的全部服务内容。如有漏项或缺项，投标供应商承担全部责任。</w:t>
      </w:r>
    </w:p>
    <w:p w14:paraId="6D128007">
      <w:pPr>
        <w:spacing w:line="360" w:lineRule="auto"/>
        <w:rPr>
          <w:color w:val="000000" w:themeColor="text1"/>
          <w:sz w:val="24"/>
          <w:szCs w:val="24"/>
          <w14:textFill>
            <w14:solidFill>
              <w14:schemeClr w14:val="tx1"/>
            </w14:solidFill>
          </w14:textFill>
        </w:rPr>
      </w:pPr>
    </w:p>
    <w:p w14:paraId="6628B3C4">
      <w:pPr>
        <w:spacing w:line="360" w:lineRule="auto"/>
        <w:rPr>
          <w:color w:val="000000" w:themeColor="text1"/>
          <w:sz w:val="24"/>
          <w:szCs w:val="24"/>
          <w14:textFill>
            <w14:solidFill>
              <w14:schemeClr w14:val="tx1"/>
            </w14:solidFill>
          </w14:textFill>
        </w:rPr>
      </w:pPr>
    </w:p>
    <w:p w14:paraId="041D6BA6">
      <w:pPr>
        <w:spacing w:line="360" w:lineRule="auto"/>
        <w:rPr>
          <w:color w:val="000000" w:themeColor="text1"/>
          <w:sz w:val="24"/>
          <w:szCs w:val="24"/>
          <w14:textFill>
            <w14:solidFill>
              <w14:schemeClr w14:val="tx1"/>
            </w14:solidFill>
          </w14:textFill>
        </w:rPr>
      </w:pPr>
    </w:p>
    <w:p w14:paraId="29FFB069">
      <w:pPr>
        <w:spacing w:line="360" w:lineRule="auto"/>
        <w:rPr>
          <w:color w:val="000000" w:themeColor="text1"/>
          <w:sz w:val="24"/>
          <w:szCs w:val="24"/>
          <w14:textFill>
            <w14:solidFill>
              <w14:schemeClr w14:val="tx1"/>
            </w14:solidFill>
          </w14:textFill>
        </w:rPr>
      </w:pPr>
    </w:p>
    <w:p w14:paraId="76C3027F">
      <w:pPr>
        <w:spacing w:line="360" w:lineRule="auto"/>
        <w:rPr>
          <w:color w:val="000000" w:themeColor="text1"/>
          <w:sz w:val="24"/>
          <w:szCs w:val="24"/>
          <w14:textFill>
            <w14:solidFill>
              <w14:schemeClr w14:val="tx1"/>
            </w14:solidFill>
          </w14:textFill>
        </w:rPr>
      </w:pPr>
    </w:p>
    <w:p w14:paraId="7FA7B76E">
      <w:pPr>
        <w:spacing w:line="360" w:lineRule="auto"/>
        <w:rPr>
          <w:color w:val="000000" w:themeColor="text1"/>
          <w:sz w:val="24"/>
          <w:szCs w:val="24"/>
          <w14:textFill>
            <w14:solidFill>
              <w14:schemeClr w14:val="tx1"/>
            </w14:solidFill>
          </w14:textFill>
        </w:rPr>
      </w:pPr>
    </w:p>
    <w:p w14:paraId="2129BA34">
      <w:pPr>
        <w:spacing w:line="360" w:lineRule="auto"/>
        <w:rPr>
          <w:color w:val="000000" w:themeColor="text1"/>
          <w:sz w:val="24"/>
          <w:szCs w:val="24"/>
          <w14:textFill>
            <w14:solidFill>
              <w14:schemeClr w14:val="tx1"/>
            </w14:solidFill>
          </w14:textFill>
        </w:rPr>
      </w:pPr>
    </w:p>
    <w:p w14:paraId="1D30086E">
      <w:pPr>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14:paraId="11FBC710">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5" w:name="_Toc9164"/>
      <w:r>
        <w:rPr>
          <w:rFonts w:hint="eastAsia" w:ascii="宋体" w:hAnsi="宋体" w:eastAsia="宋体" w:cs="宋体"/>
          <w:color w:val="000000" w:themeColor="text1"/>
          <w:sz w:val="24"/>
          <w:szCs w:val="24"/>
          <w14:textFill>
            <w14:solidFill>
              <w14:schemeClr w14:val="tx1"/>
            </w14:solidFill>
          </w14:textFill>
        </w:rPr>
        <w:t>附件二</w:t>
      </w:r>
      <w:bookmarkEnd w:id="105"/>
    </w:p>
    <w:p w14:paraId="08497DBD">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06" w:name="_Toc17280"/>
      <w:bookmarkStart w:id="107" w:name="_Toc4686"/>
      <w:bookmarkStart w:id="108" w:name="_Toc20406"/>
      <w:r>
        <w:rPr>
          <w:rFonts w:hint="eastAsia" w:ascii="宋体" w:hAnsi="宋体" w:eastAsia="宋体" w:cs="宋体"/>
          <w:color w:val="000000" w:themeColor="text1"/>
          <w:sz w:val="24"/>
          <w:szCs w:val="24"/>
          <w14:textFill>
            <w14:solidFill>
              <w14:schemeClr w14:val="tx1"/>
            </w14:solidFill>
          </w14:textFill>
        </w:rPr>
        <w:t>供应商基本信息</w:t>
      </w:r>
      <w:bookmarkEnd w:id="106"/>
      <w:bookmarkEnd w:id="107"/>
      <w:bookmarkEnd w:id="108"/>
    </w:p>
    <w:p w14:paraId="72B7E4C0">
      <w:pPr>
        <w:spacing w:line="360" w:lineRule="auto"/>
        <w:jc w:val="center"/>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格式自拟</w:t>
      </w:r>
      <w:r>
        <w:rPr>
          <w:rFonts w:hint="eastAsia"/>
          <w:color w:val="000000" w:themeColor="text1"/>
          <w:sz w:val="24"/>
          <w:szCs w:val="24"/>
          <w14:textFill>
            <w14:solidFill>
              <w14:schemeClr w14:val="tx1"/>
            </w14:solidFill>
          </w14:textFill>
        </w:rPr>
        <w:t>）</w:t>
      </w:r>
    </w:p>
    <w:p w14:paraId="15BAAC79">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09" w:name="_Toc18794"/>
      <w:r>
        <w:rPr>
          <w:rFonts w:hint="eastAsia" w:ascii="宋体" w:hAnsi="宋体" w:eastAsia="宋体" w:cs="宋体"/>
          <w:color w:val="000000" w:themeColor="text1"/>
          <w:sz w:val="24"/>
          <w:szCs w:val="24"/>
          <w14:textFill>
            <w14:solidFill>
              <w14:schemeClr w14:val="tx1"/>
            </w14:solidFill>
          </w14:textFill>
        </w:rPr>
        <w:t>附件三</w:t>
      </w:r>
      <w:bookmarkEnd w:id="109"/>
    </w:p>
    <w:p w14:paraId="182663B6">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10" w:name="_Toc10696"/>
      <w:bookmarkStart w:id="111" w:name="_Toc2697"/>
      <w:bookmarkStart w:id="112" w:name="_Toc25318"/>
      <w:r>
        <w:rPr>
          <w:rFonts w:hint="eastAsia" w:ascii="宋体" w:hAnsi="宋体" w:eastAsia="宋体" w:cs="宋体"/>
          <w:color w:val="000000" w:themeColor="text1"/>
          <w:sz w:val="24"/>
          <w:szCs w:val="24"/>
          <w14:textFill>
            <w14:solidFill>
              <w14:schemeClr w14:val="tx1"/>
            </w14:solidFill>
          </w14:textFill>
        </w:rPr>
        <w:t>谈判授权书</w:t>
      </w:r>
      <w:bookmarkEnd w:id="110"/>
      <w:bookmarkEnd w:id="111"/>
      <w:bookmarkEnd w:id="112"/>
    </w:p>
    <w:p w14:paraId="27EA75CD">
      <w:pPr>
        <w:rPr>
          <w:rFonts w:ascii="宋体" w:hAnsi="宋体"/>
          <w:color w:val="000000" w:themeColor="text1"/>
          <w:sz w:val="24"/>
          <w:szCs w:val="24"/>
          <w14:textFill>
            <w14:solidFill>
              <w14:schemeClr w14:val="tx1"/>
            </w14:solidFill>
          </w14:textFill>
        </w:rPr>
      </w:pPr>
    </w:p>
    <w:p w14:paraId="7CC6022C">
      <w:pPr>
        <w:spacing w:line="48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致：_________________</w:t>
      </w:r>
    </w:p>
    <w:p w14:paraId="17C3C908">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本授权书声明：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（供应商名称）的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（法定代表人姓名）授权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（被授权人的姓名）为我方就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项目谈判活动的合法代理人，以我方名义全权处理与该项目谈判、签订合同以及合同执行有关的一切事务。</w:t>
      </w:r>
    </w:p>
    <w:p w14:paraId="2D1AC2F6">
      <w:pPr>
        <w:spacing w:line="48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14:paraId="2AE0A197">
      <w:pPr>
        <w:spacing w:line="360" w:lineRule="auto"/>
        <w:jc w:val="left"/>
        <w:rPr>
          <w:rFonts w:ascii="宋体" w:hAnsi="宋体"/>
          <w:color w:val="000000" w:themeColor="text1"/>
          <w:sz w:val="24"/>
          <w:szCs w:val="24"/>
          <w14:textFill>
            <w14:solidFill>
              <w14:schemeClr w14:val="tx1"/>
            </w14:solidFill>
          </w14:textFill>
        </w:rPr>
      </w:pPr>
    </w:p>
    <w:p w14:paraId="5F44551B">
      <w:pPr>
        <w:spacing w:line="360" w:lineRule="auto"/>
        <w:ind w:firstLine="1084" w:firstLineChars="450"/>
        <w:jc w:val="left"/>
        <w:rPr>
          <w:rFonts w:ascii="宋体" w:hAnsi="宋体"/>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法定代表人签字：</w:t>
      </w:r>
      <w:r>
        <w:rPr>
          <w:rFonts w:hint="eastAsia" w:ascii="宋体" w:hAnsi="宋体"/>
          <w:color w:val="000000" w:themeColor="text1"/>
          <w:sz w:val="24"/>
          <w:szCs w:val="24"/>
          <w:u w:val="single"/>
          <w14:textFill>
            <w14:solidFill>
              <w14:schemeClr w14:val="tx1"/>
            </w14:solidFill>
          </w14:textFill>
        </w:rPr>
        <w:t xml:space="preserve">                            </w:t>
      </w:r>
    </w:p>
    <w:p w14:paraId="6EB939B4">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1E62C22B">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2FFEE372">
      <w:pPr>
        <w:spacing w:line="360" w:lineRule="auto"/>
        <w:ind w:firstLine="1200" w:firstLineChars="5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1A443B82">
      <w:pPr>
        <w:spacing w:line="360" w:lineRule="auto"/>
        <w:ind w:firstLine="1084" w:firstLineChars="450"/>
        <w:jc w:val="left"/>
        <w:rPr>
          <w:rFonts w:ascii="宋体" w:hAnsi="宋体"/>
          <w:b/>
          <w:bCs/>
          <w:color w:val="000000" w:themeColor="text1"/>
          <w:sz w:val="24"/>
          <w:szCs w:val="24"/>
          <w14:textFill>
            <w14:solidFill>
              <w14:schemeClr w14:val="tx1"/>
            </w14:solidFill>
          </w14:textFill>
        </w:rPr>
      </w:pPr>
    </w:p>
    <w:p w14:paraId="371AFB9F">
      <w:pPr>
        <w:spacing w:line="360" w:lineRule="auto"/>
        <w:ind w:firstLine="1084" w:firstLineChars="450"/>
        <w:jc w:val="lef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color w:val="000000" w:themeColor="text1"/>
          <w:sz w:val="24"/>
          <w:szCs w:val="24"/>
          <w:u w:val="single"/>
          <w14:textFill>
            <w14:solidFill>
              <w14:schemeClr w14:val="tx1"/>
            </w14:solidFill>
          </w14:textFill>
        </w:rPr>
        <w:t xml:space="preserve">                     </w:t>
      </w:r>
    </w:p>
    <w:p w14:paraId="77D4DEFA">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职    务：</w:t>
      </w:r>
      <w:r>
        <w:rPr>
          <w:rFonts w:hint="eastAsia" w:ascii="宋体" w:hAnsi="宋体"/>
          <w:color w:val="000000" w:themeColor="text1"/>
          <w:sz w:val="24"/>
          <w:szCs w:val="24"/>
          <w:u w:val="single"/>
          <w14:textFill>
            <w14:solidFill>
              <w14:schemeClr w14:val="tx1"/>
            </w14:solidFill>
          </w14:textFill>
        </w:rPr>
        <w:t xml:space="preserve">                         </w:t>
      </w:r>
    </w:p>
    <w:p w14:paraId="3BA0ACC2">
      <w:pPr>
        <w:spacing w:line="360" w:lineRule="auto"/>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联系手机：</w:t>
      </w:r>
      <w:r>
        <w:rPr>
          <w:rFonts w:hint="eastAsia" w:ascii="宋体" w:hAnsi="宋体"/>
          <w:color w:val="000000" w:themeColor="text1"/>
          <w:sz w:val="24"/>
          <w:szCs w:val="24"/>
          <w:u w:val="single"/>
          <w14:textFill>
            <w14:solidFill>
              <w14:schemeClr w14:val="tx1"/>
            </w14:solidFill>
          </w14:textFill>
        </w:rPr>
        <w:t xml:space="preserve">                          </w:t>
      </w:r>
    </w:p>
    <w:p w14:paraId="447170F0">
      <w:pPr>
        <w:spacing w:line="360" w:lineRule="auto"/>
        <w:ind w:firstLine="1200" w:firstLineChars="50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固定电话：</w:t>
      </w:r>
      <w:r>
        <w:rPr>
          <w:rFonts w:hint="eastAsia" w:ascii="宋体" w:hAnsi="宋体"/>
          <w:color w:val="000000" w:themeColor="text1"/>
          <w:sz w:val="24"/>
          <w:szCs w:val="24"/>
          <w:u w:val="single"/>
          <w14:textFill>
            <w14:solidFill>
              <w14:schemeClr w14:val="tx1"/>
            </w14:solidFill>
          </w14:textFill>
        </w:rPr>
        <w:t xml:space="preserve">                          </w:t>
      </w:r>
    </w:p>
    <w:p w14:paraId="59AAB12B">
      <w:pPr>
        <w:wordWrap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注：后附</w:t>
      </w:r>
      <w:r>
        <w:rPr>
          <w:rFonts w:hint="eastAsia" w:ascii="宋体" w:hAnsi="宋体"/>
          <w:b/>
          <w:bCs/>
          <w:color w:val="000000" w:themeColor="text1"/>
          <w:sz w:val="24"/>
          <w:szCs w:val="24"/>
          <w14:textFill>
            <w14:solidFill>
              <w14:schemeClr w14:val="tx1"/>
            </w14:solidFill>
          </w14:textFill>
        </w:rPr>
        <w:t>法定代表人</w:t>
      </w:r>
      <w:r>
        <w:rPr>
          <w:rFonts w:hint="eastAsia" w:ascii="宋体" w:hAnsi="宋体"/>
          <w:b/>
          <w:bCs/>
          <w:color w:val="000000" w:themeColor="text1"/>
          <w:sz w:val="24"/>
          <w:szCs w:val="24"/>
          <w:lang w:eastAsia="zh-CN"/>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代理人（被授权人）</w:t>
      </w:r>
      <w:r>
        <w:rPr>
          <w:rFonts w:hint="eastAsia" w:ascii="宋体" w:hAnsi="宋体"/>
          <w:b/>
          <w:bCs/>
          <w:color w:val="000000" w:themeColor="text1"/>
          <w:sz w:val="24"/>
          <w:szCs w:val="24"/>
          <w:lang w:val="en-US" w:eastAsia="zh-CN"/>
          <w14:textFill>
            <w14:solidFill>
              <w14:schemeClr w14:val="tx1"/>
            </w14:solidFill>
          </w14:textFill>
        </w:rPr>
        <w:t>的身份证正反扫描件。</w:t>
      </w:r>
      <w:r>
        <w:rPr>
          <w:rFonts w:hint="eastAsia" w:ascii="宋体" w:hAnsi="宋体"/>
          <w:color w:val="000000" w:themeColor="text1"/>
          <w:sz w:val="24"/>
          <w:szCs w:val="24"/>
          <w14:textFill>
            <w14:solidFill>
              <w14:schemeClr w14:val="tx1"/>
            </w14:solidFill>
          </w14:textFill>
        </w:rPr>
        <w:t xml:space="preserve">                                               </w:t>
      </w:r>
    </w:p>
    <w:p w14:paraId="31356579">
      <w:pPr>
        <w:spacing w:line="360" w:lineRule="auto"/>
        <w:ind w:firstLine="4245" w:firstLineChars="1762"/>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2EA5A5BD">
      <w:pPr>
        <w:tabs>
          <w:tab w:val="left" w:pos="630"/>
        </w:tabs>
        <w:spacing w:line="360" w:lineRule="auto"/>
        <w:ind w:firstLine="4245" w:firstLineChars="176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7B8A0902">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13" w:name="_Toc17885"/>
      <w:r>
        <w:rPr>
          <w:rFonts w:hint="eastAsia" w:ascii="宋体" w:hAnsi="宋体" w:eastAsia="宋体" w:cs="宋体"/>
          <w:color w:val="000000" w:themeColor="text1"/>
          <w:sz w:val="24"/>
          <w:szCs w:val="24"/>
          <w14:textFill>
            <w14:solidFill>
              <w14:schemeClr w14:val="tx1"/>
            </w14:solidFill>
          </w14:textFill>
        </w:rPr>
        <w:t>附件四</w:t>
      </w:r>
      <w:bookmarkEnd w:id="113"/>
    </w:p>
    <w:p w14:paraId="48320F59">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14" w:name="_Toc9758"/>
      <w:bookmarkStart w:id="115" w:name="_Toc1318"/>
      <w:bookmarkStart w:id="116" w:name="_Toc417045478"/>
      <w:r>
        <w:rPr>
          <w:rFonts w:hint="eastAsia" w:ascii="宋体" w:hAnsi="宋体" w:eastAsia="宋体" w:cs="宋体"/>
          <w:color w:val="000000" w:themeColor="text1"/>
          <w:sz w:val="24"/>
          <w:szCs w:val="24"/>
          <w14:textFill>
            <w14:solidFill>
              <w14:schemeClr w14:val="tx1"/>
            </w14:solidFill>
          </w14:textFill>
        </w:rPr>
        <w:t>谈判响应函</w:t>
      </w:r>
      <w:bookmarkEnd w:id="114"/>
      <w:bookmarkEnd w:id="115"/>
    </w:p>
    <w:p w14:paraId="48C1717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致：XXX（代理机构名称）</w:t>
      </w:r>
    </w:p>
    <w:p w14:paraId="5542310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1、根据项目编号：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号谈判公告的内容，我方决定参加贵方组织的“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”项目的竞争性谈判采购。我方授权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(姓名)代表我方___</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（供应商的名称）全权处理本项目谈判的有关事宜。</w:t>
      </w:r>
    </w:p>
    <w:p w14:paraId="2BE9236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2、我方愿意按照采购书规定的各项要求，向采购人提供所需的货物服务。</w:t>
      </w:r>
    </w:p>
    <w:p w14:paraId="6A43389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3、一旦我方中标，我方将严格履行合同规定的责任和义务，保证于采购人要求的日期内完成服务，并交付买方验收、使用。</w:t>
      </w:r>
    </w:p>
    <w:p w14:paraId="53D135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4、如我公司成交，我公司承诺愿意按谈判文件规定缴纳履约保证金。</w:t>
      </w:r>
    </w:p>
    <w:p w14:paraId="611744A9">
      <w:pPr>
        <w:tabs>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5、我方愿意提供贵方可能另外要求的、与谈判有关的文件资料，并保证我方已提供和将要提供的文件是真实的、准确的。</w:t>
      </w:r>
    </w:p>
    <w:p w14:paraId="4094B206">
      <w:pPr>
        <w:tabs>
          <w:tab w:val="left" w:pos="0"/>
          <w:tab w:val="left" w:pos="84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6、我方完全理解贵方不一定将合同授予最低报价的供应商。</w:t>
      </w:r>
    </w:p>
    <w:p w14:paraId="364288AA">
      <w:pPr>
        <w:tabs>
          <w:tab w:val="left" w:pos="0"/>
          <w:tab w:val="left" w:pos="840"/>
        </w:tabs>
        <w:spacing w:line="360" w:lineRule="auto"/>
        <w:jc w:val="left"/>
        <w:rPr>
          <w:rFonts w:ascii="宋体" w:hAnsi="宋体"/>
          <w:color w:val="000000" w:themeColor="text1"/>
          <w:sz w:val="24"/>
          <w:szCs w:val="24"/>
          <w14:textFill>
            <w14:solidFill>
              <w14:schemeClr w14:val="tx1"/>
            </w14:solidFill>
          </w14:textFill>
        </w:rPr>
      </w:pPr>
    </w:p>
    <w:p w14:paraId="2FB8CAFB">
      <w:pPr>
        <w:tabs>
          <w:tab w:val="left" w:pos="0"/>
          <w:tab w:val="left" w:pos="840"/>
        </w:tabs>
        <w:rPr>
          <w:rFonts w:ascii="宋体" w:hAnsi="宋体"/>
          <w:color w:val="000000" w:themeColor="text1"/>
          <w:sz w:val="24"/>
          <w:szCs w:val="24"/>
          <w14:textFill>
            <w14:solidFill>
              <w14:schemeClr w14:val="tx1"/>
            </w14:solidFill>
          </w14:textFill>
        </w:rPr>
      </w:pPr>
    </w:p>
    <w:p w14:paraId="44D34418">
      <w:pPr>
        <w:tabs>
          <w:tab w:val="left" w:pos="0"/>
          <w:tab w:val="left" w:pos="840"/>
        </w:tabs>
        <w:rPr>
          <w:rFonts w:ascii="宋体" w:hAnsi="宋体"/>
          <w:color w:val="000000" w:themeColor="text1"/>
          <w:sz w:val="24"/>
          <w:szCs w:val="24"/>
          <w14:textFill>
            <w14:solidFill>
              <w14:schemeClr w14:val="tx1"/>
            </w14:solidFill>
          </w14:textFill>
        </w:rPr>
      </w:pPr>
    </w:p>
    <w:p w14:paraId="1465D7AA">
      <w:pPr>
        <w:tabs>
          <w:tab w:val="left" w:pos="0"/>
          <w:tab w:val="left" w:pos="840"/>
        </w:tabs>
        <w:rPr>
          <w:rFonts w:ascii="宋体" w:hAnsi="宋体"/>
          <w:color w:val="000000" w:themeColor="text1"/>
          <w:sz w:val="24"/>
          <w:szCs w:val="24"/>
          <w14:textFill>
            <w14:solidFill>
              <w14:schemeClr w14:val="tx1"/>
            </w14:solidFill>
          </w14:textFill>
        </w:rPr>
      </w:pPr>
    </w:p>
    <w:p w14:paraId="499D3A27">
      <w:pPr>
        <w:tabs>
          <w:tab w:val="left" w:pos="0"/>
          <w:tab w:val="left" w:pos="840"/>
        </w:tabs>
        <w:rPr>
          <w:rFonts w:ascii="宋体" w:hAnsi="宋体"/>
          <w:color w:val="000000" w:themeColor="text1"/>
          <w:sz w:val="24"/>
          <w:szCs w:val="24"/>
          <w14:textFill>
            <w14:solidFill>
              <w14:schemeClr w14:val="tx1"/>
            </w14:solidFill>
          </w14:textFill>
        </w:rPr>
      </w:pPr>
    </w:p>
    <w:p w14:paraId="5EB85E5C">
      <w:pPr>
        <w:spacing w:line="360" w:lineRule="auto"/>
        <w:ind w:firstLine="4245" w:firstLineChars="1762"/>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16E3EE79">
      <w:pPr>
        <w:tabs>
          <w:tab w:val="left" w:pos="630"/>
        </w:tabs>
        <w:spacing w:line="360" w:lineRule="auto"/>
        <w:ind w:firstLine="4245" w:firstLineChars="176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日期：</w:t>
      </w:r>
    </w:p>
    <w:p w14:paraId="5C269E52">
      <w:pPr>
        <w:pStyle w:val="8"/>
        <w:rPr>
          <w:color w:val="000000" w:themeColor="text1"/>
          <w:sz w:val="24"/>
          <w:szCs w:val="24"/>
          <w:lang w:val="en-US"/>
          <w14:textFill>
            <w14:solidFill>
              <w14:schemeClr w14:val="tx1"/>
            </w14:solidFill>
          </w14:textFill>
        </w:rPr>
      </w:pPr>
    </w:p>
    <w:p w14:paraId="703F4A14">
      <w:pPr>
        <w:rPr>
          <w:color w:val="000000" w:themeColor="text1"/>
          <w14:textFill>
            <w14:solidFill>
              <w14:schemeClr w14:val="tx1"/>
            </w14:solidFill>
          </w14:textFill>
        </w:rPr>
      </w:pPr>
    </w:p>
    <w:p w14:paraId="0961C471">
      <w:pPr>
        <w:rPr>
          <w:color w:val="000000" w:themeColor="text1"/>
          <w14:textFill>
            <w14:solidFill>
              <w14:schemeClr w14:val="tx1"/>
            </w14:solidFill>
          </w14:textFill>
        </w:rPr>
      </w:pPr>
    </w:p>
    <w:p w14:paraId="5295A3AB">
      <w:pPr>
        <w:pStyle w:val="7"/>
        <w:spacing w:before="0" w:after="0"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292318D4">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17" w:name="_Toc27501"/>
      <w:r>
        <w:rPr>
          <w:rFonts w:hint="eastAsia" w:ascii="宋体" w:hAnsi="宋体" w:eastAsia="宋体" w:cs="宋体"/>
          <w:color w:val="000000" w:themeColor="text1"/>
          <w:sz w:val="24"/>
          <w:szCs w:val="24"/>
          <w14:textFill>
            <w14:solidFill>
              <w14:schemeClr w14:val="tx1"/>
            </w14:solidFill>
          </w14:textFill>
        </w:rPr>
        <w:t>附件</w:t>
      </w:r>
      <w:bookmarkEnd w:id="116"/>
      <w:r>
        <w:rPr>
          <w:rFonts w:hint="eastAsia" w:ascii="宋体" w:hAnsi="宋体" w:eastAsia="宋体" w:cs="宋体"/>
          <w:color w:val="000000" w:themeColor="text1"/>
          <w:sz w:val="24"/>
          <w:szCs w:val="24"/>
          <w14:textFill>
            <w14:solidFill>
              <w14:schemeClr w14:val="tx1"/>
            </w14:solidFill>
          </w14:textFill>
        </w:rPr>
        <w:t>五</w:t>
      </w:r>
      <w:bookmarkEnd w:id="117"/>
    </w:p>
    <w:p w14:paraId="5C84BA35">
      <w:pPr>
        <w:pStyle w:val="2"/>
        <w:ind w:firstLine="2891" w:firstLineChars="1200"/>
        <w:rPr>
          <w:rFonts w:ascii="宋体" w:hAnsi="宋体" w:cs="宋体"/>
          <w:b/>
          <w:color w:val="000000" w:themeColor="text1"/>
          <w:szCs w:val="24"/>
          <w:lang w:val="zh-CN"/>
          <w14:textFill>
            <w14:solidFill>
              <w14:schemeClr w14:val="tx1"/>
            </w14:solidFill>
          </w14:textFill>
        </w:rPr>
      </w:pPr>
      <w:bookmarkStart w:id="118" w:name="_Toc363199274"/>
      <w:r>
        <w:rPr>
          <w:rFonts w:hint="eastAsia" w:ascii="宋体" w:hAnsi="宋体" w:cs="宋体"/>
          <w:b/>
          <w:color w:val="000000" w:themeColor="text1"/>
          <w:szCs w:val="24"/>
          <w:lang w:val="zh-CN"/>
          <w14:textFill>
            <w14:solidFill>
              <w14:schemeClr w14:val="tx1"/>
            </w14:solidFill>
          </w14:textFill>
        </w:rPr>
        <w:t>无重大违法记录声明函</w:t>
      </w:r>
    </w:p>
    <w:p w14:paraId="6D6B1F7C">
      <w:pPr>
        <w:pStyle w:val="2"/>
        <w:ind w:firstLine="480" w:firstLineChars="200"/>
        <w:rPr>
          <w:rFonts w:ascii="宋体" w:hAnsi="宋体"/>
          <w:color w:val="000000" w:themeColor="text1"/>
          <w:szCs w:val="24"/>
          <w14:textFill>
            <w14:solidFill>
              <w14:schemeClr w14:val="tx1"/>
            </w14:solidFill>
          </w14:textFill>
        </w:rPr>
      </w:pPr>
      <w:bookmarkStart w:id="119" w:name="_Hlk77793969"/>
      <w:r>
        <w:rPr>
          <w:rFonts w:hint="eastAsia" w:ascii="宋体" w:hAnsi="宋体"/>
          <w:color w:val="000000" w:themeColor="text1"/>
          <w:szCs w:val="24"/>
          <w14:textFill>
            <w14:solidFill>
              <w14:schemeClr w14:val="tx1"/>
            </w14:solidFill>
          </w14:textFill>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DE07BA6">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本公司对上述声明的真实性负责。如有虚假，将依法承担相应责任。</w:t>
      </w:r>
    </w:p>
    <w:p w14:paraId="6FEB5182">
      <w:pPr>
        <w:spacing w:line="360" w:lineRule="auto"/>
        <w:ind w:firstLine="435"/>
        <w:rPr>
          <w:rFonts w:ascii="宋体" w:hAnsi="宋体"/>
          <w:color w:val="000000" w:themeColor="text1"/>
          <w:sz w:val="24"/>
          <w:szCs w:val="24"/>
          <w14:textFill>
            <w14:solidFill>
              <w14:schemeClr w14:val="tx1"/>
            </w14:solidFill>
          </w14:textFill>
        </w:rPr>
      </w:pPr>
    </w:p>
    <w:p w14:paraId="6129E3E8">
      <w:pPr>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w:t>
      </w:r>
      <w:r>
        <w:rPr>
          <w:rFonts w:hint="eastAsia" w:ascii="宋体" w:hAnsi="宋体"/>
          <w:bCs/>
          <w:color w:val="000000" w:themeColor="text1"/>
          <w:sz w:val="24"/>
          <w:szCs w:val="24"/>
          <w:lang w:val="en-US" w:eastAsia="zh-CN"/>
          <w14:textFill>
            <w14:solidFill>
              <w14:schemeClr w14:val="tx1"/>
            </w14:solidFill>
          </w14:textFill>
        </w:rPr>
        <w:t>盖章</w:t>
      </w:r>
      <w:r>
        <w:rPr>
          <w:rFonts w:hint="eastAsia" w:ascii="宋体" w:hAnsi="宋体"/>
          <w:bCs/>
          <w:color w:val="000000" w:themeColor="text1"/>
          <w:sz w:val="24"/>
          <w:szCs w:val="24"/>
          <w14:textFill>
            <w14:solidFill>
              <w14:schemeClr w14:val="tx1"/>
            </w14:solidFill>
          </w14:textFill>
        </w:rPr>
        <w:t>：</w:t>
      </w:r>
    </w:p>
    <w:p w14:paraId="5EB8E3C5">
      <w:pPr>
        <w:tabs>
          <w:tab w:val="left" w:pos="630"/>
        </w:tabs>
        <w:spacing w:line="360" w:lineRule="auto"/>
        <w:ind w:firstLine="5428" w:firstLineChars="2262"/>
        <w:rPr>
          <w:rFonts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p>
    <w:bookmarkEnd w:id="119"/>
    <w:p w14:paraId="3FF73573">
      <w:pPr>
        <w:pStyle w:val="2"/>
        <w:ind w:firstLine="210"/>
        <w:rPr>
          <w:color w:val="000000" w:themeColor="text1"/>
          <w14:textFill>
            <w14:solidFill>
              <w14:schemeClr w14:val="tx1"/>
            </w14:solidFill>
          </w14:textFill>
        </w:rPr>
      </w:pPr>
    </w:p>
    <w:p w14:paraId="424A334E">
      <w:pPr>
        <w:pStyle w:val="2"/>
        <w:ind w:firstLine="210"/>
        <w:rPr>
          <w:color w:val="000000" w:themeColor="text1"/>
          <w14:textFill>
            <w14:solidFill>
              <w14:schemeClr w14:val="tx1"/>
            </w14:solidFill>
          </w14:textFill>
        </w:rPr>
      </w:pPr>
    </w:p>
    <w:p w14:paraId="324A55D0">
      <w:pPr>
        <w:tabs>
          <w:tab w:val="left" w:pos="630"/>
        </w:tabs>
        <w:spacing w:after="156" w:afterLines="50" w:line="360" w:lineRule="auto"/>
        <w:ind w:firstLine="3188" w:firstLineChars="1323"/>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val="zh-CN"/>
          <w14:textFill>
            <w14:solidFill>
              <w14:schemeClr w14:val="tx1"/>
            </w14:solidFill>
          </w14:textFill>
        </w:rPr>
        <w:t>无不良信用记录承诺函</w:t>
      </w:r>
    </w:p>
    <w:p w14:paraId="5A499D98">
      <w:pPr>
        <w:spacing w:line="360" w:lineRule="auto"/>
        <w:ind w:firstLine="435"/>
        <w:rPr>
          <w:rFonts w:ascii="宋体" w:hAnsi="宋体"/>
          <w:color w:val="000000" w:themeColor="text1"/>
          <w:sz w:val="24"/>
          <w:szCs w:val="24"/>
          <w14:textFill>
            <w14:solidFill>
              <w14:schemeClr w14:val="tx1"/>
            </w14:solidFill>
          </w14:textFill>
        </w:rPr>
      </w:pPr>
      <w:bookmarkStart w:id="120" w:name="_Hlk77794010"/>
      <w:r>
        <w:rPr>
          <w:rFonts w:hint="eastAsia" w:ascii="宋体" w:hAnsi="宋体"/>
          <w:color w:val="000000" w:themeColor="text1"/>
          <w:sz w:val="24"/>
          <w:szCs w:val="24"/>
          <w14:textFill>
            <w14:solidFill>
              <w14:schemeClr w14:val="tx1"/>
            </w14:solidFill>
          </w14:textFill>
        </w:rPr>
        <w:t>本公司郑重承诺，我公司无以下不良信用记录情形：</w:t>
      </w:r>
    </w:p>
    <w:p w14:paraId="7E5A29A5">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1、公司被人民法院列入失信被执行人；</w:t>
      </w:r>
    </w:p>
    <w:p w14:paraId="7B893D78">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2、公司被市场监督管理部门列入</w:t>
      </w:r>
      <w:r>
        <w:rPr>
          <w:rFonts w:hint="eastAsia" w:ascii="宋体" w:hAnsi="宋体"/>
          <w:color w:val="000000" w:themeColor="text1"/>
          <w:sz w:val="24"/>
          <w:szCs w:val="24"/>
          <w:lang w:eastAsia="zh-CN"/>
          <w14:textFill>
            <w14:solidFill>
              <w14:schemeClr w14:val="tx1"/>
            </w14:solidFill>
          </w14:textFill>
        </w:rPr>
        <w:t>严重违法失信企业</w:t>
      </w:r>
      <w:r>
        <w:rPr>
          <w:rFonts w:hint="eastAsia" w:ascii="宋体" w:hAnsi="宋体"/>
          <w:color w:val="000000" w:themeColor="text1"/>
          <w:sz w:val="24"/>
          <w:szCs w:val="24"/>
          <w14:textFill>
            <w14:solidFill>
              <w14:schemeClr w14:val="tx1"/>
            </w14:solidFill>
          </w14:textFill>
        </w:rPr>
        <w:t>名录；</w:t>
      </w:r>
    </w:p>
    <w:p w14:paraId="6D08C1D5">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3、公司被税务部门列入重大税收违法案件当事人名单的；</w:t>
      </w:r>
    </w:p>
    <w:p w14:paraId="33926411">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4、公司被政府采购监管部门列入政府采购严重违法失信行为记录名单。</w:t>
      </w:r>
    </w:p>
    <w:p w14:paraId="20546B03">
      <w:pPr>
        <w:spacing w:line="360" w:lineRule="auto"/>
        <w:ind w:firstLine="435"/>
        <w:rPr>
          <w:rFonts w:ascii="宋体" w:hAnsi="宋体" w:cs="宋体"/>
          <w:color w:val="000000" w:themeColor="text1"/>
          <w:kern w:val="0"/>
          <w:sz w:val="32"/>
          <w:szCs w:val="32"/>
          <w14:textFill>
            <w14:solidFill>
              <w14:schemeClr w14:val="tx1"/>
            </w14:solidFill>
          </w14:textFill>
        </w:rPr>
      </w:pPr>
      <w:r>
        <w:rPr>
          <w:rFonts w:ascii="宋体" w:hAnsi="宋体"/>
          <w:color w:val="000000" w:themeColor="text1"/>
          <w:sz w:val="24"/>
          <w:szCs w:val="24"/>
          <w14:textFill>
            <w14:solidFill>
              <w14:schemeClr w14:val="tx1"/>
            </w14:solidFill>
          </w14:textFill>
        </w:rPr>
        <w:t>我公司承诺</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合同签订前，若我公司具有不良信用记录情形，贵方可取消我公司</w:t>
      </w:r>
      <w:r>
        <w:rPr>
          <w:rFonts w:hint="eastAsia" w:ascii="宋体" w:hAnsi="宋体"/>
          <w:color w:val="000000" w:themeColor="text1"/>
          <w:sz w:val="24"/>
          <w:szCs w:val="24"/>
          <w14:textFill>
            <w14:solidFill>
              <w14:schemeClr w14:val="tx1"/>
            </w14:solidFill>
          </w14:textFill>
        </w:rPr>
        <w:t>成交</w:t>
      </w:r>
      <w:r>
        <w:rPr>
          <w:rFonts w:ascii="宋体" w:hAnsi="宋体"/>
          <w:color w:val="000000" w:themeColor="text1"/>
          <w:sz w:val="24"/>
          <w:szCs w:val="24"/>
          <w14:textFill>
            <w14:solidFill>
              <w14:schemeClr w14:val="tx1"/>
            </w14:solidFill>
          </w14:textFill>
        </w:rPr>
        <w:t xml:space="preserve">资格或者不授予合同，所有责任由我公司自行承担。同时，我公司愿意无条件接受监管部门的调查处理。 </w:t>
      </w:r>
    </w:p>
    <w:p w14:paraId="4C2ED816">
      <w:pPr>
        <w:tabs>
          <w:tab w:val="left" w:pos="630"/>
        </w:tabs>
        <w:spacing w:line="360" w:lineRule="auto"/>
        <w:ind w:firstLine="630"/>
        <w:rPr>
          <w:rFonts w:ascii="宋体" w:hAnsi="宋体"/>
          <w:color w:val="000000" w:themeColor="text1"/>
          <w:sz w:val="24"/>
          <w:szCs w:val="24"/>
          <w14:textFill>
            <w14:solidFill>
              <w14:schemeClr w14:val="tx1"/>
            </w14:solidFill>
          </w14:textFill>
        </w:rPr>
      </w:pPr>
    </w:p>
    <w:p w14:paraId="5153969D">
      <w:pPr>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供应商</w:t>
      </w:r>
      <w:r>
        <w:rPr>
          <w:rFonts w:hint="eastAsia" w:ascii="宋体" w:hAnsi="宋体"/>
          <w:bCs/>
          <w:color w:val="000000" w:themeColor="text1"/>
          <w:sz w:val="24"/>
          <w:szCs w:val="24"/>
          <w:lang w:val="en-US" w:eastAsia="zh-CN"/>
          <w14:textFill>
            <w14:solidFill>
              <w14:schemeClr w14:val="tx1"/>
            </w14:solidFill>
          </w14:textFill>
        </w:rPr>
        <w:t>盖章</w:t>
      </w:r>
      <w:r>
        <w:rPr>
          <w:rFonts w:hint="eastAsia" w:ascii="宋体" w:hAnsi="宋体"/>
          <w:bCs/>
          <w:color w:val="000000" w:themeColor="text1"/>
          <w:sz w:val="24"/>
          <w:szCs w:val="24"/>
          <w14:textFill>
            <w14:solidFill>
              <w14:schemeClr w14:val="tx1"/>
            </w14:solidFill>
          </w14:textFill>
        </w:rPr>
        <w:t>：</w:t>
      </w:r>
    </w:p>
    <w:p w14:paraId="466437E0">
      <w:pPr>
        <w:tabs>
          <w:tab w:val="left" w:pos="630"/>
        </w:tabs>
        <w:spacing w:line="360" w:lineRule="auto"/>
        <w:ind w:firstLine="5428" w:firstLineChars="2262"/>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日期：</w:t>
      </w:r>
    </w:p>
    <w:bookmarkEnd w:id="120"/>
    <w:p w14:paraId="0A6E5072">
      <w:pPr>
        <w:pStyle w:val="7"/>
        <w:spacing w:before="0" w:after="0" w:line="56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72F08600">
      <w:pPr>
        <w:pStyle w:val="7"/>
        <w:spacing w:before="0" w:after="0" w:line="560" w:lineRule="exact"/>
        <w:rPr>
          <w:rFonts w:ascii="宋体" w:hAnsi="宋体" w:eastAsia="宋体" w:cs="宋体"/>
          <w:color w:val="000000" w:themeColor="text1"/>
          <w:sz w:val="24"/>
          <w:szCs w:val="24"/>
          <w14:textFill>
            <w14:solidFill>
              <w14:schemeClr w14:val="tx1"/>
            </w14:solidFill>
          </w14:textFill>
        </w:rPr>
      </w:pPr>
      <w:bookmarkStart w:id="121" w:name="_Toc30242"/>
      <w:r>
        <w:rPr>
          <w:rFonts w:hint="eastAsia" w:ascii="宋体" w:hAnsi="宋体" w:eastAsia="宋体" w:cs="宋体"/>
          <w:color w:val="000000" w:themeColor="text1"/>
          <w:sz w:val="24"/>
          <w:szCs w:val="24"/>
          <w14:textFill>
            <w14:solidFill>
              <w14:schemeClr w14:val="tx1"/>
            </w14:solidFill>
          </w14:textFill>
        </w:rPr>
        <w:t>附件</w:t>
      </w:r>
      <w:bookmarkEnd w:id="118"/>
      <w:r>
        <w:rPr>
          <w:rFonts w:hint="eastAsia" w:ascii="宋体" w:hAnsi="宋体" w:eastAsia="宋体" w:cs="宋体"/>
          <w:color w:val="000000" w:themeColor="text1"/>
          <w:sz w:val="24"/>
          <w:szCs w:val="24"/>
          <w14:textFill>
            <w14:solidFill>
              <w14:schemeClr w14:val="tx1"/>
            </w14:solidFill>
          </w14:textFill>
        </w:rPr>
        <w:t>六</w:t>
      </w:r>
      <w:bookmarkEnd w:id="121"/>
    </w:p>
    <w:p w14:paraId="73C73996">
      <w:pPr>
        <w:pStyle w:val="7"/>
        <w:spacing w:before="0" w:after="0" w:line="560" w:lineRule="exact"/>
        <w:jc w:val="center"/>
        <w:rPr>
          <w:rFonts w:ascii="宋体" w:hAnsi="宋体" w:eastAsia="宋体" w:cs="宋体"/>
          <w:color w:val="000000" w:themeColor="text1"/>
          <w:sz w:val="24"/>
          <w:szCs w:val="24"/>
          <w:lang w:val="zh-CN"/>
          <w14:textFill>
            <w14:solidFill>
              <w14:schemeClr w14:val="tx1"/>
            </w14:solidFill>
          </w14:textFill>
        </w:rPr>
      </w:pPr>
      <w:bookmarkStart w:id="122" w:name="_Toc24468"/>
      <w:bookmarkStart w:id="123" w:name="_Toc25238"/>
      <w:bookmarkStart w:id="124" w:name="_Toc12738"/>
      <w:r>
        <w:rPr>
          <w:rFonts w:hint="eastAsia" w:ascii="宋体" w:hAnsi="宋体" w:eastAsia="宋体" w:cs="宋体"/>
          <w:color w:val="000000" w:themeColor="text1"/>
          <w:sz w:val="24"/>
          <w:szCs w:val="24"/>
          <w:lang w:val="zh-CN"/>
          <w14:textFill>
            <w14:solidFill>
              <w14:schemeClr w14:val="tx1"/>
            </w14:solidFill>
          </w14:textFill>
        </w:rPr>
        <w:t>响应情况表</w:t>
      </w:r>
      <w:bookmarkEnd w:id="122"/>
      <w:bookmarkEnd w:id="123"/>
      <w:bookmarkEnd w:id="124"/>
    </w:p>
    <w:p w14:paraId="0C49C4D0">
      <w:pPr>
        <w:jc w:val="center"/>
        <w:rPr>
          <w:bCs/>
          <w:color w:val="000000" w:themeColor="text1"/>
          <w:sz w:val="24"/>
          <w:szCs w:val="24"/>
          <w:lang w:val="zh-CN"/>
          <w14:textFill>
            <w14:solidFill>
              <w14:schemeClr w14:val="tx1"/>
            </w14:solidFill>
          </w14:textFill>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DDD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62AC5DF">
            <w:pPr>
              <w:jc w:val="center"/>
              <w:rPr>
                <w:rFonts w:ascii="宋体" w:cs="宋体"/>
                <w:b/>
                <w:color w:val="000000" w:themeColor="text1"/>
                <w:sz w:val="24"/>
                <w:szCs w:val="21"/>
                <w14:textFill>
                  <w14:solidFill>
                    <w14:schemeClr w14:val="tx1"/>
                  </w14:solidFill>
                </w14:textFill>
              </w:rPr>
            </w:pPr>
            <w:bookmarkStart w:id="125" w:name="_Toc471299110"/>
            <w:r>
              <w:rPr>
                <w:rFonts w:hint="eastAsia" w:ascii="宋体" w:hAnsi="宋体" w:cs="宋体"/>
                <w:b/>
                <w:color w:val="000000" w:themeColor="text1"/>
                <w:sz w:val="24"/>
                <w:szCs w:val="21"/>
                <w14:textFill>
                  <w14:solidFill>
                    <w14:schemeClr w14:val="tx1"/>
                  </w14:solidFill>
                </w14:textFill>
              </w:rPr>
              <w:t>按谈判文件规定填写</w:t>
            </w:r>
          </w:p>
        </w:tc>
        <w:tc>
          <w:tcPr>
            <w:tcW w:w="4200" w:type="dxa"/>
            <w:gridSpan w:val="2"/>
            <w:vAlign w:val="center"/>
          </w:tcPr>
          <w:p w14:paraId="57ADD6E6">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按供应商所投内容填写</w:t>
            </w:r>
          </w:p>
        </w:tc>
      </w:tr>
      <w:tr w14:paraId="2EA8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3356B8B">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序号</w:t>
            </w:r>
          </w:p>
        </w:tc>
        <w:tc>
          <w:tcPr>
            <w:tcW w:w="1794" w:type="dxa"/>
            <w:vAlign w:val="center"/>
          </w:tcPr>
          <w:p w14:paraId="43E47D40">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内容</w:t>
            </w:r>
          </w:p>
        </w:tc>
        <w:tc>
          <w:tcPr>
            <w:tcW w:w="2196" w:type="dxa"/>
            <w:vAlign w:val="center"/>
          </w:tcPr>
          <w:p w14:paraId="622B9F7D">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谈判文件要求</w:t>
            </w:r>
          </w:p>
        </w:tc>
        <w:tc>
          <w:tcPr>
            <w:tcW w:w="2222" w:type="dxa"/>
            <w:vAlign w:val="center"/>
          </w:tcPr>
          <w:p w14:paraId="300452B5">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响应承诺</w:t>
            </w:r>
          </w:p>
        </w:tc>
        <w:tc>
          <w:tcPr>
            <w:tcW w:w="1978" w:type="dxa"/>
            <w:vAlign w:val="center"/>
          </w:tcPr>
          <w:p w14:paraId="3AB732C0">
            <w:pPr>
              <w:jc w:val="center"/>
              <w:rPr>
                <w:rFonts w:ascii="宋体" w:cs="宋体"/>
                <w:b/>
                <w:color w:val="000000" w:themeColor="text1"/>
                <w:sz w:val="24"/>
                <w:szCs w:val="21"/>
                <w14:textFill>
                  <w14:solidFill>
                    <w14:schemeClr w14:val="tx1"/>
                  </w14:solidFill>
                </w14:textFill>
              </w:rPr>
            </w:pPr>
            <w:r>
              <w:rPr>
                <w:rFonts w:hint="eastAsia" w:ascii="宋体" w:hAnsi="宋体" w:cs="宋体"/>
                <w:b/>
                <w:color w:val="000000" w:themeColor="text1"/>
                <w:sz w:val="24"/>
                <w:szCs w:val="21"/>
                <w14:textFill>
                  <w14:solidFill>
                    <w14:schemeClr w14:val="tx1"/>
                  </w14:solidFill>
                </w14:textFill>
              </w:rPr>
              <w:t>偏离说明</w:t>
            </w:r>
          </w:p>
        </w:tc>
      </w:tr>
      <w:tr w14:paraId="6A0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39E801BA">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1794" w:type="dxa"/>
            <w:vAlign w:val="center"/>
          </w:tcPr>
          <w:p w14:paraId="0228A35C">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采购需求</w:t>
            </w:r>
            <w:r>
              <w:rPr>
                <w:rFonts w:hint="eastAsia" w:ascii="宋体" w:hAnsi="宋体"/>
                <w:color w:val="000000" w:themeColor="text1"/>
                <w:sz w:val="24"/>
                <w:szCs w:val="28"/>
                <w14:textFill>
                  <w14:solidFill>
                    <w14:schemeClr w14:val="tx1"/>
                  </w14:solidFill>
                </w14:textFill>
              </w:rPr>
              <w:t>响应</w:t>
            </w:r>
          </w:p>
        </w:tc>
        <w:tc>
          <w:tcPr>
            <w:tcW w:w="2196" w:type="dxa"/>
            <w:vAlign w:val="center"/>
          </w:tcPr>
          <w:p w14:paraId="1CB09CD6">
            <w:pPr>
              <w:rPr>
                <w:rFonts w:ascii="宋体" w:cs="宋体"/>
                <w:color w:val="000000" w:themeColor="text1"/>
                <w:sz w:val="24"/>
                <w:szCs w:val="24"/>
                <w14:textFill>
                  <w14:solidFill>
                    <w14:schemeClr w14:val="tx1"/>
                  </w14:solidFill>
                </w14:textFill>
              </w:rPr>
            </w:pPr>
          </w:p>
        </w:tc>
        <w:tc>
          <w:tcPr>
            <w:tcW w:w="2222" w:type="dxa"/>
            <w:vAlign w:val="center"/>
          </w:tcPr>
          <w:p w14:paraId="4EE638C9">
            <w:pPr>
              <w:rPr>
                <w:rFonts w:ascii="宋体" w:cs="宋体"/>
                <w:color w:val="000000" w:themeColor="text1"/>
                <w:sz w:val="24"/>
                <w:szCs w:val="24"/>
                <w14:textFill>
                  <w14:solidFill>
                    <w14:schemeClr w14:val="tx1"/>
                  </w14:solidFill>
                </w14:textFill>
              </w:rPr>
            </w:pPr>
          </w:p>
        </w:tc>
        <w:tc>
          <w:tcPr>
            <w:tcW w:w="1978" w:type="dxa"/>
            <w:vAlign w:val="center"/>
          </w:tcPr>
          <w:p w14:paraId="0D7B5527">
            <w:pPr>
              <w:rPr>
                <w:rFonts w:ascii="宋体" w:cs="宋体"/>
                <w:color w:val="000000" w:themeColor="text1"/>
                <w:sz w:val="24"/>
                <w:szCs w:val="24"/>
                <w14:textFill>
                  <w14:solidFill>
                    <w14:schemeClr w14:val="tx1"/>
                  </w14:solidFill>
                </w14:textFill>
              </w:rPr>
            </w:pPr>
          </w:p>
        </w:tc>
      </w:tr>
      <w:tr w14:paraId="308A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CC9D35A">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1794" w:type="dxa"/>
            <w:vAlign w:val="center"/>
          </w:tcPr>
          <w:p w14:paraId="5312F92F">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p>
        </w:tc>
        <w:tc>
          <w:tcPr>
            <w:tcW w:w="2196" w:type="dxa"/>
            <w:vAlign w:val="center"/>
          </w:tcPr>
          <w:p w14:paraId="760B2838">
            <w:pPr>
              <w:rPr>
                <w:rFonts w:ascii="宋体" w:cs="宋体"/>
                <w:color w:val="000000" w:themeColor="text1"/>
                <w:sz w:val="24"/>
                <w:szCs w:val="24"/>
                <w14:textFill>
                  <w14:solidFill>
                    <w14:schemeClr w14:val="tx1"/>
                  </w14:solidFill>
                </w14:textFill>
              </w:rPr>
            </w:pPr>
          </w:p>
        </w:tc>
        <w:tc>
          <w:tcPr>
            <w:tcW w:w="2222" w:type="dxa"/>
            <w:vAlign w:val="center"/>
          </w:tcPr>
          <w:p w14:paraId="665959CB">
            <w:pPr>
              <w:rPr>
                <w:rFonts w:ascii="宋体" w:cs="宋体"/>
                <w:color w:val="000000" w:themeColor="text1"/>
                <w:sz w:val="24"/>
                <w:szCs w:val="24"/>
                <w14:textFill>
                  <w14:solidFill>
                    <w14:schemeClr w14:val="tx1"/>
                  </w14:solidFill>
                </w14:textFill>
              </w:rPr>
            </w:pPr>
          </w:p>
        </w:tc>
        <w:tc>
          <w:tcPr>
            <w:tcW w:w="1978" w:type="dxa"/>
            <w:vAlign w:val="center"/>
          </w:tcPr>
          <w:p w14:paraId="7FD099FF">
            <w:pPr>
              <w:rPr>
                <w:rFonts w:ascii="宋体" w:cs="宋体"/>
                <w:color w:val="000000" w:themeColor="text1"/>
                <w:sz w:val="24"/>
                <w:szCs w:val="24"/>
                <w14:textFill>
                  <w14:solidFill>
                    <w14:schemeClr w14:val="tx1"/>
                  </w14:solidFill>
                </w14:textFill>
              </w:rPr>
            </w:pPr>
          </w:p>
        </w:tc>
      </w:tr>
      <w:tr w14:paraId="400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9718439">
            <w:pPr>
              <w:jc w:val="center"/>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1794" w:type="dxa"/>
            <w:vAlign w:val="center"/>
          </w:tcPr>
          <w:p w14:paraId="3743E6A0">
            <w:pPr>
              <w:jc w:val="center"/>
              <w:rPr>
                <w:rFonts w:ascii="宋体" w:cs="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服务期响应</w:t>
            </w:r>
          </w:p>
        </w:tc>
        <w:tc>
          <w:tcPr>
            <w:tcW w:w="2196" w:type="dxa"/>
            <w:vAlign w:val="center"/>
          </w:tcPr>
          <w:p w14:paraId="67BB1D08">
            <w:pPr>
              <w:rPr>
                <w:rFonts w:ascii="宋体" w:cs="宋体"/>
                <w:color w:val="000000" w:themeColor="text1"/>
                <w:sz w:val="24"/>
                <w:szCs w:val="24"/>
                <w14:textFill>
                  <w14:solidFill>
                    <w14:schemeClr w14:val="tx1"/>
                  </w14:solidFill>
                </w14:textFill>
              </w:rPr>
            </w:pPr>
          </w:p>
        </w:tc>
        <w:tc>
          <w:tcPr>
            <w:tcW w:w="2222" w:type="dxa"/>
            <w:vAlign w:val="center"/>
          </w:tcPr>
          <w:p w14:paraId="61E34476">
            <w:pPr>
              <w:rPr>
                <w:rFonts w:ascii="宋体" w:cs="宋体"/>
                <w:color w:val="000000" w:themeColor="text1"/>
                <w:sz w:val="24"/>
                <w:szCs w:val="24"/>
                <w14:textFill>
                  <w14:solidFill>
                    <w14:schemeClr w14:val="tx1"/>
                  </w14:solidFill>
                </w14:textFill>
              </w:rPr>
            </w:pPr>
          </w:p>
        </w:tc>
        <w:tc>
          <w:tcPr>
            <w:tcW w:w="1978" w:type="dxa"/>
            <w:vAlign w:val="center"/>
          </w:tcPr>
          <w:p w14:paraId="25BB106E">
            <w:pPr>
              <w:rPr>
                <w:rFonts w:ascii="宋体" w:cs="宋体"/>
                <w:color w:val="000000" w:themeColor="text1"/>
                <w:sz w:val="24"/>
                <w:szCs w:val="24"/>
                <w14:textFill>
                  <w14:solidFill>
                    <w14:schemeClr w14:val="tx1"/>
                  </w14:solidFill>
                </w14:textFill>
              </w:rPr>
            </w:pPr>
          </w:p>
        </w:tc>
      </w:tr>
      <w:tr w14:paraId="6B4B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298360">
            <w:pPr>
              <w:jc w:val="center"/>
              <w:rPr>
                <w:rFonts w:ascii="宋体" w:cs="宋体"/>
                <w:color w:val="000000" w:themeColor="text1"/>
                <w:sz w:val="24"/>
                <w:szCs w:val="24"/>
                <w14:textFill>
                  <w14:solidFill>
                    <w14:schemeClr w14:val="tx1"/>
                  </w14:solidFill>
                </w14:textFill>
              </w:rPr>
            </w:pPr>
            <w:r>
              <w:rPr>
                <w:rFonts w:hint="eastAsia" w:ascii="宋体" w:cs="宋体"/>
                <w:color w:val="000000" w:themeColor="text1"/>
                <w:sz w:val="24"/>
                <w:szCs w:val="24"/>
                <w14:textFill>
                  <w14:solidFill>
                    <w14:schemeClr w14:val="tx1"/>
                  </w14:solidFill>
                </w14:textFill>
              </w:rPr>
              <w:t>4</w:t>
            </w:r>
          </w:p>
        </w:tc>
        <w:tc>
          <w:tcPr>
            <w:tcW w:w="1794" w:type="dxa"/>
            <w:vAlign w:val="center"/>
          </w:tcPr>
          <w:p w14:paraId="184DD29C">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c>
          <w:tcPr>
            <w:tcW w:w="2196" w:type="dxa"/>
            <w:vAlign w:val="center"/>
          </w:tcPr>
          <w:p w14:paraId="6F08CEAB">
            <w:pPr>
              <w:rPr>
                <w:rFonts w:ascii="宋体" w:cs="宋体"/>
                <w:color w:val="000000" w:themeColor="text1"/>
                <w:sz w:val="24"/>
                <w:szCs w:val="24"/>
                <w14:textFill>
                  <w14:solidFill>
                    <w14:schemeClr w14:val="tx1"/>
                  </w14:solidFill>
                </w14:textFill>
              </w:rPr>
            </w:pPr>
          </w:p>
        </w:tc>
        <w:tc>
          <w:tcPr>
            <w:tcW w:w="2222" w:type="dxa"/>
            <w:vAlign w:val="center"/>
          </w:tcPr>
          <w:p w14:paraId="091835DD">
            <w:pPr>
              <w:rPr>
                <w:rFonts w:ascii="宋体" w:cs="宋体"/>
                <w:color w:val="000000" w:themeColor="text1"/>
                <w:sz w:val="24"/>
                <w:szCs w:val="24"/>
                <w14:textFill>
                  <w14:solidFill>
                    <w14:schemeClr w14:val="tx1"/>
                  </w14:solidFill>
                </w14:textFill>
              </w:rPr>
            </w:pPr>
          </w:p>
        </w:tc>
        <w:tc>
          <w:tcPr>
            <w:tcW w:w="1978" w:type="dxa"/>
            <w:vAlign w:val="center"/>
          </w:tcPr>
          <w:p w14:paraId="5A3E1E7A">
            <w:pPr>
              <w:rPr>
                <w:rFonts w:ascii="宋体" w:cs="宋体"/>
                <w:color w:val="000000" w:themeColor="text1"/>
                <w:sz w:val="24"/>
                <w:szCs w:val="24"/>
                <w14:textFill>
                  <w14:solidFill>
                    <w14:schemeClr w14:val="tx1"/>
                  </w14:solidFill>
                </w14:textFill>
              </w:rPr>
            </w:pPr>
          </w:p>
        </w:tc>
      </w:tr>
    </w:tbl>
    <w:p w14:paraId="2DF1C094">
      <w:pPr>
        <w:spacing w:after="312" w:afterLines="100" w:line="520" w:lineRule="exact"/>
        <w:ind w:firstLine="482" w:firstLineChars="200"/>
        <w:rPr>
          <w:rFonts w:ascii="宋体" w:hAnsi="宋体"/>
          <w:color w:val="000000" w:themeColor="text1"/>
          <w:sz w:val="24"/>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w:t>
      </w:r>
      <w:r>
        <w:rPr>
          <w:rFonts w:hint="eastAsia" w:ascii="宋体" w:hAnsi="宋体"/>
          <w:color w:val="000000" w:themeColor="text1"/>
          <w:sz w:val="24"/>
          <w:szCs w:val="28"/>
          <w14:textFill>
            <w14:solidFill>
              <w14:schemeClr w14:val="tx1"/>
            </w14:solidFill>
          </w14:textFill>
        </w:rPr>
        <w:t>提供的服务满足采购需求；付款及服务期等均应响应谈判文件要求。</w:t>
      </w:r>
    </w:p>
    <w:p w14:paraId="5070C578">
      <w:pPr>
        <w:spacing w:after="312" w:afterLines="100" w:line="520" w:lineRule="exact"/>
        <w:rPr>
          <w:rFonts w:ascii="宋体" w:hAnsi="宋体"/>
          <w:color w:val="000000" w:themeColor="text1"/>
          <w:sz w:val="24"/>
          <w:szCs w:val="28"/>
          <w14:textFill>
            <w14:solidFill>
              <w14:schemeClr w14:val="tx1"/>
            </w14:solidFill>
          </w14:textFill>
        </w:rPr>
      </w:pPr>
    </w:p>
    <w:p w14:paraId="5916ECA7">
      <w:pPr>
        <w:rPr>
          <w:rFonts w:ascii="宋体" w:hAnsi="宋体"/>
          <w:color w:val="000000" w:themeColor="text1"/>
          <w:sz w:val="24"/>
          <w:szCs w:val="24"/>
          <w14:textFill>
            <w14:solidFill>
              <w14:schemeClr w14:val="tx1"/>
            </w14:solidFill>
          </w14:textFill>
        </w:rPr>
      </w:pPr>
    </w:p>
    <w:p w14:paraId="7C111310">
      <w:pPr>
        <w:rPr>
          <w:rFonts w:ascii="宋体" w:hAnsi="宋体"/>
          <w:color w:val="000000" w:themeColor="text1"/>
          <w:sz w:val="24"/>
          <w:szCs w:val="24"/>
          <w14:textFill>
            <w14:solidFill>
              <w14:schemeClr w14:val="tx1"/>
            </w14:solidFill>
          </w14:textFill>
        </w:rPr>
      </w:pPr>
    </w:p>
    <w:p w14:paraId="4DC6D4F3">
      <w:pPr>
        <w:spacing w:line="360" w:lineRule="auto"/>
        <w:ind w:right="48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供应商</w:t>
      </w:r>
      <w:r>
        <w:rPr>
          <w:rFonts w:hint="eastAsia" w:ascii="宋体" w:hAnsi="宋体"/>
          <w:b/>
          <w:bCs/>
          <w:color w:val="000000" w:themeColor="text1"/>
          <w:sz w:val="24"/>
          <w:szCs w:val="24"/>
          <w:lang w:val="en-US" w:eastAsia="zh-CN"/>
          <w14:textFill>
            <w14:solidFill>
              <w14:schemeClr w14:val="tx1"/>
            </w14:solidFill>
          </w14:textFill>
        </w:rPr>
        <w:t>盖章</w:t>
      </w:r>
      <w:r>
        <w:rPr>
          <w:rFonts w:hint="eastAsia" w:ascii="宋体" w:hAnsi="宋体"/>
          <w:b/>
          <w:bCs/>
          <w:color w:val="000000" w:themeColor="text1"/>
          <w:sz w:val="24"/>
          <w:szCs w:val="24"/>
          <w14:textFill>
            <w14:solidFill>
              <w14:schemeClr w14:val="tx1"/>
            </w14:solidFill>
          </w14:textFill>
        </w:rPr>
        <w:t>：</w:t>
      </w:r>
    </w:p>
    <w:p w14:paraId="4A749018">
      <w:pPr>
        <w:ind w:firstLine="4337" w:firstLineChars="1800"/>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    期：</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年</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月</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日</w:t>
      </w:r>
    </w:p>
    <w:bookmarkEnd w:id="125"/>
    <w:p w14:paraId="11A1BDA9">
      <w:pPr>
        <w:pStyle w:val="8"/>
        <w:spacing w:before="0" w:after="0"/>
        <w:rPr>
          <w:rFonts w:ascii="宋体" w:hAnsi="宋体"/>
          <w:b/>
          <w:bCs/>
          <w:color w:val="000000" w:themeColor="text1"/>
          <w:sz w:val="24"/>
          <w:szCs w:val="24"/>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 xml:space="preserve">              </w:t>
      </w:r>
    </w:p>
    <w:p w14:paraId="3608CBDA">
      <w:pPr>
        <w:rPr>
          <w:rFonts w:ascii="宋体" w:hAnsi="宋体" w:cs="宋体"/>
          <w:color w:val="000000" w:themeColor="text1"/>
          <w:sz w:val="24"/>
          <w:szCs w:val="24"/>
          <w14:textFill>
            <w14:solidFill>
              <w14:schemeClr w14:val="tx1"/>
            </w14:solidFill>
          </w14:textFill>
        </w:rPr>
      </w:pPr>
      <w:bookmarkStart w:id="126" w:name="_Toc23763"/>
      <w:r>
        <w:rPr>
          <w:rFonts w:hint="eastAsia" w:ascii="宋体" w:hAnsi="宋体" w:cs="宋体"/>
          <w:color w:val="000000" w:themeColor="text1"/>
          <w:sz w:val="24"/>
          <w:szCs w:val="24"/>
          <w14:textFill>
            <w14:solidFill>
              <w14:schemeClr w14:val="tx1"/>
            </w14:solidFill>
          </w14:textFill>
        </w:rPr>
        <w:br w:type="page"/>
      </w:r>
    </w:p>
    <w:p w14:paraId="342CA800">
      <w:pPr>
        <w:pStyle w:val="7"/>
        <w:spacing w:before="0" w:after="0" w:line="560" w:lineRule="exact"/>
        <w:rPr>
          <w:rFonts w:hint="eastAsia" w:ascii="宋体" w:hAnsi="宋体" w:eastAsia="宋体" w:cs="宋体"/>
          <w:color w:val="000000" w:themeColor="text1"/>
          <w:sz w:val="24"/>
          <w:szCs w:val="24"/>
          <w:lang w:eastAsia="zh-CN"/>
          <w14:textFill>
            <w14:solidFill>
              <w14:schemeClr w14:val="tx1"/>
            </w14:solidFill>
          </w14:textFill>
        </w:rPr>
      </w:pPr>
      <w:bookmarkStart w:id="127" w:name="_Toc14089"/>
      <w:r>
        <w:rPr>
          <w:rFonts w:hint="eastAsia" w:ascii="宋体" w:hAnsi="宋体" w:eastAsia="宋体" w:cs="宋体"/>
          <w:color w:val="000000" w:themeColor="text1"/>
          <w:sz w:val="24"/>
          <w:szCs w:val="24"/>
          <w14:textFill>
            <w14:solidFill>
              <w14:schemeClr w14:val="tx1"/>
            </w14:solidFill>
          </w14:textFill>
        </w:rPr>
        <w:t>附件</w:t>
      </w:r>
      <w:bookmarkEnd w:id="127"/>
      <w:r>
        <w:rPr>
          <w:rFonts w:hint="eastAsia" w:ascii="宋体" w:hAnsi="宋体" w:eastAsia="宋体" w:cs="宋体"/>
          <w:color w:val="000000" w:themeColor="text1"/>
          <w:sz w:val="24"/>
          <w:szCs w:val="24"/>
          <w:lang w:val="en-US" w:eastAsia="zh-CN"/>
          <w14:textFill>
            <w14:solidFill>
              <w14:schemeClr w14:val="tx1"/>
            </w14:solidFill>
          </w14:textFill>
        </w:rPr>
        <w:t>七</w:t>
      </w:r>
    </w:p>
    <w:p w14:paraId="3896EC17">
      <w:pPr>
        <w:pStyle w:val="7"/>
        <w:spacing w:before="0" w:after="0" w:line="560" w:lineRule="exact"/>
        <w:jc w:val="center"/>
        <w:rPr>
          <w:rFonts w:ascii="宋体" w:hAnsi="宋体" w:eastAsia="宋体" w:cs="宋体"/>
          <w:color w:val="000000" w:themeColor="text1"/>
          <w:sz w:val="24"/>
          <w:szCs w:val="24"/>
          <w14:textFill>
            <w14:solidFill>
              <w14:schemeClr w14:val="tx1"/>
            </w14:solidFill>
          </w14:textFill>
        </w:rPr>
      </w:pPr>
      <w:bookmarkStart w:id="128" w:name="_Toc6599"/>
      <w:bookmarkStart w:id="129" w:name="_Toc5794"/>
      <w:bookmarkStart w:id="130" w:name="_Toc21465"/>
      <w:r>
        <w:rPr>
          <w:rFonts w:hint="eastAsia" w:ascii="宋体" w:hAnsi="宋体" w:eastAsia="宋体" w:cs="宋体"/>
          <w:color w:val="000000" w:themeColor="text1"/>
          <w:sz w:val="24"/>
          <w:szCs w:val="24"/>
          <w14:textFill>
            <w14:solidFill>
              <w14:schemeClr w14:val="tx1"/>
            </w14:solidFill>
          </w14:textFill>
        </w:rPr>
        <w:t>联合体协议</w:t>
      </w:r>
      <w:bookmarkEnd w:id="126"/>
      <w:bookmarkEnd w:id="128"/>
      <w:bookmarkEnd w:id="129"/>
      <w:bookmarkEnd w:id="130"/>
    </w:p>
    <w:p w14:paraId="4E891921">
      <w:pPr>
        <w:spacing w:line="360" w:lineRule="auto"/>
        <w:jc w:val="center"/>
        <w:rPr>
          <w:color w:val="000000" w:themeColor="text1"/>
          <w:spacing w:val="-6"/>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（不允许联合体投标或未组成联合体投标，不需此件）</w:t>
      </w:r>
    </w:p>
    <w:p w14:paraId="1D9965AC">
      <w:pPr>
        <w:rPr>
          <w:color w:val="000000" w:themeColor="text1"/>
          <w:sz w:val="24"/>
          <w:szCs w:val="24"/>
          <w14:textFill>
            <w14:solidFill>
              <w14:schemeClr w14:val="tx1"/>
            </w14:solidFill>
          </w14:textFill>
        </w:rPr>
      </w:pPr>
    </w:p>
    <w:p w14:paraId="2B69ECA0">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就“</w:t>
      </w:r>
      <w:r>
        <w:rPr>
          <w:rFonts w:hint="eastAsia" w:ascii="宋体" w:hAnsi="宋体"/>
          <w:color w:val="000000" w:themeColor="text1"/>
          <w:sz w:val="24"/>
          <w:szCs w:val="24"/>
          <w:u w:val="single"/>
          <w14:textFill>
            <w14:solidFill>
              <w14:schemeClr w14:val="tx1"/>
            </w14:solidFill>
          </w14:textFill>
        </w:rPr>
        <w:t>某项目</w:t>
      </w:r>
      <w:r>
        <w:rPr>
          <w:rFonts w:hint="eastAsia" w:ascii="宋体" w:hAnsi="宋体"/>
          <w:color w:val="000000" w:themeColor="text1"/>
          <w:sz w:val="24"/>
          <w:szCs w:val="24"/>
          <w14:textFill>
            <w14:solidFill>
              <w14:schemeClr w14:val="tx1"/>
            </w14:solidFill>
          </w14:textFill>
        </w:rPr>
        <w:t>”（项目编号：</w:t>
      </w:r>
      <w:r>
        <w:rPr>
          <w:rFonts w:hint="eastAsia" w:ascii="宋体" w:hAnsi="宋体"/>
          <w:color w:val="000000" w:themeColor="text1"/>
          <w:sz w:val="24"/>
          <w:szCs w:val="24"/>
          <w:u w:val="single"/>
          <w14:textFill>
            <w14:solidFill>
              <w14:schemeClr w14:val="tx1"/>
            </w14:solidFill>
          </w14:textFill>
        </w:rPr>
        <w:t>某编号</w:t>
      </w:r>
      <w:r>
        <w:rPr>
          <w:rFonts w:hint="eastAsia" w:ascii="宋体" w:hAnsi="宋体"/>
          <w:color w:val="000000" w:themeColor="text1"/>
          <w:sz w:val="24"/>
          <w:szCs w:val="24"/>
          <w14:textFill>
            <w14:solidFill>
              <w14:schemeClr w14:val="tx1"/>
            </w14:solidFill>
          </w14:textFill>
        </w:rPr>
        <w:t>）的投标有关事宜，经各方充分协商一致，达成如下协议：</w:t>
      </w:r>
    </w:p>
    <w:p w14:paraId="730B859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一、由</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牵头，</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参加，组成联合体共同进行本项目的投标工作。</w:t>
      </w:r>
    </w:p>
    <w:p w14:paraId="625A4288">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采购的有关一切事物，联合体各方均予以承认并承担法律责任。联合体中标后，联合体各方共同与采购人签订合同，就本中标项目对采购人承担连带责任。</w:t>
      </w:r>
    </w:p>
    <w:p w14:paraId="5C82E15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三、如联合体中标，则主体方负责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等工作；参加方负责</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等工作。各方各自承担相应的责任。</w:t>
      </w:r>
    </w:p>
    <w:p w14:paraId="6D9F7DA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四、各方不得再以自己名义单独在本项目中投标，也不得组成新的联合体参加本项目投标。</w:t>
      </w:r>
    </w:p>
    <w:p w14:paraId="73D159D4">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五、参加方负责内容的合同金额占联合体协议合同总金额百分之</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15FFEDE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六、主体方负责内容的合同金额占联合体协议合同总金额百分之</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14:paraId="2D44862B">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七、未中标，本协议自动废止。</w:t>
      </w:r>
    </w:p>
    <w:p w14:paraId="2B91DC87">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主体方：（公章）                      参加方：（公章）</w:t>
      </w:r>
    </w:p>
    <w:p w14:paraId="56B9EA2A">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法定代表人：                          法定代表人： </w:t>
      </w:r>
    </w:p>
    <w:p w14:paraId="7B6F9D5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                                地址：</w:t>
      </w:r>
    </w:p>
    <w:p w14:paraId="7D243FFF">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                                邮编：</w:t>
      </w:r>
    </w:p>
    <w:p w14:paraId="700C195D">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                                电话：</w:t>
      </w:r>
    </w:p>
    <w:p w14:paraId="1845661F">
      <w:pPr>
        <w:rPr>
          <w:color w:val="000000" w:themeColor="text1"/>
          <w14:textFill>
            <w14:solidFill>
              <w14:schemeClr w14:val="tx1"/>
            </w14:solidFill>
          </w14:textFill>
        </w:rPr>
      </w:pPr>
    </w:p>
    <w:p w14:paraId="5EE46C15">
      <w:pPr>
        <w:rPr>
          <w:color w:val="000000" w:themeColor="text1"/>
          <w14:textFill>
            <w14:solidFill>
              <w14:schemeClr w14:val="tx1"/>
            </w14:solidFill>
          </w14:textFill>
        </w:rPr>
      </w:pPr>
    </w:p>
    <w:p w14:paraId="6AFD5FC3">
      <w:pPr>
        <w:jc w:val="right"/>
        <w:rPr>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签订日期:</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年</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月</w:t>
      </w:r>
      <w:r>
        <w:rPr>
          <w:rFonts w:hint="eastAsia"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w:t>
      </w:r>
    </w:p>
    <w:p w14:paraId="1DB8F938">
      <w:pPr>
        <w:rPr>
          <w:rFonts w:ascii="宋体" w:hAnsi="宋体"/>
          <w:b/>
          <w:color w:val="000000" w:themeColor="text1"/>
          <w:sz w:val="24"/>
          <w:szCs w:val="28"/>
          <w14:textFill>
            <w14:solidFill>
              <w14:schemeClr w14:val="tx1"/>
            </w14:solidFill>
          </w14:textFill>
        </w:rPr>
      </w:pPr>
    </w:p>
    <w:p w14:paraId="314AC61E">
      <w:pPr>
        <w:rPr>
          <w:rFonts w:ascii="宋体" w:hAnsi="宋体"/>
          <w:b/>
          <w:color w:val="000000" w:themeColor="text1"/>
          <w:sz w:val="24"/>
          <w:szCs w:val="28"/>
          <w14:textFill>
            <w14:solidFill>
              <w14:schemeClr w14:val="tx1"/>
            </w14:solidFill>
          </w14:textFill>
        </w:rPr>
      </w:pPr>
    </w:p>
    <w:p w14:paraId="3B68D88C">
      <w:pPr>
        <w:jc w:val="center"/>
        <w:rPr>
          <w:rFonts w:ascii="宋体" w:hAnsi="宋体"/>
          <w:b/>
          <w:color w:val="000000" w:themeColor="text1"/>
          <w:sz w:val="24"/>
          <w:szCs w:val="28"/>
          <w14:textFill>
            <w14:solidFill>
              <w14:schemeClr w14:val="tx1"/>
            </w14:solidFill>
          </w14:textFill>
        </w:rPr>
      </w:pPr>
    </w:p>
    <w:p w14:paraId="0AF5D7E0">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4D1C4491">
      <w:pPr>
        <w:pStyle w:val="7"/>
        <w:spacing w:before="0" w:after="0" w:line="560" w:lineRule="exact"/>
        <w:rPr>
          <w:rFonts w:hint="eastAsia" w:ascii="宋体" w:hAnsi="宋体" w:eastAsia="宋体" w:cs="宋体"/>
          <w:color w:val="000000" w:themeColor="text1"/>
          <w:sz w:val="24"/>
          <w:szCs w:val="24"/>
          <w:lang w:eastAsia="zh-CN"/>
          <w14:textFill>
            <w14:solidFill>
              <w14:schemeClr w14:val="tx1"/>
            </w14:solidFill>
          </w14:textFill>
        </w:rPr>
      </w:pPr>
      <w:bookmarkStart w:id="131" w:name="_Toc19359"/>
      <w:r>
        <w:rPr>
          <w:rFonts w:hint="eastAsia" w:ascii="宋体" w:hAnsi="宋体" w:eastAsia="宋体" w:cs="宋体"/>
          <w:color w:val="000000" w:themeColor="text1"/>
          <w:sz w:val="24"/>
          <w:szCs w:val="24"/>
          <w14:textFill>
            <w14:solidFill>
              <w14:schemeClr w14:val="tx1"/>
            </w14:solidFill>
          </w14:textFill>
        </w:rPr>
        <w:t>附件</w:t>
      </w:r>
      <w:bookmarkEnd w:id="131"/>
      <w:r>
        <w:rPr>
          <w:rFonts w:hint="eastAsia" w:ascii="宋体" w:hAnsi="宋体" w:eastAsia="宋体" w:cs="宋体"/>
          <w:color w:val="000000" w:themeColor="text1"/>
          <w:sz w:val="24"/>
          <w:szCs w:val="24"/>
          <w:lang w:val="en-US" w:eastAsia="zh-CN"/>
          <w14:textFill>
            <w14:solidFill>
              <w14:schemeClr w14:val="tx1"/>
            </w14:solidFill>
          </w14:textFill>
        </w:rPr>
        <w:t>八</w:t>
      </w:r>
    </w:p>
    <w:p w14:paraId="740D7176">
      <w:pPr>
        <w:rPr>
          <w:color w:val="000000" w:themeColor="text1"/>
          <w14:textFill>
            <w14:solidFill>
              <w14:schemeClr w14:val="tx1"/>
            </w14:solidFill>
          </w14:textFill>
        </w:rPr>
      </w:pPr>
    </w:p>
    <w:p w14:paraId="499CCB77">
      <w:pPr>
        <w:pStyle w:val="7"/>
        <w:spacing w:before="0" w:after="0" w:line="560" w:lineRule="exact"/>
        <w:jc w:val="center"/>
        <w:rPr>
          <w:rFonts w:hint="eastAsia" w:ascii="宋体" w:hAnsi="宋体" w:eastAsia="宋体" w:cs="宋体"/>
          <w:b w:val="0"/>
          <w:bCs/>
          <w:color w:val="000000" w:themeColor="text1"/>
          <w:sz w:val="24"/>
          <w:szCs w:val="24"/>
          <w:lang w:eastAsia="zh-CN"/>
          <w14:textFill>
            <w14:solidFill>
              <w14:schemeClr w14:val="tx1"/>
            </w14:solidFill>
          </w14:textFill>
        </w:rPr>
      </w:pPr>
      <w:bookmarkStart w:id="132" w:name="_Toc28453"/>
      <w:bookmarkStart w:id="133" w:name="_Toc28850"/>
      <w:bookmarkStart w:id="134" w:name="_Toc30670"/>
      <w:r>
        <w:rPr>
          <w:rFonts w:hint="eastAsia" w:ascii="宋体" w:hAnsi="宋体" w:eastAsia="宋体" w:cs="宋体"/>
          <w:b w:val="0"/>
          <w:bCs/>
          <w:color w:val="000000" w:themeColor="text1"/>
          <w:sz w:val="24"/>
          <w:szCs w:val="24"/>
          <w14:textFill>
            <w14:solidFill>
              <w14:schemeClr w14:val="tx1"/>
            </w14:solidFill>
          </w14:textFill>
        </w:rPr>
        <w:t>谈判文件要求和供应商认为需要提供的其它说明和资料</w:t>
      </w:r>
      <w:bookmarkEnd w:id="132"/>
      <w:bookmarkEnd w:id="133"/>
      <w:bookmarkEnd w:id="134"/>
      <w:r>
        <w:rPr>
          <w:rFonts w:hint="eastAsia" w:ascii="宋体" w:hAnsi="宋体" w:eastAsia="宋体" w:cs="宋体"/>
          <w:b w:val="0"/>
          <w:bCs/>
          <w:color w:val="000000" w:themeColor="text1"/>
          <w:sz w:val="24"/>
          <w:szCs w:val="24"/>
          <w:lang w:eastAsia="zh-CN"/>
          <w14:textFill>
            <w14:solidFill>
              <w14:schemeClr w14:val="tx1"/>
            </w14:solidFill>
          </w14:textFill>
        </w:rPr>
        <w:t>。</w:t>
      </w:r>
    </w:p>
    <w:p w14:paraId="2D91CAD0">
      <w:pPr>
        <w:rPr>
          <w:rFonts w:hAnsi="宋体" w:cs="宋体"/>
          <w:color w:val="000000" w:themeColor="text1"/>
          <w:sz w:val="24"/>
          <w:szCs w:val="32"/>
          <w14:textFill>
            <w14:solidFill>
              <w14:schemeClr w14:val="tx1"/>
            </w14:solidFill>
          </w14:textFill>
        </w:rPr>
      </w:pPr>
    </w:p>
    <w:p w14:paraId="426DC610">
      <w:pPr>
        <w:rPr>
          <w:rFonts w:hAnsi="宋体" w:cs="宋体"/>
          <w:color w:val="000000" w:themeColor="text1"/>
          <w:sz w:val="24"/>
          <w:szCs w:val="32"/>
          <w14:textFill>
            <w14:solidFill>
              <w14:schemeClr w14:val="tx1"/>
            </w14:solidFill>
          </w14:textFill>
        </w:rPr>
      </w:pPr>
    </w:p>
    <w:p w14:paraId="39D2E9C1">
      <w:pPr>
        <w:spacing w:line="360" w:lineRule="auto"/>
        <w:jc w:val="both"/>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额外附件（无需编入响应文件）</w:t>
      </w:r>
    </w:p>
    <w:p w14:paraId="075D3128">
      <w:pPr>
        <w:spacing w:line="360" w:lineRule="auto"/>
        <w:jc w:val="center"/>
        <w:rPr>
          <w:rFonts w:ascii="宋体" w:hAnsi="宋体" w:cs="宋体"/>
          <w:sz w:val="24"/>
          <w:szCs w:val="24"/>
        </w:rPr>
      </w:pPr>
      <w:r>
        <w:rPr>
          <w:rFonts w:hint="eastAsia" w:ascii="宋体" w:hAnsi="宋体" w:cs="宋体"/>
          <w:b/>
          <w:kern w:val="0"/>
          <w:sz w:val="24"/>
          <w:szCs w:val="24"/>
        </w:rPr>
        <w:t>二轮报价表</w:t>
      </w:r>
    </w:p>
    <w:p w14:paraId="1D337292">
      <w:pPr>
        <w:spacing w:line="360" w:lineRule="auto"/>
        <w:jc w:val="center"/>
        <w:rPr>
          <w:rFonts w:ascii="宋体" w:hAnsi="宋体" w:cs="宋体"/>
          <w:b/>
          <w:sz w:val="30"/>
          <w:szCs w:val="30"/>
          <w:u w:val="single"/>
        </w:rPr>
      </w:pPr>
    </w:p>
    <w:p w14:paraId="59BF16DE">
      <w:pPr>
        <w:spacing w:line="360" w:lineRule="auto"/>
        <w:jc w:val="center"/>
        <w:rPr>
          <w:rFonts w:ascii="宋体" w:hAnsi="宋体" w:cs="宋体"/>
          <w:b/>
          <w:sz w:val="30"/>
          <w:szCs w:val="30"/>
        </w:rPr>
      </w:pPr>
      <w:r>
        <w:rPr>
          <w:rFonts w:hint="eastAsia" w:ascii="宋体" w:hAnsi="宋体" w:cs="宋体"/>
          <w:b/>
          <w:sz w:val="30"/>
          <w:szCs w:val="30"/>
          <w:u w:val="single"/>
        </w:rPr>
        <w:t xml:space="preserve">    （项目名称）        </w:t>
      </w:r>
      <w:bookmarkStart w:id="135" w:name="_Toc534711850"/>
      <w:r>
        <w:rPr>
          <w:rFonts w:hint="eastAsia" w:ascii="宋体" w:hAnsi="宋体" w:cs="宋体"/>
          <w:b/>
          <w:sz w:val="30"/>
          <w:szCs w:val="30"/>
        </w:rPr>
        <w:t>二轮报价表</w:t>
      </w:r>
      <w:bookmarkEnd w:id="135"/>
    </w:p>
    <w:p w14:paraId="12DD1599">
      <w:pPr>
        <w:spacing w:line="360" w:lineRule="auto"/>
        <w:ind w:firstLine="480" w:firstLineChars="200"/>
        <w:rPr>
          <w:rFonts w:ascii="宋体" w:hAnsi="宋体" w:cs="宋体"/>
          <w:sz w:val="24"/>
        </w:rPr>
      </w:pPr>
    </w:p>
    <w:p w14:paraId="469244FB">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采购人、采购代理机构（名称）</w:t>
      </w:r>
    </w:p>
    <w:p w14:paraId="746D2613">
      <w:pPr>
        <w:spacing w:line="360" w:lineRule="auto"/>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rPr>
        <w:t>各分项报价按照第一次报价同比例下浮。上述报价包含完成本项目范围内工作内容的全部费用，该费用后期服务过程中不再调整。</w:t>
      </w:r>
    </w:p>
    <w:p w14:paraId="1A5A9F64">
      <w:pPr>
        <w:spacing w:line="360" w:lineRule="auto"/>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21A175CE">
      <w:pPr>
        <w:spacing w:line="360" w:lineRule="auto"/>
        <w:ind w:firstLine="560" w:firstLineChars="200"/>
        <w:jc w:val="right"/>
        <w:rPr>
          <w:rFonts w:ascii="宋体" w:hAnsi="宋体" w:cs="宋体"/>
          <w:sz w:val="28"/>
          <w:szCs w:val="28"/>
        </w:rPr>
      </w:pPr>
    </w:p>
    <w:p w14:paraId="4A311556">
      <w:pPr>
        <w:spacing w:line="360" w:lineRule="auto"/>
        <w:ind w:firstLine="560" w:firstLineChars="200"/>
        <w:jc w:val="right"/>
        <w:rPr>
          <w:rFonts w:ascii="宋体" w:hAnsi="宋体" w:cs="宋体"/>
          <w:sz w:val="28"/>
          <w:szCs w:val="28"/>
        </w:rPr>
      </w:pPr>
    </w:p>
    <w:p w14:paraId="580C523E">
      <w:pPr>
        <w:spacing w:line="360" w:lineRule="auto"/>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（盖公章）</w:t>
      </w:r>
    </w:p>
    <w:p w14:paraId="6BBBF1BB">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243591A4">
      <w:pPr>
        <w:wordWrap w:val="0"/>
        <w:spacing w:line="360" w:lineRule="auto"/>
        <w:ind w:firstLine="560" w:firstLineChars="200"/>
        <w:jc w:val="right"/>
        <w:rPr>
          <w:rFonts w:hAnsi="宋体" w:cs="宋体"/>
          <w:sz w:val="24"/>
          <w:szCs w:val="32"/>
        </w:rPr>
      </w:pPr>
      <w:r>
        <w:rPr>
          <w:rFonts w:hint="eastAsia" w:ascii="宋体" w:hAnsi="宋体" w:cs="宋体"/>
          <w:sz w:val="28"/>
          <w:szCs w:val="28"/>
        </w:rPr>
        <w:t>日期：</w:t>
      </w:r>
      <w:r>
        <w:rPr>
          <w:rFonts w:hint="eastAsia" w:ascii="宋体" w:hAnsi="宋体" w:cs="宋体"/>
          <w:sz w:val="28"/>
          <w:szCs w:val="28"/>
          <w:u w:val="single"/>
        </w:rPr>
        <w:t xml:space="preserve">                </w:t>
      </w:r>
    </w:p>
    <w:p w14:paraId="3620FA0D">
      <w:pPr>
        <w:pStyle w:val="2"/>
        <w:rPr>
          <w:rFonts w:ascii="宋体" w:hAnsi="宋体"/>
          <w:b/>
          <w:szCs w:val="28"/>
        </w:rPr>
      </w:pPr>
    </w:p>
    <w:p w14:paraId="2A25846A">
      <w:pPr>
        <w:pStyle w:val="18"/>
        <w:spacing w:line="520" w:lineRule="exact"/>
        <w:ind w:firstLine="480" w:firstLineChars="200"/>
        <w:jc w:val="left"/>
        <w:rPr>
          <w:rFonts w:hAnsi="宋体" w:cs="宋体"/>
          <w:sz w:val="24"/>
          <w:szCs w:val="32"/>
        </w:rPr>
      </w:pPr>
    </w:p>
    <w:p w14:paraId="6098C6C5">
      <w:pPr>
        <w:rPr>
          <w:rFonts w:hAnsi="宋体" w:cs="宋体"/>
          <w:color w:val="000000" w:themeColor="text1"/>
          <w:sz w:val="24"/>
          <w:szCs w:val="32"/>
          <w14:textFill>
            <w14:solidFill>
              <w14:schemeClr w14:val="tx1"/>
            </w14:solidFill>
          </w14:textFill>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28EB">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E4BDE">
                          <w:pPr>
                            <w:pStyle w:val="23"/>
                          </w:pPr>
                          <w:r>
                            <w:t xml:space="preserve">— </w:t>
                          </w:r>
                          <w:r>
                            <w:fldChar w:fldCharType="begin"/>
                          </w:r>
                          <w:r>
                            <w:instrText xml:space="preserve"> PAGE  \* MERGEFORMAT </w:instrText>
                          </w:r>
                          <w:r>
                            <w:fldChar w:fldCharType="separate"/>
                          </w:r>
                          <w:r>
                            <w:t>29</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4D5E4BDE">
                    <w:pPr>
                      <w:pStyle w:val="23"/>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9F0C">
    <w:pPr>
      <w:pStyle w:val="23"/>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633F7BF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15E8">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BCA3">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7B128831">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TZkYWQ4NTFiOTIyMzAzN2QxZmMyMDRkYWU5YmEifQ=="/>
  </w:docVars>
  <w:rsids>
    <w:rsidRoot w:val="002D677B"/>
    <w:rsid w:val="00004421"/>
    <w:rsid w:val="000145D1"/>
    <w:rsid w:val="00015C71"/>
    <w:rsid w:val="00017F4E"/>
    <w:rsid w:val="00042454"/>
    <w:rsid w:val="00047B18"/>
    <w:rsid w:val="000512E3"/>
    <w:rsid w:val="00055355"/>
    <w:rsid w:val="00057B34"/>
    <w:rsid w:val="00066BCF"/>
    <w:rsid w:val="00083A3D"/>
    <w:rsid w:val="000848F5"/>
    <w:rsid w:val="00085013"/>
    <w:rsid w:val="0008734A"/>
    <w:rsid w:val="0009075B"/>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6254"/>
    <w:rsid w:val="001723C8"/>
    <w:rsid w:val="001A12E4"/>
    <w:rsid w:val="001A3254"/>
    <w:rsid w:val="001B57E1"/>
    <w:rsid w:val="001D0C74"/>
    <w:rsid w:val="0021447E"/>
    <w:rsid w:val="002175D2"/>
    <w:rsid w:val="00222133"/>
    <w:rsid w:val="00230806"/>
    <w:rsid w:val="00232B23"/>
    <w:rsid w:val="00237471"/>
    <w:rsid w:val="002656AE"/>
    <w:rsid w:val="00272CC9"/>
    <w:rsid w:val="00275023"/>
    <w:rsid w:val="00295D2C"/>
    <w:rsid w:val="002A5B98"/>
    <w:rsid w:val="002C3E11"/>
    <w:rsid w:val="002C5B38"/>
    <w:rsid w:val="002D508E"/>
    <w:rsid w:val="002D677B"/>
    <w:rsid w:val="002F334D"/>
    <w:rsid w:val="002F39AD"/>
    <w:rsid w:val="002F5374"/>
    <w:rsid w:val="002F5CAB"/>
    <w:rsid w:val="003342EF"/>
    <w:rsid w:val="00341CB0"/>
    <w:rsid w:val="003452C5"/>
    <w:rsid w:val="003540FC"/>
    <w:rsid w:val="003808D6"/>
    <w:rsid w:val="0039588E"/>
    <w:rsid w:val="003A03AB"/>
    <w:rsid w:val="003A6740"/>
    <w:rsid w:val="003B2EDC"/>
    <w:rsid w:val="003B7B6B"/>
    <w:rsid w:val="003C2E20"/>
    <w:rsid w:val="003E0B3C"/>
    <w:rsid w:val="003E7C3B"/>
    <w:rsid w:val="00424DA5"/>
    <w:rsid w:val="0042639B"/>
    <w:rsid w:val="0044129B"/>
    <w:rsid w:val="004413B4"/>
    <w:rsid w:val="00453F7D"/>
    <w:rsid w:val="00467683"/>
    <w:rsid w:val="00480533"/>
    <w:rsid w:val="004B422C"/>
    <w:rsid w:val="004C64FF"/>
    <w:rsid w:val="004D417F"/>
    <w:rsid w:val="004D5F5D"/>
    <w:rsid w:val="00524A87"/>
    <w:rsid w:val="00533AAE"/>
    <w:rsid w:val="005376B2"/>
    <w:rsid w:val="00537C28"/>
    <w:rsid w:val="00554448"/>
    <w:rsid w:val="00554CE3"/>
    <w:rsid w:val="0059071F"/>
    <w:rsid w:val="005E56CC"/>
    <w:rsid w:val="00631A78"/>
    <w:rsid w:val="00654D2C"/>
    <w:rsid w:val="00661562"/>
    <w:rsid w:val="00667DEC"/>
    <w:rsid w:val="006758D4"/>
    <w:rsid w:val="00692C44"/>
    <w:rsid w:val="006A47DE"/>
    <w:rsid w:val="006B21E7"/>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85B23"/>
    <w:rsid w:val="008958C5"/>
    <w:rsid w:val="008A6D3D"/>
    <w:rsid w:val="008B0E3B"/>
    <w:rsid w:val="008C0ED2"/>
    <w:rsid w:val="008D216E"/>
    <w:rsid w:val="008F2946"/>
    <w:rsid w:val="00917C0D"/>
    <w:rsid w:val="00920D4C"/>
    <w:rsid w:val="00922A63"/>
    <w:rsid w:val="0092331E"/>
    <w:rsid w:val="00925990"/>
    <w:rsid w:val="00940C0D"/>
    <w:rsid w:val="0094320A"/>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20E80"/>
    <w:rsid w:val="00B27CFD"/>
    <w:rsid w:val="00B410F6"/>
    <w:rsid w:val="00B5490B"/>
    <w:rsid w:val="00B57818"/>
    <w:rsid w:val="00B70C68"/>
    <w:rsid w:val="00B80346"/>
    <w:rsid w:val="00B83865"/>
    <w:rsid w:val="00BA10A8"/>
    <w:rsid w:val="00BA136D"/>
    <w:rsid w:val="00BA3764"/>
    <w:rsid w:val="00BB722E"/>
    <w:rsid w:val="00BB7605"/>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B7C"/>
    <w:rsid w:val="00D13AEE"/>
    <w:rsid w:val="00D16453"/>
    <w:rsid w:val="00D175FB"/>
    <w:rsid w:val="00D17CE1"/>
    <w:rsid w:val="00D21312"/>
    <w:rsid w:val="00D30EA8"/>
    <w:rsid w:val="00D33ECF"/>
    <w:rsid w:val="00D6083A"/>
    <w:rsid w:val="00D94E40"/>
    <w:rsid w:val="00DA7984"/>
    <w:rsid w:val="00DD2C6C"/>
    <w:rsid w:val="00DE18CD"/>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026882"/>
    <w:rsid w:val="014337F8"/>
    <w:rsid w:val="014C4DA3"/>
    <w:rsid w:val="015D0D5E"/>
    <w:rsid w:val="015D16D2"/>
    <w:rsid w:val="017E1B19"/>
    <w:rsid w:val="01D029E9"/>
    <w:rsid w:val="01D544B1"/>
    <w:rsid w:val="01ED3B47"/>
    <w:rsid w:val="02467A44"/>
    <w:rsid w:val="029A7D90"/>
    <w:rsid w:val="02C55687"/>
    <w:rsid w:val="03062E20"/>
    <w:rsid w:val="03200295"/>
    <w:rsid w:val="036B7036"/>
    <w:rsid w:val="0381685A"/>
    <w:rsid w:val="03B22505"/>
    <w:rsid w:val="03E0600A"/>
    <w:rsid w:val="03F51722"/>
    <w:rsid w:val="03F82FC0"/>
    <w:rsid w:val="04013293"/>
    <w:rsid w:val="04067181"/>
    <w:rsid w:val="04074FB1"/>
    <w:rsid w:val="04094F1E"/>
    <w:rsid w:val="04103CCA"/>
    <w:rsid w:val="04253689"/>
    <w:rsid w:val="04EE7346"/>
    <w:rsid w:val="05036D27"/>
    <w:rsid w:val="05045387"/>
    <w:rsid w:val="05104E6D"/>
    <w:rsid w:val="0530678A"/>
    <w:rsid w:val="05341DD6"/>
    <w:rsid w:val="057137EB"/>
    <w:rsid w:val="057E12A3"/>
    <w:rsid w:val="059960DD"/>
    <w:rsid w:val="05A54A82"/>
    <w:rsid w:val="05ED76CD"/>
    <w:rsid w:val="062214BD"/>
    <w:rsid w:val="06253E14"/>
    <w:rsid w:val="06262FF6"/>
    <w:rsid w:val="063254ED"/>
    <w:rsid w:val="065E2E82"/>
    <w:rsid w:val="06652463"/>
    <w:rsid w:val="067D155B"/>
    <w:rsid w:val="068648B3"/>
    <w:rsid w:val="06E67100"/>
    <w:rsid w:val="070E6A0C"/>
    <w:rsid w:val="071579E5"/>
    <w:rsid w:val="07267565"/>
    <w:rsid w:val="072A7934"/>
    <w:rsid w:val="077F1302"/>
    <w:rsid w:val="078C18B4"/>
    <w:rsid w:val="07A20F5E"/>
    <w:rsid w:val="07ED44BE"/>
    <w:rsid w:val="080741F2"/>
    <w:rsid w:val="08353D70"/>
    <w:rsid w:val="0861256E"/>
    <w:rsid w:val="08AA23AF"/>
    <w:rsid w:val="08FD2E27"/>
    <w:rsid w:val="091F2D9D"/>
    <w:rsid w:val="0923288D"/>
    <w:rsid w:val="095F7F4C"/>
    <w:rsid w:val="097E3F67"/>
    <w:rsid w:val="09A60123"/>
    <w:rsid w:val="09AE75F4"/>
    <w:rsid w:val="09B95F2A"/>
    <w:rsid w:val="09CD27F9"/>
    <w:rsid w:val="0A0C7574"/>
    <w:rsid w:val="0A1421D6"/>
    <w:rsid w:val="0A161A89"/>
    <w:rsid w:val="0A21418A"/>
    <w:rsid w:val="0A3D797F"/>
    <w:rsid w:val="0A424E4D"/>
    <w:rsid w:val="0A621193"/>
    <w:rsid w:val="0A634F0B"/>
    <w:rsid w:val="0A6F1B02"/>
    <w:rsid w:val="0AAA2B3A"/>
    <w:rsid w:val="0ABA74E8"/>
    <w:rsid w:val="0AF82AC1"/>
    <w:rsid w:val="0B097861"/>
    <w:rsid w:val="0B2A380C"/>
    <w:rsid w:val="0B310B66"/>
    <w:rsid w:val="0B66533A"/>
    <w:rsid w:val="0B84414D"/>
    <w:rsid w:val="0BD46BAD"/>
    <w:rsid w:val="0BD90EDE"/>
    <w:rsid w:val="0BDA2FAB"/>
    <w:rsid w:val="0BE120B2"/>
    <w:rsid w:val="0C361A2E"/>
    <w:rsid w:val="0C49069E"/>
    <w:rsid w:val="0C61547A"/>
    <w:rsid w:val="0CEC43CA"/>
    <w:rsid w:val="0CEE1E5D"/>
    <w:rsid w:val="0D50431A"/>
    <w:rsid w:val="0D712E27"/>
    <w:rsid w:val="0D725B91"/>
    <w:rsid w:val="0DB937C0"/>
    <w:rsid w:val="0DE46363"/>
    <w:rsid w:val="0DE95727"/>
    <w:rsid w:val="0DEF71E2"/>
    <w:rsid w:val="0DF624E0"/>
    <w:rsid w:val="0DFE64AC"/>
    <w:rsid w:val="0E346850"/>
    <w:rsid w:val="0E404088"/>
    <w:rsid w:val="0E4752A2"/>
    <w:rsid w:val="0E4806A0"/>
    <w:rsid w:val="0E7771D7"/>
    <w:rsid w:val="0E796AAB"/>
    <w:rsid w:val="0EA113FA"/>
    <w:rsid w:val="0EB53450"/>
    <w:rsid w:val="0ECA11CC"/>
    <w:rsid w:val="0F256C33"/>
    <w:rsid w:val="0F390E8E"/>
    <w:rsid w:val="0F59068B"/>
    <w:rsid w:val="0F607C6B"/>
    <w:rsid w:val="0F625791"/>
    <w:rsid w:val="0F713C26"/>
    <w:rsid w:val="0F8C055F"/>
    <w:rsid w:val="0F8F57EF"/>
    <w:rsid w:val="0FBD50BE"/>
    <w:rsid w:val="0FDC183F"/>
    <w:rsid w:val="0FED14FF"/>
    <w:rsid w:val="0FF97625"/>
    <w:rsid w:val="1018304A"/>
    <w:rsid w:val="101C0036"/>
    <w:rsid w:val="10A2678D"/>
    <w:rsid w:val="1102547E"/>
    <w:rsid w:val="110475FD"/>
    <w:rsid w:val="11820B13"/>
    <w:rsid w:val="119066D9"/>
    <w:rsid w:val="11A335B5"/>
    <w:rsid w:val="11B86658"/>
    <w:rsid w:val="1219428E"/>
    <w:rsid w:val="121E0096"/>
    <w:rsid w:val="122D2087"/>
    <w:rsid w:val="12704669"/>
    <w:rsid w:val="1272719A"/>
    <w:rsid w:val="127A7296"/>
    <w:rsid w:val="12887BC4"/>
    <w:rsid w:val="12EA7F78"/>
    <w:rsid w:val="12EC0194"/>
    <w:rsid w:val="13482EF0"/>
    <w:rsid w:val="13490C7D"/>
    <w:rsid w:val="135A334F"/>
    <w:rsid w:val="135C3D02"/>
    <w:rsid w:val="13824654"/>
    <w:rsid w:val="13AD161B"/>
    <w:rsid w:val="13B77BD4"/>
    <w:rsid w:val="13CE7899"/>
    <w:rsid w:val="14065285"/>
    <w:rsid w:val="14221993"/>
    <w:rsid w:val="142D2812"/>
    <w:rsid w:val="14860174"/>
    <w:rsid w:val="149363ED"/>
    <w:rsid w:val="14E1184E"/>
    <w:rsid w:val="14E27C21"/>
    <w:rsid w:val="153B2049"/>
    <w:rsid w:val="15614DA8"/>
    <w:rsid w:val="159B37AB"/>
    <w:rsid w:val="15A703A2"/>
    <w:rsid w:val="15AD79BC"/>
    <w:rsid w:val="15BB6BBA"/>
    <w:rsid w:val="15C36A6F"/>
    <w:rsid w:val="15E2762C"/>
    <w:rsid w:val="16066864"/>
    <w:rsid w:val="164E4CC1"/>
    <w:rsid w:val="165F6174"/>
    <w:rsid w:val="16812B23"/>
    <w:rsid w:val="16991EF7"/>
    <w:rsid w:val="16F05D79"/>
    <w:rsid w:val="16F77107"/>
    <w:rsid w:val="171202BA"/>
    <w:rsid w:val="172779EC"/>
    <w:rsid w:val="173850A7"/>
    <w:rsid w:val="174C0AC9"/>
    <w:rsid w:val="177B4CDC"/>
    <w:rsid w:val="17907DAF"/>
    <w:rsid w:val="179D4992"/>
    <w:rsid w:val="17BA7FA6"/>
    <w:rsid w:val="17C46017"/>
    <w:rsid w:val="17E53404"/>
    <w:rsid w:val="17F3167D"/>
    <w:rsid w:val="18622CA6"/>
    <w:rsid w:val="189A2440"/>
    <w:rsid w:val="18CB25F9"/>
    <w:rsid w:val="18D725A7"/>
    <w:rsid w:val="18E67F66"/>
    <w:rsid w:val="192B2CC7"/>
    <w:rsid w:val="19832ED4"/>
    <w:rsid w:val="198B1495"/>
    <w:rsid w:val="198D78AF"/>
    <w:rsid w:val="1997486D"/>
    <w:rsid w:val="19DF3B52"/>
    <w:rsid w:val="19E41BC5"/>
    <w:rsid w:val="1A00092C"/>
    <w:rsid w:val="1A6C248D"/>
    <w:rsid w:val="1AC76DF0"/>
    <w:rsid w:val="1AE159B8"/>
    <w:rsid w:val="1AEC6857"/>
    <w:rsid w:val="1AF000F5"/>
    <w:rsid w:val="1AF37BE5"/>
    <w:rsid w:val="1AF45622"/>
    <w:rsid w:val="1AF8344E"/>
    <w:rsid w:val="1AFA0F74"/>
    <w:rsid w:val="1B5A7D5C"/>
    <w:rsid w:val="1B666609"/>
    <w:rsid w:val="1B7B26E1"/>
    <w:rsid w:val="1BF63E31"/>
    <w:rsid w:val="1BFC2F54"/>
    <w:rsid w:val="1C1A0C17"/>
    <w:rsid w:val="1C32741A"/>
    <w:rsid w:val="1C3A1F70"/>
    <w:rsid w:val="1C3F0B4C"/>
    <w:rsid w:val="1C405AE5"/>
    <w:rsid w:val="1C93342E"/>
    <w:rsid w:val="1CA15803"/>
    <w:rsid w:val="1CA94A00"/>
    <w:rsid w:val="1CD13F56"/>
    <w:rsid w:val="1D765EE5"/>
    <w:rsid w:val="1D960483"/>
    <w:rsid w:val="1DF15284"/>
    <w:rsid w:val="1E0A3BC4"/>
    <w:rsid w:val="1E0F670C"/>
    <w:rsid w:val="1EAA4A5F"/>
    <w:rsid w:val="1EF34658"/>
    <w:rsid w:val="1F1437EE"/>
    <w:rsid w:val="1F171CFB"/>
    <w:rsid w:val="1F1D3483"/>
    <w:rsid w:val="1F1F71FB"/>
    <w:rsid w:val="1F3C13B6"/>
    <w:rsid w:val="1F4B49D6"/>
    <w:rsid w:val="1F5350F7"/>
    <w:rsid w:val="1F95570F"/>
    <w:rsid w:val="1F973235"/>
    <w:rsid w:val="1FDE2C12"/>
    <w:rsid w:val="1FE11B0D"/>
    <w:rsid w:val="1FE81CE3"/>
    <w:rsid w:val="1FF85069"/>
    <w:rsid w:val="20621A95"/>
    <w:rsid w:val="207574FD"/>
    <w:rsid w:val="208714FC"/>
    <w:rsid w:val="20B35E4D"/>
    <w:rsid w:val="20CE4208"/>
    <w:rsid w:val="20F41885"/>
    <w:rsid w:val="211B1C44"/>
    <w:rsid w:val="217F6677"/>
    <w:rsid w:val="2181419D"/>
    <w:rsid w:val="21993B18"/>
    <w:rsid w:val="21A460DD"/>
    <w:rsid w:val="21B300CF"/>
    <w:rsid w:val="21C10A3D"/>
    <w:rsid w:val="21DE15EF"/>
    <w:rsid w:val="21E62252"/>
    <w:rsid w:val="2221328A"/>
    <w:rsid w:val="22464B8D"/>
    <w:rsid w:val="22791318"/>
    <w:rsid w:val="227D2BB6"/>
    <w:rsid w:val="22925F36"/>
    <w:rsid w:val="229A201B"/>
    <w:rsid w:val="22BDFA33"/>
    <w:rsid w:val="22FD5AA5"/>
    <w:rsid w:val="23076924"/>
    <w:rsid w:val="235D02F2"/>
    <w:rsid w:val="236E2F6E"/>
    <w:rsid w:val="239974D6"/>
    <w:rsid w:val="23AC3027"/>
    <w:rsid w:val="23C16AD3"/>
    <w:rsid w:val="23E266D0"/>
    <w:rsid w:val="23E4618A"/>
    <w:rsid w:val="24013373"/>
    <w:rsid w:val="24383541"/>
    <w:rsid w:val="24481D58"/>
    <w:rsid w:val="244E3D8C"/>
    <w:rsid w:val="248F4E23"/>
    <w:rsid w:val="24B30B11"/>
    <w:rsid w:val="24B335CE"/>
    <w:rsid w:val="252C74BE"/>
    <w:rsid w:val="25697422"/>
    <w:rsid w:val="25893620"/>
    <w:rsid w:val="25CC174F"/>
    <w:rsid w:val="25EF0E4B"/>
    <w:rsid w:val="26661BB3"/>
    <w:rsid w:val="269009DE"/>
    <w:rsid w:val="269C26E3"/>
    <w:rsid w:val="26E86A6C"/>
    <w:rsid w:val="26FE003E"/>
    <w:rsid w:val="27001EC8"/>
    <w:rsid w:val="27206206"/>
    <w:rsid w:val="272E2D63"/>
    <w:rsid w:val="27410CB9"/>
    <w:rsid w:val="276D441A"/>
    <w:rsid w:val="277D5407"/>
    <w:rsid w:val="279A5DB4"/>
    <w:rsid w:val="27D33279"/>
    <w:rsid w:val="27E15995"/>
    <w:rsid w:val="285223EF"/>
    <w:rsid w:val="2861396F"/>
    <w:rsid w:val="28991DCC"/>
    <w:rsid w:val="289E03CB"/>
    <w:rsid w:val="28B22CB9"/>
    <w:rsid w:val="28B44010"/>
    <w:rsid w:val="28C055AB"/>
    <w:rsid w:val="28CA467C"/>
    <w:rsid w:val="29124F09"/>
    <w:rsid w:val="291C47AB"/>
    <w:rsid w:val="29384EA8"/>
    <w:rsid w:val="298512F3"/>
    <w:rsid w:val="29A50C45"/>
    <w:rsid w:val="29D9006D"/>
    <w:rsid w:val="29E26463"/>
    <w:rsid w:val="29FC6AB7"/>
    <w:rsid w:val="2A023B5C"/>
    <w:rsid w:val="2A07065D"/>
    <w:rsid w:val="2A0A08C3"/>
    <w:rsid w:val="2A1D7F36"/>
    <w:rsid w:val="2A534564"/>
    <w:rsid w:val="2A573A70"/>
    <w:rsid w:val="2ADB55E8"/>
    <w:rsid w:val="2AFC6642"/>
    <w:rsid w:val="2B277B63"/>
    <w:rsid w:val="2B515C9E"/>
    <w:rsid w:val="2B836D64"/>
    <w:rsid w:val="2BC26D9E"/>
    <w:rsid w:val="2C9A7521"/>
    <w:rsid w:val="2CBD48CE"/>
    <w:rsid w:val="2CE211B2"/>
    <w:rsid w:val="2D18240F"/>
    <w:rsid w:val="2D412A32"/>
    <w:rsid w:val="2DC86CB0"/>
    <w:rsid w:val="2E015B36"/>
    <w:rsid w:val="2E073C7C"/>
    <w:rsid w:val="2E0E49D1"/>
    <w:rsid w:val="2E103295"/>
    <w:rsid w:val="2E275F81"/>
    <w:rsid w:val="2E453834"/>
    <w:rsid w:val="2E4E51C2"/>
    <w:rsid w:val="2E536EC1"/>
    <w:rsid w:val="2E5844D8"/>
    <w:rsid w:val="2E77681E"/>
    <w:rsid w:val="2EBC4A66"/>
    <w:rsid w:val="2EF20488"/>
    <w:rsid w:val="2EF44200"/>
    <w:rsid w:val="2F4B2B19"/>
    <w:rsid w:val="2F6246CC"/>
    <w:rsid w:val="2F6F0CA0"/>
    <w:rsid w:val="2F937F9E"/>
    <w:rsid w:val="2FC53683"/>
    <w:rsid w:val="2FE97A5F"/>
    <w:rsid w:val="305A47DE"/>
    <w:rsid w:val="30843362"/>
    <w:rsid w:val="309E348C"/>
    <w:rsid w:val="310F3CAE"/>
    <w:rsid w:val="312B7C81"/>
    <w:rsid w:val="31394322"/>
    <w:rsid w:val="31570A76"/>
    <w:rsid w:val="31576CC8"/>
    <w:rsid w:val="316D5522"/>
    <w:rsid w:val="3179279B"/>
    <w:rsid w:val="3184082E"/>
    <w:rsid w:val="31CA73AA"/>
    <w:rsid w:val="31FF0CF8"/>
    <w:rsid w:val="322841C1"/>
    <w:rsid w:val="32617B06"/>
    <w:rsid w:val="328304A8"/>
    <w:rsid w:val="32A770DF"/>
    <w:rsid w:val="32BC5F4D"/>
    <w:rsid w:val="32C95C18"/>
    <w:rsid w:val="33354DE7"/>
    <w:rsid w:val="336C7C50"/>
    <w:rsid w:val="33843679"/>
    <w:rsid w:val="33896203"/>
    <w:rsid w:val="339935C8"/>
    <w:rsid w:val="33FE364D"/>
    <w:rsid w:val="340114CC"/>
    <w:rsid w:val="341512ED"/>
    <w:rsid w:val="3429115A"/>
    <w:rsid w:val="34C12DD7"/>
    <w:rsid w:val="34C2316D"/>
    <w:rsid w:val="34C75F13"/>
    <w:rsid w:val="34F2580B"/>
    <w:rsid w:val="35060A68"/>
    <w:rsid w:val="351A24E7"/>
    <w:rsid w:val="35215623"/>
    <w:rsid w:val="353C420B"/>
    <w:rsid w:val="354F70B6"/>
    <w:rsid w:val="36024564"/>
    <w:rsid w:val="36276335"/>
    <w:rsid w:val="3647586B"/>
    <w:rsid w:val="366C0B20"/>
    <w:rsid w:val="36981B5D"/>
    <w:rsid w:val="36A9634B"/>
    <w:rsid w:val="36C26992"/>
    <w:rsid w:val="36D079C8"/>
    <w:rsid w:val="37074CED"/>
    <w:rsid w:val="37D716E7"/>
    <w:rsid w:val="37FC4126"/>
    <w:rsid w:val="37FE6A0C"/>
    <w:rsid w:val="381F2470"/>
    <w:rsid w:val="384455B6"/>
    <w:rsid w:val="38514471"/>
    <w:rsid w:val="38804D57"/>
    <w:rsid w:val="38BE762D"/>
    <w:rsid w:val="38FB262F"/>
    <w:rsid w:val="39034B3A"/>
    <w:rsid w:val="39074B30"/>
    <w:rsid w:val="391D218E"/>
    <w:rsid w:val="3929719C"/>
    <w:rsid w:val="392F7D9A"/>
    <w:rsid w:val="393B2A2C"/>
    <w:rsid w:val="39B5458C"/>
    <w:rsid w:val="39C80763"/>
    <w:rsid w:val="39D761EF"/>
    <w:rsid w:val="39DB72F7"/>
    <w:rsid w:val="3A342638"/>
    <w:rsid w:val="3A43428E"/>
    <w:rsid w:val="3A5C534F"/>
    <w:rsid w:val="3A8F3EBA"/>
    <w:rsid w:val="3AB10259"/>
    <w:rsid w:val="3ABA6222"/>
    <w:rsid w:val="3AE4207A"/>
    <w:rsid w:val="3AF64E5C"/>
    <w:rsid w:val="3B0832D0"/>
    <w:rsid w:val="3B0C28D2"/>
    <w:rsid w:val="3B201ED9"/>
    <w:rsid w:val="3B301F44"/>
    <w:rsid w:val="3B5D312D"/>
    <w:rsid w:val="3B6B4AB4"/>
    <w:rsid w:val="3B730DDD"/>
    <w:rsid w:val="3BAE4829"/>
    <w:rsid w:val="3BC66F24"/>
    <w:rsid w:val="3BD80A06"/>
    <w:rsid w:val="3BDF73C5"/>
    <w:rsid w:val="3BFC3EAD"/>
    <w:rsid w:val="3C3C2D43"/>
    <w:rsid w:val="3C3D079B"/>
    <w:rsid w:val="3C530DD9"/>
    <w:rsid w:val="3C5938F5"/>
    <w:rsid w:val="3C7E335B"/>
    <w:rsid w:val="3C7E6224"/>
    <w:rsid w:val="3CDC6F89"/>
    <w:rsid w:val="3CF8348F"/>
    <w:rsid w:val="3D606F05"/>
    <w:rsid w:val="3D622C7D"/>
    <w:rsid w:val="3D902D22"/>
    <w:rsid w:val="3DAC3EF8"/>
    <w:rsid w:val="3DB17760"/>
    <w:rsid w:val="3DF4021A"/>
    <w:rsid w:val="3E047963"/>
    <w:rsid w:val="3E1321C9"/>
    <w:rsid w:val="3E1D40B2"/>
    <w:rsid w:val="3E860BED"/>
    <w:rsid w:val="3E8E5BBA"/>
    <w:rsid w:val="3EB86069"/>
    <w:rsid w:val="3ECE69ED"/>
    <w:rsid w:val="3ED656D0"/>
    <w:rsid w:val="3EDC10FF"/>
    <w:rsid w:val="3EFF7026"/>
    <w:rsid w:val="3F03223E"/>
    <w:rsid w:val="3F0A5E23"/>
    <w:rsid w:val="3F281FAB"/>
    <w:rsid w:val="3F446ADE"/>
    <w:rsid w:val="3F785608"/>
    <w:rsid w:val="3FA30576"/>
    <w:rsid w:val="3FDF05B5"/>
    <w:rsid w:val="3FF676AC"/>
    <w:rsid w:val="3FFEC4E3"/>
    <w:rsid w:val="40070A53"/>
    <w:rsid w:val="402734A4"/>
    <w:rsid w:val="402C35E1"/>
    <w:rsid w:val="40460634"/>
    <w:rsid w:val="40487816"/>
    <w:rsid w:val="405A4873"/>
    <w:rsid w:val="407B3EBF"/>
    <w:rsid w:val="40BF3F42"/>
    <w:rsid w:val="40DF693D"/>
    <w:rsid w:val="40F16A8E"/>
    <w:rsid w:val="412545BE"/>
    <w:rsid w:val="412838E8"/>
    <w:rsid w:val="4184340D"/>
    <w:rsid w:val="41A35612"/>
    <w:rsid w:val="41E21275"/>
    <w:rsid w:val="422449A5"/>
    <w:rsid w:val="42412ECA"/>
    <w:rsid w:val="428C60A6"/>
    <w:rsid w:val="42D67AEC"/>
    <w:rsid w:val="42F6152E"/>
    <w:rsid w:val="42FF6CFF"/>
    <w:rsid w:val="43000F6E"/>
    <w:rsid w:val="430F2571"/>
    <w:rsid w:val="43140575"/>
    <w:rsid w:val="434370AD"/>
    <w:rsid w:val="435E3EE6"/>
    <w:rsid w:val="43771108"/>
    <w:rsid w:val="437A649A"/>
    <w:rsid w:val="438C4E1A"/>
    <w:rsid w:val="43943464"/>
    <w:rsid w:val="43AC2EA4"/>
    <w:rsid w:val="43CC0E50"/>
    <w:rsid w:val="44024872"/>
    <w:rsid w:val="44374467"/>
    <w:rsid w:val="443F5349"/>
    <w:rsid w:val="4440126D"/>
    <w:rsid w:val="446523D2"/>
    <w:rsid w:val="446D72CF"/>
    <w:rsid w:val="4486272B"/>
    <w:rsid w:val="44BF2763"/>
    <w:rsid w:val="44C956AE"/>
    <w:rsid w:val="44D206E8"/>
    <w:rsid w:val="44DA0696"/>
    <w:rsid w:val="44E45943"/>
    <w:rsid w:val="44F3240C"/>
    <w:rsid w:val="454B1630"/>
    <w:rsid w:val="45570BED"/>
    <w:rsid w:val="4583380E"/>
    <w:rsid w:val="45993146"/>
    <w:rsid w:val="45E701C3"/>
    <w:rsid w:val="45EB3538"/>
    <w:rsid w:val="4619382C"/>
    <w:rsid w:val="46244F73"/>
    <w:rsid w:val="46440499"/>
    <w:rsid w:val="46691AFB"/>
    <w:rsid w:val="46771AC0"/>
    <w:rsid w:val="46B34549"/>
    <w:rsid w:val="4734568A"/>
    <w:rsid w:val="474156B1"/>
    <w:rsid w:val="47541888"/>
    <w:rsid w:val="47867C8A"/>
    <w:rsid w:val="479B001B"/>
    <w:rsid w:val="47D21CE6"/>
    <w:rsid w:val="48206426"/>
    <w:rsid w:val="48233A4F"/>
    <w:rsid w:val="486016F2"/>
    <w:rsid w:val="48876507"/>
    <w:rsid w:val="48A14890"/>
    <w:rsid w:val="48E56510"/>
    <w:rsid w:val="48EB1D78"/>
    <w:rsid w:val="48F055E1"/>
    <w:rsid w:val="495628A5"/>
    <w:rsid w:val="49647D7D"/>
    <w:rsid w:val="49825586"/>
    <w:rsid w:val="49875199"/>
    <w:rsid w:val="4995535D"/>
    <w:rsid w:val="49A87C69"/>
    <w:rsid w:val="49B20AE8"/>
    <w:rsid w:val="4A0330F2"/>
    <w:rsid w:val="4A084BAC"/>
    <w:rsid w:val="4A4C0CEF"/>
    <w:rsid w:val="4A565917"/>
    <w:rsid w:val="4A67403B"/>
    <w:rsid w:val="4A734E79"/>
    <w:rsid w:val="4AD27698"/>
    <w:rsid w:val="4AFE6652"/>
    <w:rsid w:val="4B1B114F"/>
    <w:rsid w:val="4B250368"/>
    <w:rsid w:val="4B3774F7"/>
    <w:rsid w:val="4B425E94"/>
    <w:rsid w:val="4B7F6C9B"/>
    <w:rsid w:val="4BB01238"/>
    <w:rsid w:val="4BD905AE"/>
    <w:rsid w:val="4BF93ABC"/>
    <w:rsid w:val="4C2B7989"/>
    <w:rsid w:val="4C2F1AF1"/>
    <w:rsid w:val="4C3F1A69"/>
    <w:rsid w:val="4C4C7D4D"/>
    <w:rsid w:val="4C6836E0"/>
    <w:rsid w:val="4C692E82"/>
    <w:rsid w:val="4C974380"/>
    <w:rsid w:val="4CA7336B"/>
    <w:rsid w:val="4D001539"/>
    <w:rsid w:val="4D0478AD"/>
    <w:rsid w:val="4D060FF1"/>
    <w:rsid w:val="4D203A06"/>
    <w:rsid w:val="4D333CEE"/>
    <w:rsid w:val="4D3B4E86"/>
    <w:rsid w:val="4D714797"/>
    <w:rsid w:val="4D7809BA"/>
    <w:rsid w:val="4D7B7443"/>
    <w:rsid w:val="4D8C538E"/>
    <w:rsid w:val="4D9F0EEA"/>
    <w:rsid w:val="4D9F6CFB"/>
    <w:rsid w:val="4E0A0EF3"/>
    <w:rsid w:val="4E173610"/>
    <w:rsid w:val="4E261B2B"/>
    <w:rsid w:val="4E3C6BD2"/>
    <w:rsid w:val="4E5263F6"/>
    <w:rsid w:val="4E772300"/>
    <w:rsid w:val="4F095D32"/>
    <w:rsid w:val="4F1A4882"/>
    <w:rsid w:val="4F2A2ECF"/>
    <w:rsid w:val="4F3C4DEC"/>
    <w:rsid w:val="4F860A4D"/>
    <w:rsid w:val="4FBF10E2"/>
    <w:rsid w:val="4FD74E04"/>
    <w:rsid w:val="4FE07672"/>
    <w:rsid w:val="4FFD6F40"/>
    <w:rsid w:val="502B5150"/>
    <w:rsid w:val="504601DC"/>
    <w:rsid w:val="504900D3"/>
    <w:rsid w:val="50680152"/>
    <w:rsid w:val="507E7AD2"/>
    <w:rsid w:val="508A1E77"/>
    <w:rsid w:val="50CF3D2E"/>
    <w:rsid w:val="50F47C38"/>
    <w:rsid w:val="513B5867"/>
    <w:rsid w:val="517F39A6"/>
    <w:rsid w:val="51956D25"/>
    <w:rsid w:val="51BA2C30"/>
    <w:rsid w:val="525769F9"/>
    <w:rsid w:val="52892F5B"/>
    <w:rsid w:val="52952D55"/>
    <w:rsid w:val="52BD34C4"/>
    <w:rsid w:val="52F61709"/>
    <w:rsid w:val="530F0207"/>
    <w:rsid w:val="53EE4EB0"/>
    <w:rsid w:val="54073585"/>
    <w:rsid w:val="54183C3E"/>
    <w:rsid w:val="543C792C"/>
    <w:rsid w:val="54995B0C"/>
    <w:rsid w:val="54DB7C79"/>
    <w:rsid w:val="54E74E26"/>
    <w:rsid w:val="55580A4D"/>
    <w:rsid w:val="559317CE"/>
    <w:rsid w:val="55AE4859"/>
    <w:rsid w:val="55B45B96"/>
    <w:rsid w:val="55BA7EA9"/>
    <w:rsid w:val="55DC1770"/>
    <w:rsid w:val="55E02539"/>
    <w:rsid w:val="55EB22AC"/>
    <w:rsid w:val="55F304BE"/>
    <w:rsid w:val="561133F2"/>
    <w:rsid w:val="56486A5C"/>
    <w:rsid w:val="56571FFA"/>
    <w:rsid w:val="56A33C92"/>
    <w:rsid w:val="56A35AD2"/>
    <w:rsid w:val="56A92CC7"/>
    <w:rsid w:val="56BC2FA6"/>
    <w:rsid w:val="5712706A"/>
    <w:rsid w:val="572A43B4"/>
    <w:rsid w:val="577B076B"/>
    <w:rsid w:val="577C2B01"/>
    <w:rsid w:val="57B43C7D"/>
    <w:rsid w:val="57B7659E"/>
    <w:rsid w:val="57C1305C"/>
    <w:rsid w:val="57E53FF2"/>
    <w:rsid w:val="583F006A"/>
    <w:rsid w:val="58507E4A"/>
    <w:rsid w:val="585A65D3"/>
    <w:rsid w:val="589375E6"/>
    <w:rsid w:val="58A23203"/>
    <w:rsid w:val="58BD0829"/>
    <w:rsid w:val="58BD10F2"/>
    <w:rsid w:val="58CD33C2"/>
    <w:rsid w:val="58D77C23"/>
    <w:rsid w:val="58E80082"/>
    <w:rsid w:val="58F46A27"/>
    <w:rsid w:val="58F5279F"/>
    <w:rsid w:val="596469D4"/>
    <w:rsid w:val="597139B4"/>
    <w:rsid w:val="59722042"/>
    <w:rsid w:val="59861649"/>
    <w:rsid w:val="59C52172"/>
    <w:rsid w:val="59F26FBD"/>
    <w:rsid w:val="5A105AE3"/>
    <w:rsid w:val="5A435D8A"/>
    <w:rsid w:val="5ACD39D4"/>
    <w:rsid w:val="5AD456AA"/>
    <w:rsid w:val="5B435A44"/>
    <w:rsid w:val="5BBC1D09"/>
    <w:rsid w:val="5BD116B7"/>
    <w:rsid w:val="5BE2525D"/>
    <w:rsid w:val="5BFC5BF3"/>
    <w:rsid w:val="5C000D17"/>
    <w:rsid w:val="5C0A0310"/>
    <w:rsid w:val="5C34380B"/>
    <w:rsid w:val="5C423F4D"/>
    <w:rsid w:val="5C6B74CA"/>
    <w:rsid w:val="5CC52620"/>
    <w:rsid w:val="5CFC6999"/>
    <w:rsid w:val="5D2B6790"/>
    <w:rsid w:val="5DA36C6E"/>
    <w:rsid w:val="5DC147D7"/>
    <w:rsid w:val="5DE27796"/>
    <w:rsid w:val="5E131A53"/>
    <w:rsid w:val="5E3FDF58"/>
    <w:rsid w:val="5E4044BD"/>
    <w:rsid w:val="5E425939"/>
    <w:rsid w:val="5E824AD5"/>
    <w:rsid w:val="5E841E57"/>
    <w:rsid w:val="5ECC6918"/>
    <w:rsid w:val="5EFF7ED4"/>
    <w:rsid w:val="5F2931A3"/>
    <w:rsid w:val="5F555D46"/>
    <w:rsid w:val="5F8A0857"/>
    <w:rsid w:val="5F912AC4"/>
    <w:rsid w:val="5FD14724"/>
    <w:rsid w:val="5FEF8784"/>
    <w:rsid w:val="5FF870D3"/>
    <w:rsid w:val="6005151A"/>
    <w:rsid w:val="605F6017"/>
    <w:rsid w:val="60700F30"/>
    <w:rsid w:val="607246D5"/>
    <w:rsid w:val="607B7DDA"/>
    <w:rsid w:val="609B19AB"/>
    <w:rsid w:val="61273712"/>
    <w:rsid w:val="612E2CF2"/>
    <w:rsid w:val="61A3723C"/>
    <w:rsid w:val="61A76748"/>
    <w:rsid w:val="62540AF5"/>
    <w:rsid w:val="62B731FE"/>
    <w:rsid w:val="63023C80"/>
    <w:rsid w:val="6308109C"/>
    <w:rsid w:val="636D3AA1"/>
    <w:rsid w:val="641F4D00"/>
    <w:rsid w:val="64436AB5"/>
    <w:rsid w:val="64485E79"/>
    <w:rsid w:val="64805613"/>
    <w:rsid w:val="64917820"/>
    <w:rsid w:val="64AB650D"/>
    <w:rsid w:val="64BE25DF"/>
    <w:rsid w:val="64D724A4"/>
    <w:rsid w:val="64F22548"/>
    <w:rsid w:val="653707DB"/>
    <w:rsid w:val="655F16CC"/>
    <w:rsid w:val="656062CA"/>
    <w:rsid w:val="656B62C3"/>
    <w:rsid w:val="659106E2"/>
    <w:rsid w:val="659B022A"/>
    <w:rsid w:val="65AB236D"/>
    <w:rsid w:val="65B8080F"/>
    <w:rsid w:val="65C634F9"/>
    <w:rsid w:val="65F500A7"/>
    <w:rsid w:val="66483EC5"/>
    <w:rsid w:val="66704DB4"/>
    <w:rsid w:val="66845C85"/>
    <w:rsid w:val="67102453"/>
    <w:rsid w:val="67191CD7"/>
    <w:rsid w:val="671F55B7"/>
    <w:rsid w:val="672538D3"/>
    <w:rsid w:val="673821D5"/>
    <w:rsid w:val="67890C82"/>
    <w:rsid w:val="679B09B6"/>
    <w:rsid w:val="68020E26"/>
    <w:rsid w:val="68A65864"/>
    <w:rsid w:val="68A67F29"/>
    <w:rsid w:val="68BC0BE4"/>
    <w:rsid w:val="68C15CCA"/>
    <w:rsid w:val="68CA1553"/>
    <w:rsid w:val="690B0E8D"/>
    <w:rsid w:val="696939B3"/>
    <w:rsid w:val="697D619C"/>
    <w:rsid w:val="698E07D2"/>
    <w:rsid w:val="69EE3D79"/>
    <w:rsid w:val="6A0E091D"/>
    <w:rsid w:val="6A250150"/>
    <w:rsid w:val="6ABA50AD"/>
    <w:rsid w:val="6B525C47"/>
    <w:rsid w:val="6B58725B"/>
    <w:rsid w:val="6BA74108"/>
    <w:rsid w:val="6BA94127"/>
    <w:rsid w:val="6BAA765C"/>
    <w:rsid w:val="6BAC13E3"/>
    <w:rsid w:val="6BDF3567"/>
    <w:rsid w:val="6BFB5EC7"/>
    <w:rsid w:val="6BFE46EA"/>
    <w:rsid w:val="6C7F53F2"/>
    <w:rsid w:val="6C8B20CC"/>
    <w:rsid w:val="6C967EEC"/>
    <w:rsid w:val="6CA74CA3"/>
    <w:rsid w:val="6CC938CF"/>
    <w:rsid w:val="6CCB7647"/>
    <w:rsid w:val="6CFD412D"/>
    <w:rsid w:val="6D0F3D9C"/>
    <w:rsid w:val="6D4926AD"/>
    <w:rsid w:val="6DE657B5"/>
    <w:rsid w:val="6E313E22"/>
    <w:rsid w:val="6EE11C64"/>
    <w:rsid w:val="6F2319BD"/>
    <w:rsid w:val="6F2F65B3"/>
    <w:rsid w:val="6F480127"/>
    <w:rsid w:val="6F844654"/>
    <w:rsid w:val="6FE653D7"/>
    <w:rsid w:val="704217E5"/>
    <w:rsid w:val="706C2EEF"/>
    <w:rsid w:val="70853FB1"/>
    <w:rsid w:val="70BF5715"/>
    <w:rsid w:val="70D171F6"/>
    <w:rsid w:val="71106C43"/>
    <w:rsid w:val="71152000"/>
    <w:rsid w:val="712B6906"/>
    <w:rsid w:val="71964031"/>
    <w:rsid w:val="71B2527A"/>
    <w:rsid w:val="71F73A6C"/>
    <w:rsid w:val="71FC02A3"/>
    <w:rsid w:val="72062ED0"/>
    <w:rsid w:val="721756F7"/>
    <w:rsid w:val="722A68F5"/>
    <w:rsid w:val="7231680E"/>
    <w:rsid w:val="728E0764"/>
    <w:rsid w:val="72A23850"/>
    <w:rsid w:val="733F2B3D"/>
    <w:rsid w:val="7358775B"/>
    <w:rsid w:val="737F2F3A"/>
    <w:rsid w:val="73917324"/>
    <w:rsid w:val="73D239B1"/>
    <w:rsid w:val="740D12B5"/>
    <w:rsid w:val="747607E0"/>
    <w:rsid w:val="749D3FBF"/>
    <w:rsid w:val="74A470FC"/>
    <w:rsid w:val="74B82BA7"/>
    <w:rsid w:val="74C00BDD"/>
    <w:rsid w:val="74D177C5"/>
    <w:rsid w:val="753528B6"/>
    <w:rsid w:val="7556B6C1"/>
    <w:rsid w:val="75691D42"/>
    <w:rsid w:val="75743AE4"/>
    <w:rsid w:val="76407405"/>
    <w:rsid w:val="7656661E"/>
    <w:rsid w:val="766C292A"/>
    <w:rsid w:val="769B3AA5"/>
    <w:rsid w:val="76DD4B47"/>
    <w:rsid w:val="76E68039"/>
    <w:rsid w:val="76ED37EF"/>
    <w:rsid w:val="770E2F52"/>
    <w:rsid w:val="770F2072"/>
    <w:rsid w:val="770F21D1"/>
    <w:rsid w:val="77484CE1"/>
    <w:rsid w:val="774B7D02"/>
    <w:rsid w:val="77CF85C6"/>
    <w:rsid w:val="77ED98B5"/>
    <w:rsid w:val="780B7492"/>
    <w:rsid w:val="782A7918"/>
    <w:rsid w:val="784C2F7D"/>
    <w:rsid w:val="78A23952"/>
    <w:rsid w:val="78A7019A"/>
    <w:rsid w:val="78C06712"/>
    <w:rsid w:val="78D51252"/>
    <w:rsid w:val="79020895"/>
    <w:rsid w:val="79BA3B0E"/>
    <w:rsid w:val="79C82D41"/>
    <w:rsid w:val="79CD0EA3"/>
    <w:rsid w:val="79D42231"/>
    <w:rsid w:val="79DF0BD6"/>
    <w:rsid w:val="79F3642F"/>
    <w:rsid w:val="7A235333"/>
    <w:rsid w:val="7A301431"/>
    <w:rsid w:val="7A6F1F5A"/>
    <w:rsid w:val="7A7237F8"/>
    <w:rsid w:val="7A925C48"/>
    <w:rsid w:val="7AA37E55"/>
    <w:rsid w:val="7ABB6962"/>
    <w:rsid w:val="7AF44659"/>
    <w:rsid w:val="7AF4539C"/>
    <w:rsid w:val="7B836715"/>
    <w:rsid w:val="7BA6539F"/>
    <w:rsid w:val="7BE424D4"/>
    <w:rsid w:val="7BED92A8"/>
    <w:rsid w:val="7BFD3595"/>
    <w:rsid w:val="7C013D85"/>
    <w:rsid w:val="7C165C70"/>
    <w:rsid w:val="7C4B60AF"/>
    <w:rsid w:val="7C662C4B"/>
    <w:rsid w:val="7C684AEB"/>
    <w:rsid w:val="7CA8321F"/>
    <w:rsid w:val="7CE7227B"/>
    <w:rsid w:val="7CFB7AD5"/>
    <w:rsid w:val="7D0C3A90"/>
    <w:rsid w:val="7D3E3E65"/>
    <w:rsid w:val="7DAC0DCF"/>
    <w:rsid w:val="7DB40A20"/>
    <w:rsid w:val="7DE247F1"/>
    <w:rsid w:val="7E136A50"/>
    <w:rsid w:val="7E1762F0"/>
    <w:rsid w:val="7E49765A"/>
    <w:rsid w:val="7E4C0FEB"/>
    <w:rsid w:val="7E827B25"/>
    <w:rsid w:val="7E8B6C36"/>
    <w:rsid w:val="7EBA751C"/>
    <w:rsid w:val="7EBE0C5A"/>
    <w:rsid w:val="7EFB3C47"/>
    <w:rsid w:val="7F0569E9"/>
    <w:rsid w:val="7F345520"/>
    <w:rsid w:val="7F850ECB"/>
    <w:rsid w:val="7F8F875D"/>
    <w:rsid w:val="7F9F1736"/>
    <w:rsid w:val="7FAE52D2"/>
    <w:rsid w:val="7FD32E51"/>
    <w:rsid w:val="7FDEA73E"/>
    <w:rsid w:val="7FE64A6C"/>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8"/>
    <w:autoRedefine/>
    <w:qFormat/>
    <w:uiPriority w:val="0"/>
    <w:pPr>
      <w:keepNext/>
      <w:outlineLvl w:val="0"/>
    </w:pPr>
    <w:rPr>
      <w:sz w:val="28"/>
      <w:szCs w:val="24"/>
    </w:rPr>
  </w:style>
  <w:style w:type="paragraph" w:styleId="7">
    <w:name w:val="heading 2"/>
    <w:basedOn w:val="1"/>
    <w:next w:val="1"/>
    <w:link w:val="5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60"/>
    <w:autoRedefine/>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6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73"/>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eastAsia="宋体"/>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toc 7"/>
    <w:basedOn w:val="1"/>
    <w:next w:val="1"/>
    <w:autoRedefine/>
    <w:qFormat/>
    <w:uiPriority w:val="0"/>
    <w:pPr>
      <w:ind w:left="2520" w:leftChars="1200"/>
    </w:pPr>
  </w:style>
  <w:style w:type="paragraph" w:styleId="11">
    <w:name w:val="Document Map"/>
    <w:basedOn w:val="1"/>
    <w:link w:val="84"/>
    <w:autoRedefine/>
    <w:qFormat/>
    <w:uiPriority w:val="0"/>
    <w:pPr>
      <w:shd w:val="clear" w:color="auto" w:fill="000080"/>
    </w:pPr>
  </w:style>
  <w:style w:type="paragraph" w:styleId="12">
    <w:name w:val="annotation text"/>
    <w:basedOn w:val="1"/>
    <w:link w:val="78"/>
    <w:autoRedefine/>
    <w:semiHidden/>
    <w:qFormat/>
    <w:uiPriority w:val="99"/>
    <w:pPr>
      <w:jc w:val="left"/>
    </w:pPr>
  </w:style>
  <w:style w:type="paragraph" w:styleId="13">
    <w:name w:val="Body Text 3"/>
    <w:basedOn w:val="1"/>
    <w:link w:val="99"/>
    <w:autoRedefine/>
    <w:unhideWhenUsed/>
    <w:qFormat/>
    <w:uiPriority w:val="99"/>
    <w:pPr>
      <w:spacing w:after="120"/>
    </w:pPr>
    <w:rPr>
      <w:rFonts w:ascii="Calibri" w:hAnsi="Calibri"/>
      <w:sz w:val="16"/>
      <w:szCs w:val="16"/>
      <w:lang w:val="zh-CN"/>
    </w:rPr>
  </w:style>
  <w:style w:type="paragraph" w:styleId="14">
    <w:name w:val="Body Text Indent"/>
    <w:basedOn w:val="1"/>
    <w:next w:val="15"/>
    <w:link w:val="63"/>
    <w:autoRedefine/>
    <w:qFormat/>
    <w:uiPriority w:val="0"/>
    <w:pPr>
      <w:ind w:firstLine="540"/>
    </w:pPr>
    <w:rPr>
      <w:rFonts w:eastAsia="仿宋_GB2312"/>
      <w:sz w:val="28"/>
    </w:rPr>
  </w:style>
  <w:style w:type="paragraph" w:styleId="15">
    <w:name w:val="envelope return"/>
    <w:basedOn w:val="1"/>
    <w:autoRedefine/>
    <w:qFormat/>
    <w:uiPriority w:val="99"/>
    <w:pPr>
      <w:snapToGrid w:val="0"/>
    </w:pPr>
    <w:rPr>
      <w:rFonts w:ascii="Arial" w:hAnsi="Arial"/>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81"/>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62"/>
    <w:autoRedefine/>
    <w:qFormat/>
    <w:uiPriority w:val="0"/>
    <w:rPr>
      <w:rFonts w:ascii="Arial" w:hAnsi="Arial" w:eastAsia="楷体_GB2312"/>
      <w:sz w:val="28"/>
    </w:rPr>
  </w:style>
  <w:style w:type="paragraph" w:styleId="21">
    <w:name w:val="Body Text Indent 2"/>
    <w:basedOn w:val="1"/>
    <w:link w:val="6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75"/>
    <w:autoRedefine/>
    <w:qFormat/>
    <w:uiPriority w:val="0"/>
    <w:rPr>
      <w:sz w:val="18"/>
      <w:szCs w:val="18"/>
    </w:rPr>
  </w:style>
  <w:style w:type="paragraph" w:styleId="23">
    <w:name w:val="footer"/>
    <w:basedOn w:val="1"/>
    <w:link w:val="57"/>
    <w:autoRedefine/>
    <w:unhideWhenUsed/>
    <w:qFormat/>
    <w:uiPriority w:val="99"/>
    <w:pPr>
      <w:tabs>
        <w:tab w:val="center" w:pos="4153"/>
        <w:tab w:val="right" w:pos="8306"/>
      </w:tabs>
      <w:snapToGrid w:val="0"/>
      <w:jc w:val="left"/>
    </w:pPr>
    <w:rPr>
      <w:sz w:val="18"/>
      <w:szCs w:val="18"/>
    </w:rPr>
  </w:style>
  <w:style w:type="paragraph" w:styleId="24">
    <w:name w:val="header"/>
    <w:basedOn w:val="1"/>
    <w:link w:val="5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toc 6"/>
    <w:basedOn w:val="1"/>
    <w:next w:val="1"/>
    <w:autoRedefine/>
    <w:qFormat/>
    <w:uiPriority w:val="0"/>
    <w:pPr>
      <w:ind w:left="2100" w:leftChars="1000"/>
    </w:pPr>
  </w:style>
  <w:style w:type="paragraph" w:styleId="28">
    <w:name w:val="Body Text Indent 3"/>
    <w:basedOn w:val="1"/>
    <w:link w:val="7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12"/>
    <w:next w:val="12"/>
    <w:link w:val="79"/>
    <w:autoRedefine/>
    <w:semiHidden/>
    <w:qFormat/>
    <w:uiPriority w:val="99"/>
    <w:rPr>
      <w:b/>
      <w:bCs/>
    </w:rPr>
  </w:style>
  <w:style w:type="paragraph" w:styleId="35">
    <w:name w:val="Body Text First Indent 2"/>
    <w:basedOn w:val="14"/>
    <w:next w:val="1"/>
    <w:autoRedefine/>
    <w:unhideWhenUsed/>
    <w:qFormat/>
    <w:uiPriority w:val="99"/>
    <w:pPr>
      <w:spacing w:after="0"/>
      <w:ind w:left="0" w:leftChars="0" w:firstLine="420" w:firstLineChars="200"/>
    </w:pPr>
    <w:rPr>
      <w:rFonts w:ascii="Arial" w:hAnsi="Arial" w:eastAsia="仿宋_GB2312"/>
      <w:sz w:val="28"/>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autoRedefine/>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autoRedefin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rPr>
  </w:style>
  <w:style w:type="paragraph" w:customStyle="1" w:styleId="52">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3">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54">
    <w:name w:val="xl53"/>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55">
    <w:name w:val="目录 71"/>
    <w:basedOn w:val="1"/>
    <w:next w:val="1"/>
    <w:autoRedefine/>
    <w:qFormat/>
    <w:uiPriority w:val="0"/>
    <w:pPr>
      <w:ind w:left="2520"/>
    </w:pPr>
    <w:rPr>
      <w:rFonts w:ascii="Calibri"/>
    </w:rPr>
  </w:style>
  <w:style w:type="character" w:customStyle="1" w:styleId="56">
    <w:name w:val="页眉 Char"/>
    <w:basedOn w:val="38"/>
    <w:link w:val="24"/>
    <w:autoRedefine/>
    <w:qFormat/>
    <w:uiPriority w:val="0"/>
    <w:rPr>
      <w:sz w:val="18"/>
      <w:szCs w:val="18"/>
    </w:rPr>
  </w:style>
  <w:style w:type="character" w:customStyle="1" w:styleId="57">
    <w:name w:val="页脚 Char"/>
    <w:basedOn w:val="38"/>
    <w:link w:val="23"/>
    <w:autoRedefine/>
    <w:qFormat/>
    <w:uiPriority w:val="99"/>
    <w:rPr>
      <w:sz w:val="18"/>
      <w:szCs w:val="18"/>
    </w:rPr>
  </w:style>
  <w:style w:type="character" w:customStyle="1" w:styleId="58">
    <w:name w:val="标题 1 Char"/>
    <w:basedOn w:val="38"/>
    <w:link w:val="6"/>
    <w:autoRedefine/>
    <w:qFormat/>
    <w:uiPriority w:val="0"/>
    <w:rPr>
      <w:rFonts w:ascii="Times New Roman" w:hAnsi="Times New Roman" w:eastAsia="宋体" w:cs="Times New Roman"/>
      <w:sz w:val="28"/>
      <w:szCs w:val="24"/>
    </w:rPr>
  </w:style>
  <w:style w:type="character" w:customStyle="1" w:styleId="59">
    <w:name w:val="标题 2 Char"/>
    <w:basedOn w:val="38"/>
    <w:link w:val="7"/>
    <w:autoRedefine/>
    <w:qFormat/>
    <w:uiPriority w:val="0"/>
    <w:rPr>
      <w:rFonts w:ascii="Arial" w:hAnsi="Arial" w:eastAsia="黑体" w:cs="Times New Roman"/>
      <w:b/>
      <w:kern w:val="0"/>
      <w:sz w:val="32"/>
      <w:szCs w:val="20"/>
    </w:rPr>
  </w:style>
  <w:style w:type="character" w:customStyle="1" w:styleId="60">
    <w:name w:val="标题 3 Char"/>
    <w:basedOn w:val="38"/>
    <w:link w:val="8"/>
    <w:autoRedefine/>
    <w:qFormat/>
    <w:uiPriority w:val="0"/>
    <w:rPr>
      <w:rFonts w:ascii="Times New Roman" w:hAnsi="Times New Roman" w:eastAsia="宋体" w:cs="Times New Roman"/>
      <w:b/>
      <w:bCs/>
      <w:sz w:val="32"/>
      <w:szCs w:val="32"/>
      <w:lang w:val="zh-CN" w:eastAsia="zh-CN"/>
    </w:rPr>
  </w:style>
  <w:style w:type="character" w:customStyle="1" w:styleId="61">
    <w:name w:val="标题 4 Char"/>
    <w:basedOn w:val="38"/>
    <w:link w:val="9"/>
    <w:autoRedefine/>
    <w:qFormat/>
    <w:uiPriority w:val="0"/>
    <w:rPr>
      <w:rFonts w:ascii="Arial" w:hAnsi="Arial" w:eastAsia="黑体" w:cs="Times New Roman"/>
      <w:b/>
      <w:kern w:val="0"/>
      <w:sz w:val="28"/>
      <w:szCs w:val="20"/>
    </w:rPr>
  </w:style>
  <w:style w:type="character" w:customStyle="1" w:styleId="62">
    <w:name w:val="日期 Char"/>
    <w:basedOn w:val="38"/>
    <w:link w:val="20"/>
    <w:autoRedefine/>
    <w:qFormat/>
    <w:uiPriority w:val="0"/>
    <w:rPr>
      <w:rFonts w:ascii="Arial" w:hAnsi="Arial" w:eastAsia="楷体_GB2312" w:cs="Times New Roman"/>
      <w:sz w:val="28"/>
      <w:szCs w:val="20"/>
    </w:rPr>
  </w:style>
  <w:style w:type="character" w:customStyle="1" w:styleId="63">
    <w:name w:val="正文文本缩进 Char"/>
    <w:basedOn w:val="38"/>
    <w:link w:val="14"/>
    <w:autoRedefine/>
    <w:qFormat/>
    <w:uiPriority w:val="0"/>
    <w:rPr>
      <w:rFonts w:ascii="Times New Roman" w:hAnsi="Times New Roman" w:eastAsia="仿宋_GB2312" w:cs="Times New Roman"/>
      <w:sz w:val="28"/>
      <w:szCs w:val="20"/>
    </w:rPr>
  </w:style>
  <w:style w:type="paragraph" w:customStyle="1" w:styleId="6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5">
    <w:name w:val="正文文本缩进 2 Char"/>
    <w:basedOn w:val="38"/>
    <w:link w:val="21"/>
    <w:autoRedefine/>
    <w:qFormat/>
    <w:uiPriority w:val="0"/>
    <w:rPr>
      <w:rFonts w:ascii="Times New Roman" w:hAnsi="Times New Roman" w:eastAsia="仿宋_GB2312" w:cs="Times New Roman"/>
      <w:sz w:val="28"/>
      <w:szCs w:val="20"/>
    </w:rPr>
  </w:style>
  <w:style w:type="paragraph" w:customStyle="1" w:styleId="6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68">
    <w:name w:val="Char Char Char Char Char"/>
    <w:basedOn w:val="1"/>
    <w:autoRedefine/>
    <w:qFormat/>
    <w:uiPriority w:val="0"/>
    <w:rPr>
      <w:rFonts w:ascii="Tahoma" w:hAnsi="Tahoma"/>
      <w:sz w:val="24"/>
    </w:rPr>
  </w:style>
  <w:style w:type="paragraph" w:customStyle="1" w:styleId="69">
    <w:name w:val="Char"/>
    <w:basedOn w:val="1"/>
    <w:autoRedefine/>
    <w:qFormat/>
    <w:uiPriority w:val="0"/>
    <w:rPr>
      <w:rFonts w:ascii="Tahoma" w:hAnsi="Tahoma"/>
      <w:sz w:val="24"/>
    </w:rPr>
  </w:style>
  <w:style w:type="character" w:customStyle="1" w:styleId="70">
    <w:name w:val="正文文本缩进 3 Char"/>
    <w:basedOn w:val="38"/>
    <w:link w:val="28"/>
    <w:autoRedefine/>
    <w:qFormat/>
    <w:uiPriority w:val="0"/>
    <w:rPr>
      <w:rFonts w:ascii="仿宋_GB2312" w:hAnsi="Arial" w:eastAsia="仿宋_GB2312" w:cs="Times New Roman"/>
      <w:sz w:val="28"/>
      <w:szCs w:val="24"/>
    </w:rPr>
  </w:style>
  <w:style w:type="paragraph" w:customStyle="1" w:styleId="71">
    <w:name w:val="Char1"/>
    <w:basedOn w:val="1"/>
    <w:autoRedefine/>
    <w:qFormat/>
    <w:uiPriority w:val="0"/>
    <w:rPr>
      <w:rFonts w:ascii="Tahoma" w:hAnsi="Tahoma" w:eastAsia="仿宋_GB2312"/>
      <w:sz w:val="24"/>
    </w:rPr>
  </w:style>
  <w:style w:type="paragraph" w:customStyle="1" w:styleId="72">
    <w:name w:val="Char Char Char Char Char Char Char1 Char"/>
    <w:basedOn w:val="1"/>
    <w:autoRedefine/>
    <w:qFormat/>
    <w:uiPriority w:val="0"/>
    <w:rPr>
      <w:rFonts w:ascii="Tahoma" w:hAnsi="Tahoma"/>
      <w:sz w:val="24"/>
    </w:rPr>
  </w:style>
  <w:style w:type="character" w:customStyle="1" w:styleId="73">
    <w:name w:val="正文文本 Char"/>
    <w:basedOn w:val="38"/>
    <w:link w:val="3"/>
    <w:autoRedefine/>
    <w:qFormat/>
    <w:uiPriority w:val="0"/>
    <w:rPr>
      <w:rFonts w:ascii="Times New Roman" w:hAnsi="Times New Roman" w:eastAsia="宋体" w:cs="Times New Roman"/>
      <w:szCs w:val="24"/>
    </w:rPr>
  </w:style>
  <w:style w:type="paragraph" w:customStyle="1" w:styleId="74">
    <w:name w:val="Char Char Char Char"/>
    <w:basedOn w:val="1"/>
    <w:next w:val="1"/>
    <w:autoRedefine/>
    <w:qFormat/>
    <w:uiPriority w:val="0"/>
    <w:pPr>
      <w:widowControl/>
      <w:spacing w:line="360" w:lineRule="auto"/>
      <w:jc w:val="left"/>
    </w:pPr>
  </w:style>
  <w:style w:type="character" w:customStyle="1" w:styleId="75">
    <w:name w:val="批注框文本 Char"/>
    <w:basedOn w:val="38"/>
    <w:link w:val="22"/>
    <w:autoRedefine/>
    <w:qFormat/>
    <w:uiPriority w:val="0"/>
    <w:rPr>
      <w:rFonts w:ascii="Times New Roman" w:hAnsi="Times New Roman" w:eastAsia="宋体" w:cs="Times New Roman"/>
      <w:sz w:val="18"/>
      <w:szCs w:val="18"/>
    </w:rPr>
  </w:style>
  <w:style w:type="paragraph" w:customStyle="1" w:styleId="76">
    <w:name w:val="Char Char Char"/>
    <w:basedOn w:val="1"/>
    <w:autoRedefine/>
    <w:qFormat/>
    <w:uiPriority w:val="0"/>
    <w:rPr>
      <w:rFonts w:ascii="Tahoma" w:hAnsi="Tahoma"/>
      <w:sz w:val="24"/>
    </w:rPr>
  </w:style>
  <w:style w:type="paragraph" w:customStyle="1" w:styleId="77">
    <w:name w:val="Char Char Char Char Char Char Char Char Char Char"/>
    <w:basedOn w:val="1"/>
    <w:autoRedefine/>
    <w:qFormat/>
    <w:uiPriority w:val="0"/>
    <w:rPr>
      <w:rFonts w:ascii="Tahoma" w:hAnsi="Tahoma" w:cs="仿宋_GB2312"/>
      <w:sz w:val="24"/>
    </w:rPr>
  </w:style>
  <w:style w:type="character" w:customStyle="1" w:styleId="78">
    <w:name w:val="批注文字 Char"/>
    <w:basedOn w:val="38"/>
    <w:link w:val="12"/>
    <w:autoRedefine/>
    <w:semiHidden/>
    <w:qFormat/>
    <w:uiPriority w:val="99"/>
    <w:rPr>
      <w:rFonts w:ascii="Times New Roman" w:hAnsi="Times New Roman" w:eastAsia="宋体" w:cs="Times New Roman"/>
      <w:szCs w:val="20"/>
    </w:rPr>
  </w:style>
  <w:style w:type="character" w:customStyle="1" w:styleId="79">
    <w:name w:val="批注主题 Char"/>
    <w:basedOn w:val="78"/>
    <w:link w:val="34"/>
    <w:autoRedefine/>
    <w:semiHidden/>
    <w:qFormat/>
    <w:uiPriority w:val="99"/>
    <w:rPr>
      <w:rFonts w:ascii="Times New Roman" w:hAnsi="Times New Roman" w:eastAsia="宋体" w:cs="Times New Roman"/>
      <w:b/>
      <w:bCs/>
      <w:szCs w:val="20"/>
    </w:rPr>
  </w:style>
  <w:style w:type="paragraph" w:customStyle="1" w:styleId="80">
    <w:name w:val="Char Char Char Char Char Char"/>
    <w:basedOn w:val="1"/>
    <w:autoRedefine/>
    <w:qFormat/>
    <w:uiPriority w:val="0"/>
  </w:style>
  <w:style w:type="character" w:customStyle="1" w:styleId="81">
    <w:name w:val="纯文本 Char"/>
    <w:link w:val="18"/>
    <w:autoRedefine/>
    <w:qFormat/>
    <w:uiPriority w:val="0"/>
    <w:rPr>
      <w:rFonts w:ascii="宋体" w:hAnsi="Courier New" w:eastAsia="宋体"/>
    </w:rPr>
  </w:style>
  <w:style w:type="character" w:customStyle="1" w:styleId="82">
    <w:name w:val="纯文本 Char1"/>
    <w:basedOn w:val="38"/>
    <w:autoRedefine/>
    <w:semiHidden/>
    <w:qFormat/>
    <w:uiPriority w:val="99"/>
    <w:rPr>
      <w:rFonts w:ascii="宋体" w:hAnsi="Courier New" w:eastAsia="宋体" w:cs="Courier New"/>
      <w:szCs w:val="21"/>
    </w:rPr>
  </w:style>
  <w:style w:type="paragraph" w:customStyle="1" w:styleId="83">
    <w:name w:val="Char12 Char Char Char"/>
    <w:basedOn w:val="1"/>
    <w:autoRedefine/>
    <w:qFormat/>
    <w:uiPriority w:val="0"/>
  </w:style>
  <w:style w:type="character" w:customStyle="1" w:styleId="84">
    <w:name w:val="文档结构图 Char"/>
    <w:basedOn w:val="38"/>
    <w:link w:val="11"/>
    <w:autoRedefine/>
    <w:qFormat/>
    <w:uiPriority w:val="0"/>
    <w:rPr>
      <w:rFonts w:ascii="Times New Roman" w:hAnsi="Times New Roman" w:eastAsia="宋体" w:cs="Times New Roman"/>
      <w:szCs w:val="20"/>
      <w:shd w:val="clear" w:color="auto" w:fill="000080"/>
    </w:rPr>
  </w:style>
  <w:style w:type="character" w:customStyle="1" w:styleId="85">
    <w:name w:val="style29"/>
    <w:autoRedefine/>
    <w:qFormat/>
    <w:uiPriority w:val="0"/>
  </w:style>
  <w:style w:type="character" w:customStyle="1" w:styleId="86">
    <w:name w:val="正文1"/>
    <w:autoRedefine/>
    <w:qFormat/>
    <w:uiPriority w:val="0"/>
  </w:style>
  <w:style w:type="character" w:customStyle="1" w:styleId="87">
    <w:name w:val="font11"/>
    <w:autoRedefine/>
    <w:qFormat/>
    <w:uiPriority w:val="0"/>
    <w:rPr>
      <w:rFonts w:hint="default" w:ascii="Times New Roman" w:hAnsi="Times New Roman" w:cs="Times New Roman"/>
      <w:color w:val="3366FF"/>
      <w:sz w:val="24"/>
      <w:szCs w:val="24"/>
      <w:u w:val="none"/>
    </w:rPr>
  </w:style>
  <w:style w:type="character" w:customStyle="1" w:styleId="88">
    <w:name w:val="font21"/>
    <w:autoRedefine/>
    <w:qFormat/>
    <w:uiPriority w:val="0"/>
    <w:rPr>
      <w:rFonts w:hint="eastAsia" w:ascii="宋体" w:hAnsi="宋体" w:eastAsia="宋体"/>
      <w:color w:val="3366FF"/>
      <w:sz w:val="24"/>
      <w:szCs w:val="24"/>
      <w:u w:val="none"/>
    </w:rPr>
  </w:style>
  <w:style w:type="paragraph" w:customStyle="1" w:styleId="89">
    <w:name w:val="Char Char15"/>
    <w:basedOn w:val="1"/>
    <w:autoRedefine/>
    <w:qFormat/>
    <w:uiPriority w:val="0"/>
    <w:rPr>
      <w:rFonts w:ascii="Tahoma" w:hAnsi="Tahoma" w:eastAsia="仿宋_GB2312"/>
      <w:sz w:val="24"/>
    </w:rPr>
  </w:style>
  <w:style w:type="paragraph" w:customStyle="1" w:styleId="90">
    <w:name w:val="列出段落1"/>
    <w:basedOn w:val="1"/>
    <w:autoRedefine/>
    <w:qFormat/>
    <w:uiPriority w:val="0"/>
    <w:pPr>
      <w:ind w:firstLine="420" w:firstLineChars="200"/>
    </w:pPr>
    <w:rPr>
      <w:rFonts w:ascii="Calibri" w:hAnsi="Calibri"/>
      <w:szCs w:val="22"/>
    </w:rPr>
  </w:style>
  <w:style w:type="paragraph" w:customStyle="1" w:styleId="91">
    <w:name w:val="Char2"/>
    <w:basedOn w:val="1"/>
    <w:autoRedefine/>
    <w:qFormat/>
    <w:uiPriority w:val="0"/>
    <w:pPr>
      <w:tabs>
        <w:tab w:val="left" w:pos="360"/>
      </w:tabs>
    </w:pPr>
    <w:rPr>
      <w:sz w:val="24"/>
      <w:szCs w:val="24"/>
    </w:rPr>
  </w:style>
  <w:style w:type="paragraph" w:customStyle="1" w:styleId="92">
    <w:name w:val="Char16"/>
    <w:basedOn w:val="1"/>
    <w:autoRedefine/>
    <w:qFormat/>
    <w:uiPriority w:val="0"/>
    <w:rPr>
      <w:rFonts w:ascii="Tahoma" w:hAnsi="Tahoma" w:eastAsia="仿宋_GB2312"/>
      <w:sz w:val="24"/>
    </w:rPr>
  </w:style>
  <w:style w:type="paragraph" w:customStyle="1" w:styleId="93">
    <w:name w:val="Char Char1"/>
    <w:basedOn w:val="1"/>
    <w:autoRedefine/>
    <w:qFormat/>
    <w:uiPriority w:val="0"/>
    <w:rPr>
      <w:rFonts w:ascii="Tahoma" w:hAnsi="Tahoma"/>
      <w:sz w:val="24"/>
    </w:rPr>
  </w:style>
  <w:style w:type="paragraph" w:customStyle="1" w:styleId="94">
    <w:name w:val="Char Char Char Char Char Char Char"/>
    <w:basedOn w:val="1"/>
    <w:autoRedefine/>
    <w:qFormat/>
    <w:uiPriority w:val="0"/>
    <w:rPr>
      <w:szCs w:val="24"/>
    </w:rPr>
  </w:style>
  <w:style w:type="paragraph" w:customStyle="1" w:styleId="95">
    <w:name w:val="Char Char"/>
    <w:basedOn w:val="1"/>
    <w:autoRedefine/>
    <w:qFormat/>
    <w:uiPriority w:val="0"/>
    <w:rPr>
      <w:rFonts w:ascii="Tahoma" w:hAnsi="Tahoma" w:cs="仿宋_GB2312"/>
      <w:sz w:val="24"/>
    </w:rPr>
  </w:style>
  <w:style w:type="paragraph" w:customStyle="1" w:styleId="96">
    <w:name w:val="Char Char2"/>
    <w:basedOn w:val="1"/>
    <w:autoRedefine/>
    <w:qFormat/>
    <w:uiPriority w:val="0"/>
    <w:rPr>
      <w:rFonts w:ascii="Tahoma" w:hAnsi="Tahoma" w:cs="仿宋_GB2312"/>
      <w:sz w:val="24"/>
    </w:rPr>
  </w:style>
  <w:style w:type="paragraph" w:customStyle="1" w:styleId="97">
    <w:name w:val="Char Char Char1"/>
    <w:basedOn w:val="1"/>
    <w:autoRedefine/>
    <w:qFormat/>
    <w:uiPriority w:val="0"/>
    <w:rPr>
      <w:rFonts w:ascii="Tahoma" w:hAnsi="Tahoma"/>
      <w:sz w:val="24"/>
    </w:rPr>
  </w:style>
  <w:style w:type="paragraph" w:customStyle="1" w:styleId="98">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8"/>
    <w:link w:val="13"/>
    <w:autoRedefine/>
    <w:qFormat/>
    <w:uiPriority w:val="99"/>
    <w:rPr>
      <w:rFonts w:ascii="Calibri" w:hAnsi="Calibri" w:eastAsia="宋体" w:cs="Times New Roman"/>
      <w:sz w:val="16"/>
      <w:szCs w:val="16"/>
      <w:lang w:val="zh-CN" w:eastAsia="zh-CN"/>
    </w:rPr>
  </w:style>
  <w:style w:type="paragraph" w:customStyle="1" w:styleId="10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autoRedefine/>
    <w:qFormat/>
    <w:uiPriority w:val="0"/>
    <w:rPr>
      <w:rFonts w:ascii="Times New Roman" w:hAnsi="Times New Roman" w:eastAsia="宋体"/>
    </w:rPr>
  </w:style>
  <w:style w:type="paragraph" w:customStyle="1" w:styleId="103">
    <w:name w:val="p0"/>
    <w:basedOn w:val="1"/>
    <w:autoRedefine/>
    <w:qFormat/>
    <w:uiPriority w:val="0"/>
    <w:pPr>
      <w:widowControl/>
      <w:jc w:val="left"/>
    </w:pPr>
    <w:rPr>
      <w:rFonts w:ascii="等线" w:hAnsi="等线" w:eastAsia="等线" w:cs="等线"/>
      <w:kern w:val="0"/>
      <w:sz w:val="20"/>
      <w:szCs w:val="22"/>
    </w:rPr>
  </w:style>
  <w:style w:type="paragraph" w:customStyle="1" w:styleId="104">
    <w:name w:val="列表段落1"/>
    <w:basedOn w:val="1"/>
    <w:autoRedefine/>
    <w:qFormat/>
    <w:uiPriority w:val="34"/>
    <w:pPr>
      <w:ind w:firstLine="420" w:firstLineChars="200"/>
    </w:pPr>
    <w:rPr>
      <w:szCs w:val="24"/>
    </w:rPr>
  </w:style>
  <w:style w:type="paragraph" w:customStyle="1" w:styleId="105">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autoRedefine/>
    <w:qFormat/>
    <w:uiPriority w:val="99"/>
    <w:pPr>
      <w:ind w:firstLine="420" w:firstLineChars="200"/>
    </w:pPr>
  </w:style>
  <w:style w:type="table" w:customStyle="1" w:styleId="10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Table Text"/>
    <w:basedOn w:val="1"/>
    <w:autoRedefine/>
    <w:semiHidden/>
    <w:qFormat/>
    <w:uiPriority w:val="0"/>
    <w:rPr>
      <w:rFonts w:ascii="仿宋" w:hAnsi="仿宋" w:eastAsia="仿宋" w:cs="仿宋"/>
      <w:sz w:val="22"/>
      <w:szCs w:val="22"/>
      <w:lang w:val="en-US" w:eastAsia="en-US" w:bidi="ar-SA"/>
    </w:rPr>
  </w:style>
  <w:style w:type="character" w:customStyle="1" w:styleId="109">
    <w:name w:val="font71"/>
    <w:basedOn w:val="38"/>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10991</Words>
  <Characters>11346</Characters>
  <Lines>173</Lines>
  <Paragraphs>48</Paragraphs>
  <TotalTime>75</TotalTime>
  <ScaleCrop>false</ScaleCrop>
  <LinksUpToDate>false</LinksUpToDate>
  <CharactersWithSpaces>11428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Administrator</cp:lastModifiedBy>
  <cp:lastPrinted>2025-12-03T01:44:00Z</cp:lastPrinted>
  <dcterms:modified xsi:type="dcterms:W3CDTF">2025-12-22T01:44:31Z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CDF37362C1E84514A731D26827329D6F_13</vt:lpwstr>
  </property>
  <property fmtid="{D5CDD505-2E9C-101B-9397-08002B2CF9AE}" pid="4" name="KSOTemplateDocerSaveRecord">
    <vt:lpwstr>eyJoZGlkIjoiMDg5NDM2Y2E1OWNhZDRlMzU2NWU1OTNhZmYzM2I5N2QiLCJ1c2VySWQiOiIxMTIwMDIyOTU1In0=</vt:lpwstr>
  </property>
</Properties>
</file>