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6C2FD">
      <w:pPr>
        <w:spacing w:before="120" w:beforeLines="50" w:after="120" w:afterLines="50" w:line="520" w:lineRule="exact"/>
        <w:jc w:val="center"/>
        <w:rPr>
          <w:rFonts w:ascii="宋体" w:hAnsi="宋体" w:cs="宋体"/>
          <w:b/>
          <w:bCs/>
          <w:kern w:val="36"/>
          <w:sz w:val="32"/>
          <w:szCs w:val="32"/>
        </w:rPr>
      </w:pPr>
      <w:r>
        <w:rPr>
          <w:rFonts w:hint="eastAsia" w:ascii="宋体" w:hAnsi="宋体" w:cs="宋体"/>
          <w:b/>
          <w:bCs/>
          <w:kern w:val="36"/>
          <w:sz w:val="32"/>
          <w:szCs w:val="32"/>
        </w:rPr>
        <w:t>六安市叶集区人民医院（市六院）DRG 运营管理服务</w:t>
      </w:r>
    </w:p>
    <w:p w14:paraId="7455447C">
      <w:pPr>
        <w:spacing w:before="120" w:beforeLines="50" w:after="120" w:afterLines="50" w:line="520" w:lineRule="exact"/>
        <w:ind w:firstLine="2891" w:firstLineChars="1200"/>
        <w:rPr>
          <w:rFonts w:hint="default" w:ascii="宋体" w:hAnsi="宋体" w:eastAsia="宋体"/>
          <w:b/>
          <w:sz w:val="24"/>
          <w:lang w:val="en-US" w:eastAsia="zh-CN"/>
        </w:rPr>
      </w:pPr>
      <w:r>
        <w:rPr>
          <w:rFonts w:hint="eastAsia" w:ascii="宋体" w:hAnsi="宋体"/>
          <w:b/>
          <w:sz w:val="24"/>
        </w:rPr>
        <w:t>项目编号：</w:t>
      </w:r>
      <w:r>
        <w:rPr>
          <w:rFonts w:hint="eastAsia" w:ascii="宋体" w:hAnsi="宋体"/>
          <w:b/>
          <w:sz w:val="24"/>
          <w:lang w:val="en-US" w:eastAsia="zh-CN"/>
        </w:rPr>
        <w:t>LASYJQRMYY-XXK2025-11</w:t>
      </w:r>
    </w:p>
    <w:p w14:paraId="152DC3DB">
      <w:pPr>
        <w:pStyle w:val="3"/>
      </w:pPr>
    </w:p>
    <w:p w14:paraId="47173231">
      <w:pPr>
        <w:spacing w:line="760" w:lineRule="exact"/>
        <w:jc w:val="center"/>
        <w:rPr>
          <w:rFonts w:ascii="宋体" w:hAnsi="宋体"/>
          <w:b/>
          <w:sz w:val="44"/>
          <w:szCs w:val="44"/>
        </w:rPr>
      </w:pPr>
      <w:r>
        <w:rPr>
          <w:rFonts w:hint="eastAsia" w:ascii="宋体" w:hAnsi="宋体"/>
          <w:b/>
          <w:sz w:val="44"/>
          <w:szCs w:val="44"/>
        </w:rPr>
        <w:t>服</w:t>
      </w:r>
    </w:p>
    <w:p w14:paraId="6506D888">
      <w:pPr>
        <w:spacing w:line="760" w:lineRule="exact"/>
        <w:jc w:val="center"/>
        <w:rPr>
          <w:rFonts w:ascii="宋体" w:hAnsi="宋体"/>
          <w:b/>
          <w:sz w:val="44"/>
          <w:szCs w:val="44"/>
        </w:rPr>
      </w:pPr>
      <w:r>
        <w:rPr>
          <w:rFonts w:hint="eastAsia" w:ascii="宋体" w:hAnsi="宋体"/>
          <w:b/>
          <w:sz w:val="44"/>
          <w:szCs w:val="44"/>
        </w:rPr>
        <w:t>务</w:t>
      </w:r>
    </w:p>
    <w:p w14:paraId="6AB4B25D">
      <w:pPr>
        <w:spacing w:line="760" w:lineRule="exact"/>
        <w:jc w:val="center"/>
        <w:rPr>
          <w:rFonts w:ascii="宋体" w:hAnsi="宋体"/>
          <w:b/>
          <w:sz w:val="44"/>
          <w:szCs w:val="44"/>
        </w:rPr>
      </w:pPr>
      <w:r>
        <w:rPr>
          <w:rFonts w:hint="eastAsia" w:ascii="宋体" w:hAnsi="宋体"/>
          <w:b/>
          <w:sz w:val="44"/>
          <w:szCs w:val="44"/>
        </w:rPr>
        <w:t>类</w:t>
      </w:r>
    </w:p>
    <w:p w14:paraId="48C41481">
      <w:pPr>
        <w:spacing w:line="760" w:lineRule="exact"/>
        <w:jc w:val="center"/>
        <w:rPr>
          <w:rFonts w:ascii="宋体" w:hAnsi="宋体"/>
          <w:b/>
          <w:sz w:val="44"/>
          <w:szCs w:val="44"/>
        </w:rPr>
      </w:pPr>
      <w:r>
        <w:rPr>
          <w:rFonts w:hint="eastAsia" w:ascii="宋体" w:hAnsi="宋体"/>
          <w:b/>
          <w:sz w:val="44"/>
          <w:szCs w:val="44"/>
        </w:rPr>
        <w:t>单</w:t>
      </w:r>
    </w:p>
    <w:p w14:paraId="2F604A26">
      <w:pPr>
        <w:spacing w:line="760" w:lineRule="exact"/>
        <w:jc w:val="center"/>
        <w:rPr>
          <w:rFonts w:ascii="宋体" w:hAnsi="宋体"/>
          <w:b/>
          <w:sz w:val="44"/>
          <w:szCs w:val="44"/>
        </w:rPr>
      </w:pPr>
      <w:r>
        <w:rPr>
          <w:rFonts w:hint="eastAsia" w:ascii="宋体" w:hAnsi="宋体"/>
          <w:b/>
          <w:sz w:val="44"/>
          <w:szCs w:val="44"/>
        </w:rPr>
        <w:t>一</w:t>
      </w:r>
    </w:p>
    <w:p w14:paraId="6554436F">
      <w:pPr>
        <w:spacing w:line="760" w:lineRule="exact"/>
        <w:jc w:val="center"/>
        <w:rPr>
          <w:rFonts w:ascii="宋体" w:hAnsi="宋体"/>
          <w:b/>
          <w:sz w:val="44"/>
          <w:szCs w:val="44"/>
        </w:rPr>
      </w:pPr>
      <w:r>
        <w:rPr>
          <w:rFonts w:hint="eastAsia" w:ascii="宋体" w:hAnsi="宋体"/>
          <w:b/>
          <w:sz w:val="44"/>
          <w:szCs w:val="44"/>
        </w:rPr>
        <w:t>来</w:t>
      </w:r>
    </w:p>
    <w:p w14:paraId="71DDFAAD">
      <w:pPr>
        <w:spacing w:line="760" w:lineRule="exact"/>
        <w:jc w:val="center"/>
        <w:rPr>
          <w:rFonts w:ascii="宋体" w:hAnsi="宋体"/>
          <w:b/>
          <w:sz w:val="44"/>
          <w:szCs w:val="44"/>
        </w:rPr>
      </w:pPr>
      <w:r>
        <w:rPr>
          <w:rFonts w:hint="eastAsia" w:ascii="宋体" w:hAnsi="宋体"/>
          <w:b/>
          <w:sz w:val="44"/>
          <w:szCs w:val="44"/>
        </w:rPr>
        <w:t>源</w:t>
      </w:r>
    </w:p>
    <w:p w14:paraId="782E2E6D">
      <w:pPr>
        <w:spacing w:line="760" w:lineRule="exact"/>
        <w:jc w:val="center"/>
        <w:rPr>
          <w:rFonts w:ascii="宋体" w:hAnsi="宋体"/>
          <w:b/>
          <w:sz w:val="44"/>
          <w:szCs w:val="44"/>
        </w:rPr>
      </w:pPr>
      <w:r>
        <w:rPr>
          <w:rFonts w:hint="eastAsia" w:ascii="宋体" w:hAnsi="宋体"/>
          <w:b/>
          <w:sz w:val="44"/>
          <w:szCs w:val="44"/>
        </w:rPr>
        <w:t>采</w:t>
      </w:r>
    </w:p>
    <w:p w14:paraId="7D559D1C">
      <w:pPr>
        <w:spacing w:line="760" w:lineRule="exact"/>
        <w:jc w:val="center"/>
        <w:rPr>
          <w:rFonts w:ascii="宋体" w:hAnsi="宋体"/>
          <w:b/>
          <w:sz w:val="44"/>
          <w:szCs w:val="44"/>
        </w:rPr>
      </w:pPr>
      <w:r>
        <w:rPr>
          <w:rFonts w:hint="eastAsia" w:ascii="宋体" w:hAnsi="宋体"/>
          <w:b/>
          <w:sz w:val="44"/>
          <w:szCs w:val="44"/>
        </w:rPr>
        <w:t>购</w:t>
      </w:r>
    </w:p>
    <w:p w14:paraId="4DD33E78">
      <w:pPr>
        <w:spacing w:line="760" w:lineRule="exact"/>
        <w:jc w:val="center"/>
        <w:rPr>
          <w:rFonts w:ascii="宋体" w:hAnsi="宋体"/>
          <w:b/>
          <w:sz w:val="44"/>
          <w:szCs w:val="44"/>
        </w:rPr>
      </w:pPr>
      <w:r>
        <w:rPr>
          <w:rFonts w:hint="eastAsia" w:ascii="宋体" w:hAnsi="宋体"/>
          <w:b/>
          <w:sz w:val="44"/>
          <w:szCs w:val="44"/>
        </w:rPr>
        <w:t>文</w:t>
      </w:r>
    </w:p>
    <w:p w14:paraId="51785046">
      <w:pPr>
        <w:spacing w:line="760" w:lineRule="exact"/>
        <w:jc w:val="center"/>
        <w:rPr>
          <w:rFonts w:ascii="宋体" w:hAnsi="宋体"/>
          <w:b/>
          <w:sz w:val="56"/>
          <w:szCs w:val="56"/>
        </w:rPr>
      </w:pPr>
      <w:r>
        <w:rPr>
          <w:rFonts w:hint="eastAsia" w:ascii="宋体" w:hAnsi="宋体"/>
          <w:b/>
          <w:sz w:val="44"/>
          <w:szCs w:val="44"/>
        </w:rPr>
        <w:t>件</w:t>
      </w:r>
    </w:p>
    <w:p w14:paraId="4BF636C6">
      <w:pPr>
        <w:rPr>
          <w:rFonts w:ascii="宋体" w:hAnsi="宋体"/>
          <w:b/>
          <w:sz w:val="32"/>
          <w:szCs w:val="32"/>
        </w:rPr>
      </w:pPr>
    </w:p>
    <w:p w14:paraId="7D1B7445">
      <w:pPr>
        <w:ind w:firstLine="1680" w:firstLineChars="600"/>
        <w:jc w:val="center"/>
        <w:rPr>
          <w:rFonts w:ascii="黑体" w:hAnsi="宋体" w:eastAsia="黑体"/>
          <w:sz w:val="28"/>
          <w:szCs w:val="28"/>
        </w:rPr>
      </w:pPr>
    </w:p>
    <w:p w14:paraId="77DB9088">
      <w:pPr>
        <w:spacing w:line="360" w:lineRule="auto"/>
        <w:ind w:firstLine="840" w:firstLineChars="300"/>
        <w:rPr>
          <w:rFonts w:hint="eastAsia" w:ascii="黑体" w:hAnsi="宋体" w:eastAsia="黑体"/>
          <w:sz w:val="28"/>
          <w:szCs w:val="28"/>
        </w:rPr>
      </w:pPr>
    </w:p>
    <w:p w14:paraId="72A4BECF">
      <w:pPr>
        <w:spacing w:line="360" w:lineRule="auto"/>
        <w:ind w:firstLine="840" w:firstLineChars="300"/>
        <w:rPr>
          <w:rFonts w:ascii="黑体" w:hAnsi="宋体" w:eastAsia="黑体"/>
          <w:sz w:val="28"/>
          <w:szCs w:val="28"/>
        </w:rPr>
      </w:pPr>
      <w:r>
        <w:rPr>
          <w:rFonts w:hint="eastAsia" w:ascii="黑体" w:hAnsi="宋体" w:eastAsia="黑体"/>
          <w:sz w:val="28"/>
          <w:szCs w:val="28"/>
        </w:rPr>
        <w:t>项目单位：</w:t>
      </w:r>
      <w:r>
        <w:rPr>
          <w:rFonts w:hint="eastAsia" w:ascii="黑体" w:hAnsi="宋体" w:eastAsia="黑体"/>
          <w:sz w:val="28"/>
          <w:szCs w:val="28"/>
          <w:lang w:val="en-US" w:eastAsia="zh-CN"/>
        </w:rPr>
        <w:t>六安市叶集区人民医院（六安市第六人民医院）</w:t>
      </w:r>
      <w:r>
        <w:rPr>
          <w:rFonts w:hint="eastAsia" w:ascii="黑体" w:hAnsi="宋体" w:eastAsia="黑体"/>
          <w:sz w:val="28"/>
          <w:szCs w:val="28"/>
        </w:rPr>
        <w:t xml:space="preserve">                 </w:t>
      </w:r>
    </w:p>
    <w:p w14:paraId="1F3A7C85">
      <w:pPr>
        <w:spacing w:line="360" w:lineRule="auto"/>
        <w:ind w:firstLine="2240" w:firstLineChars="800"/>
        <w:rPr>
          <w:rFonts w:ascii="黑体" w:hAnsi="宋体" w:eastAsia="黑体"/>
          <w:sz w:val="28"/>
          <w:szCs w:val="28"/>
        </w:rPr>
      </w:pPr>
      <w:r>
        <w:rPr>
          <w:rFonts w:hint="eastAsia" w:ascii="黑体" w:hAnsi="宋体" w:eastAsia="黑体"/>
          <w:sz w:val="28"/>
          <w:szCs w:val="28"/>
        </w:rPr>
        <w:t>代理机构：安徽同方工程咨询有限公司</w:t>
      </w:r>
      <w:r>
        <w:rPr>
          <w:rFonts w:ascii="黑体" w:hAnsi="宋体" w:eastAsia="黑体"/>
          <w:sz w:val="28"/>
          <w:szCs w:val="28"/>
        </w:rPr>
        <w:t xml:space="preserve"> </w:t>
      </w:r>
    </w:p>
    <w:p w14:paraId="14324549">
      <w:pPr>
        <w:jc w:val="center"/>
        <w:rPr>
          <w:rFonts w:ascii="黑体" w:hAnsi="宋体" w:eastAsia="黑体"/>
          <w:sz w:val="28"/>
          <w:szCs w:val="28"/>
        </w:rPr>
      </w:pPr>
      <w:r>
        <w:rPr>
          <w:rFonts w:hint="eastAsia" w:ascii="黑体" w:hAnsi="宋体" w:eastAsia="黑体"/>
          <w:sz w:val="28"/>
          <w:szCs w:val="28"/>
          <w:lang w:val="en-US" w:eastAsia="zh-CN"/>
        </w:rPr>
        <w:t>2025</w:t>
      </w:r>
      <w:r>
        <w:rPr>
          <w:rFonts w:hint="eastAsia" w:ascii="黑体" w:hAnsi="宋体" w:eastAsia="黑体"/>
          <w:sz w:val="28"/>
          <w:szCs w:val="28"/>
        </w:rPr>
        <w:t>年</w:t>
      </w:r>
      <w:r>
        <w:rPr>
          <w:rFonts w:hint="eastAsia" w:ascii="黑体" w:hAnsi="宋体" w:eastAsia="黑体"/>
          <w:sz w:val="28"/>
          <w:szCs w:val="28"/>
          <w:lang w:val="en-US" w:eastAsia="zh-CN"/>
        </w:rPr>
        <w:t>11</w:t>
      </w:r>
      <w:r>
        <w:rPr>
          <w:rFonts w:hint="eastAsia" w:ascii="黑体" w:hAnsi="宋体" w:eastAsia="黑体"/>
          <w:sz w:val="28"/>
          <w:szCs w:val="28"/>
        </w:rPr>
        <w:t>月</w:t>
      </w:r>
      <w:bookmarkStart w:id="0" w:name="_Toc18671549"/>
    </w:p>
    <w:p w14:paraId="3C2F4155">
      <w:pPr>
        <w:jc w:val="left"/>
      </w:pPr>
      <w:r>
        <w:rPr>
          <w:rFonts w:hint="eastAsia" w:ascii="黑体" w:hAnsi="宋体" w:eastAsia="黑体"/>
          <w:sz w:val="28"/>
          <w:szCs w:val="28"/>
        </w:rPr>
        <w:br w:type="page"/>
      </w:r>
    </w:p>
    <w:sdt>
      <w:sdtPr>
        <w:rPr>
          <w:rFonts w:hint="eastAsia" w:ascii="黑体" w:hAnsi="黑体" w:eastAsia="黑体" w:cs="黑体"/>
          <w:b/>
          <w:bCs/>
          <w:sz w:val="40"/>
          <w:szCs w:val="48"/>
        </w:rPr>
        <w:id w:val="147458712"/>
      </w:sdtPr>
      <w:sdtEndPr>
        <w:rPr>
          <w:rFonts w:hint="eastAsia" w:ascii="宋体" w:hAnsi="宋体" w:eastAsia="宋体" w:cs="宋体"/>
          <w:b/>
          <w:bCs/>
          <w:sz w:val="21"/>
          <w:szCs w:val="32"/>
        </w:rPr>
      </w:sdtEndPr>
      <w:sdtContent>
        <w:p w14:paraId="39B4ADB5">
          <w:pPr>
            <w:jc w:val="center"/>
            <w:rPr>
              <w:rFonts w:ascii="黑体" w:hAnsi="黑体" w:eastAsia="黑体" w:cs="黑体"/>
              <w:b/>
              <w:bCs/>
              <w:sz w:val="40"/>
              <w:szCs w:val="48"/>
            </w:rPr>
          </w:pPr>
        </w:p>
        <w:p w14:paraId="609F5077">
          <w:pPr>
            <w:jc w:val="center"/>
            <w:rPr>
              <w:rFonts w:ascii="黑体" w:hAnsi="黑体" w:eastAsia="黑体" w:cs="黑体"/>
              <w:b/>
              <w:bCs/>
              <w:sz w:val="40"/>
              <w:szCs w:val="48"/>
            </w:rPr>
          </w:pPr>
          <w:r>
            <w:rPr>
              <w:rFonts w:hint="eastAsia" w:ascii="黑体" w:hAnsi="黑体" w:eastAsia="黑体" w:cs="黑体"/>
              <w:b/>
              <w:bCs/>
              <w:sz w:val="40"/>
              <w:szCs w:val="48"/>
            </w:rPr>
            <w:t>目   录</w:t>
          </w:r>
        </w:p>
        <w:p w14:paraId="0E15BFE0">
          <w:pPr>
            <w:jc w:val="center"/>
            <w:rPr>
              <w:rFonts w:ascii="黑体" w:hAnsi="黑体" w:eastAsia="黑体" w:cs="黑体"/>
              <w:b/>
              <w:bCs/>
              <w:sz w:val="36"/>
              <w:szCs w:val="44"/>
            </w:rPr>
          </w:pPr>
        </w:p>
        <w:p w14:paraId="0C6D14EC">
          <w:pPr>
            <w:pStyle w:val="13"/>
            <w:tabs>
              <w:tab w:val="right" w:leader="dot" w:pos="8888"/>
            </w:tabs>
            <w:spacing w:line="480" w:lineRule="exact"/>
            <w:ind w:left="0" w:leftChars="0"/>
          </w:pPr>
          <w:r>
            <w:rPr>
              <w:rFonts w:hint="eastAsia" w:ascii="宋体" w:hAnsi="宋体" w:eastAsia="宋体" w:cs="宋体"/>
              <w:bCs/>
              <w:szCs w:val="24"/>
            </w:rPr>
            <w:fldChar w:fldCharType="begin"/>
          </w:r>
          <w:r>
            <w:rPr>
              <w:rFonts w:hint="eastAsia" w:ascii="宋体" w:hAnsi="宋体" w:eastAsia="宋体" w:cs="宋体"/>
              <w:bCs/>
              <w:szCs w:val="24"/>
            </w:rPr>
            <w:instrText xml:space="preserve">TOC \o "1-3" \h \u </w:instrText>
          </w:r>
          <w:r>
            <w:rPr>
              <w:rFonts w:hint="eastAsia" w:ascii="宋体" w:hAnsi="宋体" w:eastAsia="宋体" w:cs="宋体"/>
              <w:bCs/>
              <w:szCs w:val="24"/>
            </w:rPr>
            <w:fldChar w:fldCharType="separate"/>
          </w:r>
          <w:r>
            <w:fldChar w:fldCharType="begin"/>
          </w:r>
          <w:r>
            <w:instrText xml:space="preserve"> HYPERLINK \l "_Toc18747" </w:instrText>
          </w:r>
          <w:r>
            <w:fldChar w:fldCharType="separate"/>
          </w:r>
          <w:r>
            <w:rPr>
              <w:rFonts w:hint="eastAsia" w:ascii="宋体" w:hAnsi="宋体" w:eastAsia="宋体" w:cs="宋体"/>
              <w:szCs w:val="28"/>
            </w:rPr>
            <w:t>单一来源方式采购的公</w:t>
          </w:r>
          <w:r>
            <w:rPr>
              <w:rFonts w:hint="eastAsia" w:ascii="宋体" w:hAnsi="宋体" w:eastAsia="宋体" w:cs="宋体"/>
              <w:szCs w:val="28"/>
              <w:lang w:val="en-US" w:eastAsia="zh-CN"/>
            </w:rPr>
            <w:t>告</w:t>
          </w:r>
          <w:r>
            <w:tab/>
          </w:r>
          <w:r>
            <w:fldChar w:fldCharType="begin"/>
          </w:r>
          <w:r>
            <w:instrText xml:space="preserve"> PAGEREF _Toc18747 \h </w:instrText>
          </w:r>
          <w:r>
            <w:fldChar w:fldCharType="separate"/>
          </w:r>
          <w:r>
            <w:rPr>
              <w:rFonts w:hint="eastAsia"/>
              <w:lang w:val="en-US" w:eastAsia="zh-CN"/>
            </w:rPr>
            <w:t>1</w:t>
          </w:r>
          <w:r>
            <w:fldChar w:fldCharType="end"/>
          </w:r>
          <w:r>
            <w:fldChar w:fldCharType="end"/>
          </w:r>
        </w:p>
        <w:p w14:paraId="0A327EA7">
          <w:pPr>
            <w:pStyle w:val="13"/>
            <w:tabs>
              <w:tab w:val="right" w:leader="dot" w:pos="8888"/>
            </w:tabs>
            <w:spacing w:line="480" w:lineRule="exact"/>
            <w:ind w:left="0" w:leftChars="0"/>
          </w:pPr>
          <w:r>
            <w:fldChar w:fldCharType="begin"/>
          </w:r>
          <w:r>
            <w:instrText xml:space="preserve"> HYPERLINK \l "_Toc30348" </w:instrText>
          </w:r>
          <w:r>
            <w:fldChar w:fldCharType="separate"/>
          </w:r>
          <w:r>
            <w:rPr>
              <w:rFonts w:hint="eastAsia" w:ascii="宋体" w:hAnsi="宋体" w:eastAsia="宋体" w:cs="宋体"/>
              <w:szCs w:val="24"/>
            </w:rPr>
            <w:t>第一章  单一来源采购邀请书</w:t>
          </w:r>
          <w:r>
            <w:tab/>
          </w:r>
          <w:r>
            <w:fldChar w:fldCharType="begin"/>
          </w:r>
          <w:r>
            <w:instrText xml:space="preserve"> PAGEREF _Toc30348 \h </w:instrText>
          </w:r>
          <w:r>
            <w:fldChar w:fldCharType="separate"/>
          </w:r>
          <w:r>
            <w:t>- 6 -</w:t>
          </w:r>
          <w:r>
            <w:fldChar w:fldCharType="end"/>
          </w:r>
          <w:r>
            <w:fldChar w:fldCharType="end"/>
          </w:r>
        </w:p>
        <w:p w14:paraId="1AE5C050">
          <w:pPr>
            <w:pStyle w:val="13"/>
            <w:tabs>
              <w:tab w:val="right" w:leader="dot" w:pos="8888"/>
            </w:tabs>
            <w:spacing w:line="480" w:lineRule="exact"/>
            <w:ind w:left="0" w:leftChars="0"/>
          </w:pPr>
          <w:r>
            <w:fldChar w:fldCharType="begin"/>
          </w:r>
          <w:r>
            <w:instrText xml:space="preserve"> HYPERLINK \l "_Toc25424" </w:instrText>
          </w:r>
          <w:r>
            <w:fldChar w:fldCharType="separate"/>
          </w:r>
          <w:r>
            <w:rPr>
              <w:rFonts w:hint="eastAsia" w:ascii="宋体" w:hAnsi="宋体" w:eastAsia="宋体" w:cs="宋体"/>
              <w:szCs w:val="24"/>
            </w:rPr>
            <w:t>第二章  供应商须知前附表</w:t>
          </w:r>
          <w:r>
            <w:tab/>
          </w:r>
          <w:r>
            <w:fldChar w:fldCharType="begin"/>
          </w:r>
          <w:r>
            <w:instrText xml:space="preserve"> PAGEREF _Toc25424 \h </w:instrText>
          </w:r>
          <w:r>
            <w:fldChar w:fldCharType="separate"/>
          </w:r>
          <w:r>
            <w:t>- 7 -</w:t>
          </w:r>
          <w:r>
            <w:fldChar w:fldCharType="end"/>
          </w:r>
          <w:r>
            <w:fldChar w:fldCharType="end"/>
          </w:r>
        </w:p>
        <w:p w14:paraId="23E34F6A">
          <w:pPr>
            <w:pStyle w:val="13"/>
            <w:tabs>
              <w:tab w:val="right" w:leader="dot" w:pos="8888"/>
            </w:tabs>
            <w:spacing w:line="480" w:lineRule="exact"/>
            <w:ind w:left="0" w:leftChars="0"/>
          </w:pPr>
          <w:r>
            <w:fldChar w:fldCharType="begin"/>
          </w:r>
          <w:r>
            <w:instrText xml:space="preserve"> HYPERLINK \l "_Toc11917" </w:instrText>
          </w:r>
          <w:r>
            <w:fldChar w:fldCharType="separate"/>
          </w:r>
          <w:r>
            <w:rPr>
              <w:rFonts w:hint="eastAsia" w:ascii="宋体" w:hAnsi="宋体" w:eastAsia="宋体" w:cs="宋体"/>
              <w:szCs w:val="24"/>
            </w:rPr>
            <w:t>第三章  供应商须知</w:t>
          </w:r>
          <w:r>
            <w:tab/>
          </w:r>
          <w:r>
            <w:fldChar w:fldCharType="begin"/>
          </w:r>
          <w:r>
            <w:instrText xml:space="preserve"> PAGEREF _Toc11917 \h </w:instrText>
          </w:r>
          <w:r>
            <w:fldChar w:fldCharType="separate"/>
          </w:r>
          <w:r>
            <w:t>- 9 -</w:t>
          </w:r>
          <w:r>
            <w:fldChar w:fldCharType="end"/>
          </w:r>
          <w:r>
            <w:fldChar w:fldCharType="end"/>
          </w:r>
        </w:p>
        <w:p w14:paraId="2065AB17">
          <w:pPr>
            <w:pStyle w:val="13"/>
            <w:tabs>
              <w:tab w:val="right" w:leader="dot" w:pos="8888"/>
            </w:tabs>
            <w:spacing w:line="480" w:lineRule="exact"/>
            <w:ind w:left="0" w:leftChars="0"/>
          </w:pPr>
          <w:r>
            <w:fldChar w:fldCharType="begin"/>
          </w:r>
          <w:r>
            <w:instrText xml:space="preserve"> HYPERLINK \l "_Toc2581" </w:instrText>
          </w:r>
          <w:r>
            <w:fldChar w:fldCharType="separate"/>
          </w:r>
          <w:r>
            <w:rPr>
              <w:rFonts w:hint="eastAsia" w:ascii="宋体" w:hAnsi="宋体" w:eastAsia="宋体" w:cs="宋体"/>
              <w:szCs w:val="24"/>
            </w:rPr>
            <w:t>第四章</w:t>
          </w:r>
          <w:r>
            <w:rPr>
              <w:rFonts w:hint="eastAsia" w:ascii="宋体" w:hAnsi="宋体" w:cs="宋体"/>
              <w:szCs w:val="24"/>
            </w:rPr>
            <w:t xml:space="preserve">  </w:t>
          </w:r>
          <w:r>
            <w:rPr>
              <w:rFonts w:hint="eastAsia" w:ascii="宋体" w:hAnsi="宋体" w:eastAsia="宋体" w:cs="宋体"/>
              <w:szCs w:val="24"/>
            </w:rPr>
            <w:t>采购需求</w:t>
          </w:r>
          <w:r>
            <w:tab/>
          </w:r>
          <w:r>
            <w:fldChar w:fldCharType="begin"/>
          </w:r>
          <w:r>
            <w:instrText xml:space="preserve"> PAGEREF _Toc2581 \h </w:instrText>
          </w:r>
          <w:r>
            <w:fldChar w:fldCharType="separate"/>
          </w:r>
          <w:r>
            <w:t>- 16 -</w:t>
          </w:r>
          <w:r>
            <w:fldChar w:fldCharType="end"/>
          </w:r>
          <w:r>
            <w:fldChar w:fldCharType="end"/>
          </w:r>
        </w:p>
        <w:p w14:paraId="1D21335E">
          <w:pPr>
            <w:pStyle w:val="13"/>
            <w:tabs>
              <w:tab w:val="right" w:leader="dot" w:pos="8888"/>
            </w:tabs>
            <w:spacing w:line="480" w:lineRule="exact"/>
            <w:ind w:left="0" w:leftChars="0"/>
          </w:pPr>
          <w:r>
            <w:fldChar w:fldCharType="begin"/>
          </w:r>
          <w:r>
            <w:instrText xml:space="preserve"> HYPERLINK \l "_Toc20436" </w:instrText>
          </w:r>
          <w:r>
            <w:fldChar w:fldCharType="separate"/>
          </w:r>
          <w:r>
            <w:rPr>
              <w:rFonts w:hint="eastAsia" w:ascii="宋体" w:hAnsi="宋体" w:eastAsia="宋体" w:cs="宋体"/>
              <w:bCs/>
              <w:szCs w:val="24"/>
            </w:rPr>
            <w:t>第五章  单一来源响应文件</w:t>
          </w:r>
          <w:r>
            <w:tab/>
          </w:r>
          <w:r>
            <w:fldChar w:fldCharType="begin"/>
          </w:r>
          <w:r>
            <w:instrText xml:space="preserve"> PAGEREF _Toc20436 \h </w:instrText>
          </w:r>
          <w:r>
            <w:fldChar w:fldCharType="separate"/>
          </w:r>
          <w:r>
            <w:t>17</w:t>
          </w:r>
          <w:r>
            <w:fldChar w:fldCharType="end"/>
          </w:r>
          <w:r>
            <w:fldChar w:fldCharType="end"/>
          </w:r>
        </w:p>
        <w:p w14:paraId="59CCF31D">
          <w:pPr>
            <w:pStyle w:val="13"/>
            <w:tabs>
              <w:tab w:val="right" w:leader="dot" w:pos="8888"/>
            </w:tabs>
            <w:spacing w:line="480" w:lineRule="exact"/>
            <w:ind w:left="0" w:leftChars="0"/>
          </w:pPr>
        </w:p>
        <w:p w14:paraId="6A5F09B7">
          <w:pPr>
            <w:spacing w:line="440" w:lineRule="exact"/>
          </w:pPr>
          <w:r>
            <w:rPr>
              <w:rFonts w:hint="eastAsia" w:ascii="宋体" w:hAnsi="宋体" w:cs="宋体"/>
              <w:bCs/>
            </w:rPr>
            <w:fldChar w:fldCharType="end"/>
          </w:r>
        </w:p>
      </w:sdtContent>
    </w:sdt>
    <w:p w14:paraId="3C0FB300">
      <w:pPr>
        <w:pStyle w:val="4"/>
        <w:bidi w:val="0"/>
        <w:ind w:left="0" w:leftChars="0" w:firstLine="0" w:firstLineChars="0"/>
        <w:jc w:val="center"/>
        <w:rPr>
          <w:rFonts w:ascii="华文中宋" w:hAnsi="华文中宋" w:eastAsia="华文中宋" w:cs="华文中宋"/>
          <w:kern w:val="0"/>
          <w:szCs w:val="44"/>
        </w:rPr>
      </w:pPr>
      <w:r>
        <w:rPr>
          <w:rFonts w:hint="eastAsia" w:asciiTheme="minorEastAsia" w:hAnsiTheme="minorEastAsia" w:eastAsiaTheme="minorEastAsia" w:cstheme="minorEastAsia"/>
          <w:b/>
          <w:bCs/>
          <w:szCs w:val="28"/>
        </w:rPr>
        <w:br w:type="page"/>
      </w:r>
      <w:bookmarkStart w:id="1" w:name="_Toc16020"/>
      <w:bookmarkStart w:id="2" w:name="_Toc13795"/>
      <w:r>
        <w:rPr>
          <w:rFonts w:hint="eastAsia" w:ascii="宋体" w:hAnsi="宋体" w:eastAsia="宋体" w:cs="宋体"/>
          <w:b/>
          <w:bCs/>
          <w:sz w:val="44"/>
          <w:szCs w:val="44"/>
        </w:rPr>
        <w:t>六安市叶集区人民医院（市六院）DRG 运营管理服务单一来源</w:t>
      </w:r>
      <w:bookmarkEnd w:id="1"/>
      <w:bookmarkEnd w:id="2"/>
      <w:r>
        <w:rPr>
          <w:rFonts w:hint="eastAsia" w:ascii="宋体" w:hAnsi="宋体" w:eastAsia="宋体" w:cs="宋体"/>
          <w:b/>
          <w:bCs/>
          <w:sz w:val="44"/>
          <w:szCs w:val="44"/>
        </w:rPr>
        <w:t>协商公告</w:t>
      </w:r>
    </w:p>
    <w:p w14:paraId="7C7D15E6">
      <w:pPr>
        <w:spacing w:line="560" w:lineRule="exact"/>
        <w:rPr>
          <w:rFonts w:ascii="黑体" w:hAnsi="黑体" w:eastAsia="黑体" w:cs="黑体"/>
          <w:sz w:val="28"/>
          <w:szCs w:val="28"/>
        </w:rPr>
      </w:pPr>
      <w:r>
        <w:rPr>
          <w:rFonts w:hint="eastAsia" w:ascii="黑体" w:hAnsi="黑体" w:eastAsia="黑体" w:cs="黑体"/>
          <w:sz w:val="28"/>
          <w:szCs w:val="28"/>
        </w:rPr>
        <w:t>一、项目信息</w:t>
      </w:r>
    </w:p>
    <w:p w14:paraId="498FD319">
      <w:pPr>
        <w:pStyle w:val="3"/>
        <w:spacing w:after="0"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1、采购人：</w:t>
      </w:r>
      <w:r>
        <w:rPr>
          <w:rFonts w:hint="eastAsia" w:ascii="仿宋" w:hAnsi="仿宋" w:eastAsia="仿宋" w:cs="仿宋"/>
          <w:sz w:val="28"/>
          <w:szCs w:val="28"/>
          <w:lang w:val="en-US" w:eastAsia="zh-CN"/>
        </w:rPr>
        <w:t>六安市叶集区人民医院（六安市第六人民医院）</w:t>
      </w:r>
    </w:p>
    <w:p w14:paraId="228F0935">
      <w:pPr>
        <w:pStyle w:val="3"/>
        <w:spacing w:after="0" w:line="560" w:lineRule="exact"/>
        <w:ind w:firstLine="560" w:firstLineChars="200"/>
        <w:rPr>
          <w:rFonts w:ascii="仿宋" w:hAnsi="仿宋" w:eastAsia="仿宋" w:cs="仿宋"/>
          <w:sz w:val="28"/>
          <w:szCs w:val="28"/>
        </w:rPr>
      </w:pPr>
      <w:r>
        <w:rPr>
          <w:rFonts w:hint="eastAsia" w:ascii="仿宋" w:hAnsi="仿宋" w:eastAsia="仿宋" w:cs="仿宋"/>
          <w:sz w:val="28"/>
          <w:szCs w:val="28"/>
        </w:rPr>
        <w:t>2、项目名称：</w:t>
      </w:r>
      <w:r>
        <w:rPr>
          <w:rFonts w:hint="eastAsia" w:ascii="仿宋" w:hAnsi="仿宋" w:eastAsia="仿宋" w:cs="仿宋"/>
          <w:color w:val="000000" w:themeColor="text1"/>
          <w:sz w:val="28"/>
          <w:szCs w:val="28"/>
          <w:highlight w:val="none"/>
          <w14:textFill>
            <w14:solidFill>
              <w14:schemeClr w14:val="tx1"/>
            </w14:solidFill>
          </w14:textFill>
        </w:rPr>
        <w:t>六安市叶集区人民医院（市六院）DRG 运营管理服务</w:t>
      </w:r>
      <w:r>
        <w:rPr>
          <w:rFonts w:hint="eastAsia" w:ascii="仿宋" w:hAnsi="仿宋" w:eastAsia="仿宋" w:cs="仿宋"/>
          <w:sz w:val="28"/>
          <w:szCs w:val="28"/>
        </w:rPr>
        <w:t>（项目编号：</w:t>
      </w:r>
      <w:r>
        <w:rPr>
          <w:rFonts w:hint="eastAsia" w:ascii="仿宋" w:hAnsi="仿宋" w:eastAsia="仿宋" w:cs="仿宋"/>
          <w:sz w:val="28"/>
          <w:szCs w:val="28"/>
          <w:lang w:eastAsia="zh-CN"/>
        </w:rPr>
        <w:t>LASYJQRMYY-XXK2025-11</w:t>
      </w:r>
      <w:r>
        <w:rPr>
          <w:rFonts w:hint="eastAsia" w:ascii="仿宋" w:hAnsi="仿宋" w:eastAsia="仿宋" w:cs="仿宋"/>
          <w:sz w:val="28"/>
          <w:szCs w:val="28"/>
        </w:rPr>
        <w:t>）</w:t>
      </w:r>
    </w:p>
    <w:p w14:paraId="4B45B3EB">
      <w:pPr>
        <w:pStyle w:val="3"/>
        <w:spacing w:after="0" w:line="560" w:lineRule="exact"/>
        <w:ind w:firstLine="560" w:firstLineChars="200"/>
        <w:rPr>
          <w:rFonts w:ascii="仿宋" w:hAnsi="仿宋" w:eastAsia="仿宋" w:cs="仿宋"/>
          <w:sz w:val="28"/>
          <w:szCs w:val="28"/>
        </w:rPr>
      </w:pPr>
      <w:r>
        <w:rPr>
          <w:rFonts w:hint="eastAsia" w:ascii="仿宋" w:hAnsi="仿宋" w:eastAsia="仿宋" w:cs="仿宋"/>
          <w:sz w:val="28"/>
          <w:szCs w:val="28"/>
        </w:rPr>
        <w:t>3、项目类型：服务类</w:t>
      </w:r>
    </w:p>
    <w:p w14:paraId="077C278A">
      <w:pPr>
        <w:pStyle w:val="3"/>
        <w:spacing w:after="0" w:line="560" w:lineRule="exact"/>
        <w:ind w:firstLine="560" w:firstLineChars="200"/>
        <w:rPr>
          <w:rFonts w:ascii="仿宋" w:hAnsi="仿宋" w:eastAsia="仿宋" w:cs="仿宋"/>
          <w:sz w:val="28"/>
          <w:szCs w:val="28"/>
        </w:rPr>
      </w:pPr>
      <w:r>
        <w:rPr>
          <w:rFonts w:hint="eastAsia" w:ascii="仿宋" w:hAnsi="仿宋" w:eastAsia="仿宋" w:cs="仿宋"/>
          <w:sz w:val="28"/>
          <w:szCs w:val="28"/>
        </w:rPr>
        <w:t>4、拟采购服务的说明：</w:t>
      </w:r>
    </w:p>
    <w:p w14:paraId="4316D24B">
      <w:pPr>
        <w:pStyle w:val="3"/>
        <w:spacing w:after="0"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5、拟采购服务的预算金额：</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万元</w:t>
      </w:r>
    </w:p>
    <w:p w14:paraId="123D8E6C">
      <w:pPr>
        <w:keepNext w:val="0"/>
        <w:keepLines w:val="0"/>
        <w:pageBreakBefore w:val="0"/>
        <w:widowControl w:val="0"/>
        <w:kinsoku/>
        <w:wordWrap w:val="0"/>
        <w:overflowPunct/>
        <w:topLinePunct w:val="0"/>
        <w:autoSpaceDE/>
        <w:autoSpaceDN/>
        <w:bidi w:val="0"/>
        <w:adjustRightInd/>
        <w:snapToGrid/>
        <w:spacing w:line="560" w:lineRule="exact"/>
        <w:ind w:left="559" w:leftChars="266" w:firstLine="0" w:firstLine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6、</w:t>
      </w:r>
      <w:r>
        <w:rPr>
          <w:rFonts w:hint="eastAsia" w:ascii="仿宋" w:hAnsi="仿宋" w:eastAsia="仿宋" w:cs="仿宋"/>
          <w:color w:val="000000" w:themeColor="text1"/>
          <w:sz w:val="28"/>
          <w:szCs w:val="28"/>
          <w14:textFill>
            <w14:solidFill>
              <w14:schemeClr w14:val="tx1"/>
            </w14:solidFill>
          </w14:textFill>
        </w:rPr>
        <w:t>采用单一来源采购方式的原因及说明：</w:t>
      </w:r>
    </w:p>
    <w:p w14:paraId="26E9325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color w:val="auto"/>
          <w:sz w:val="28"/>
          <w:szCs w:val="28"/>
          <w:lang w:val="en-US" w:eastAsia="zh-CN"/>
        </w:rPr>
        <w:t>6.1系统知识产权与技术延续的法定唯一性。现有DRG系统的知识产权完全归属于东软集团股份有限公司，且该项业务目前由东软集团（上海）有限公司承接并提供持续服务与技术支持，作为法定唯一主体，可有效规避知识产权与系统兼容性风险。</w:t>
      </w:r>
      <w:r>
        <w:rPr>
          <w:rFonts w:hint="eastAsia" w:ascii="仿宋" w:hAnsi="仿宋" w:eastAsia="仿宋" w:cs="仿宋"/>
          <w:color w:val="auto"/>
          <w:sz w:val="28"/>
          <w:szCs w:val="28"/>
          <w:lang w:val="en-US" w:eastAsia="zh-CN"/>
        </w:rPr>
        <w:br w:type="textWrapping"/>
      </w:r>
      <w:r>
        <w:rPr>
          <w:rFonts w:hint="eastAsia" w:ascii="仿宋" w:hAnsi="仿宋" w:eastAsia="仿宋" w:cs="仿宋"/>
          <w:color w:val="auto"/>
          <w:sz w:val="28"/>
          <w:szCs w:val="28"/>
          <w:lang w:val="en-US" w:eastAsia="zh-CN"/>
        </w:rPr>
        <w:t xml:space="preserve">    6.2技术架构与数据对接的不可替代性。该系统与医院现有业务系统（HIS等）已构成深度耦合的专属技术生态。其他供应商无法在保障业务连续性与数据安全的前提下，实现同等级别的系统集成与数据交互。</w:t>
      </w:r>
      <w:r>
        <w:rPr>
          <w:rFonts w:hint="eastAsia" w:ascii="仿宋" w:hAnsi="仿宋" w:eastAsia="仿宋" w:cs="仿宋"/>
          <w:color w:val="FF0000"/>
          <w:sz w:val="28"/>
          <w:szCs w:val="28"/>
          <w:lang w:val="en-US" w:eastAsia="zh-CN"/>
        </w:rPr>
        <w:br w:type="textWrapping"/>
      </w:r>
      <w:r>
        <w:rPr>
          <w:rFonts w:hint="eastAsia" w:ascii="仿宋" w:hAnsi="仿宋" w:eastAsia="仿宋" w:cs="仿宋"/>
          <w:color w:val="FF0000"/>
          <w:sz w:val="28"/>
          <w:szCs w:val="28"/>
          <w:lang w:val="en-US" w:eastAsia="zh-CN"/>
        </w:rPr>
        <w:t xml:space="preserve">    </w:t>
      </w:r>
      <w:r>
        <w:rPr>
          <w:rFonts w:hint="eastAsia" w:ascii="仿宋" w:hAnsi="仿宋" w:eastAsia="仿宋" w:cs="仿宋"/>
          <w:color w:val="auto"/>
          <w:sz w:val="28"/>
          <w:szCs w:val="28"/>
        </w:rPr>
        <w:t>综上，根据《中华人民共和国政府采购法》三十一条第一款“只能从唯一供应商处采购”的规定，论证专家一致认定东软集团（上海）有限公司符合本项目单一来源采购供应商。</w:t>
      </w:r>
    </w:p>
    <w:p w14:paraId="73C0EF3B">
      <w:pPr>
        <w:spacing w:line="560" w:lineRule="exact"/>
        <w:rPr>
          <w:rFonts w:ascii="黑体" w:hAnsi="黑体" w:eastAsia="黑体" w:cs="黑体"/>
          <w:sz w:val="28"/>
          <w:szCs w:val="28"/>
        </w:rPr>
      </w:pPr>
      <w:r>
        <w:rPr>
          <w:rFonts w:hint="eastAsia" w:ascii="黑体" w:hAnsi="黑体" w:eastAsia="黑体" w:cs="黑体"/>
          <w:sz w:val="28"/>
          <w:szCs w:val="28"/>
        </w:rPr>
        <w:t>二、拟定供应商信息</w:t>
      </w:r>
    </w:p>
    <w:p w14:paraId="2F7EAB66">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1、名称：东软集团（上海）有限公司</w:t>
      </w:r>
    </w:p>
    <w:p w14:paraId="1DA67718">
      <w:pPr>
        <w:spacing w:line="560" w:lineRule="exact"/>
        <w:ind w:firstLine="560"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2、地址：上海市闵行区紫月路1000号1幢4层 </w:t>
      </w:r>
    </w:p>
    <w:p w14:paraId="43D5E8B5">
      <w:pPr>
        <w:spacing w:line="560" w:lineRule="exact"/>
        <w:jc w:val="left"/>
        <w:rPr>
          <w:rFonts w:ascii="黑体" w:hAnsi="黑体" w:eastAsia="黑体" w:cs="黑体"/>
          <w:sz w:val="28"/>
          <w:szCs w:val="28"/>
        </w:rPr>
      </w:pPr>
      <w:r>
        <w:rPr>
          <w:rFonts w:hint="eastAsia" w:ascii="黑体" w:hAnsi="黑体" w:eastAsia="黑体" w:cs="黑体"/>
          <w:sz w:val="28"/>
          <w:szCs w:val="28"/>
        </w:rPr>
        <w:t>三、</w:t>
      </w:r>
      <w:bookmarkStart w:id="68" w:name="_GoBack"/>
      <w:bookmarkEnd w:id="68"/>
      <w:r>
        <w:rPr>
          <w:rFonts w:hint="eastAsia" w:ascii="黑体" w:hAnsi="黑体" w:eastAsia="黑体" w:cs="黑体"/>
          <w:sz w:val="28"/>
          <w:szCs w:val="28"/>
        </w:rPr>
        <w:t>协商时间及方式</w:t>
      </w:r>
    </w:p>
    <w:p w14:paraId="42347042">
      <w:pPr>
        <w:spacing w:line="56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1、协商时间：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2025</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04</w:t>
      </w:r>
      <w:r>
        <w:rPr>
          <w:rFonts w:hint="eastAsia" w:ascii="仿宋" w:hAnsi="仿宋" w:eastAsia="仿宋" w:cs="仿宋"/>
          <w:color w:val="000000" w:themeColor="text1"/>
          <w:sz w:val="28"/>
          <w:szCs w:val="28"/>
          <w:highlight w:val="none"/>
          <w14:textFill>
            <w14:solidFill>
              <w14:schemeClr w14:val="tx1"/>
            </w14:solidFill>
          </w14:textFill>
        </w:rPr>
        <w:t>日</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下</w:t>
      </w:r>
      <w:r>
        <w:rPr>
          <w:rFonts w:hint="eastAsia" w:ascii="仿宋" w:hAnsi="仿宋" w:eastAsia="仿宋" w:cs="仿宋"/>
          <w:color w:val="000000" w:themeColor="text1"/>
          <w:sz w:val="28"/>
          <w:szCs w:val="28"/>
          <w:highlight w:val="none"/>
          <w14:textFill>
            <w14:solidFill>
              <w14:schemeClr w14:val="tx1"/>
            </w14:solidFill>
          </w14:textFill>
        </w:rPr>
        <w:t>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15时</w:t>
      </w:r>
      <w:r>
        <w:rPr>
          <w:rFonts w:hint="eastAsia" w:ascii="仿宋" w:hAnsi="仿宋" w:eastAsia="仿宋" w:cs="仿宋"/>
          <w:color w:val="000000" w:themeColor="text1"/>
          <w:sz w:val="28"/>
          <w:szCs w:val="28"/>
          <w:highlight w:val="none"/>
          <w14:textFill>
            <w14:solidFill>
              <w14:schemeClr w14:val="tx1"/>
            </w14:solidFill>
          </w14:textFill>
        </w:rPr>
        <w:t>整</w:t>
      </w:r>
    </w:p>
    <w:p w14:paraId="503E6B59">
      <w:pPr>
        <w:widowControl/>
        <w:shd w:val="clear" w:color="auto" w:fill="FFFFFF"/>
        <w:spacing w:line="560" w:lineRule="exact"/>
        <w:ind w:left="559" w:leftChars="266" w:firstLine="0" w:firstLineChars="0"/>
        <w:jc w:val="left"/>
        <w:rPr>
          <w:rFonts w:hint="default" w:ascii="仿宋" w:hAnsi="仿宋" w:eastAsia="仿宋" w:cs="仿宋"/>
          <w:sz w:val="28"/>
          <w:szCs w:val="28"/>
          <w:lang w:val="en-US" w:eastAsia="zh-CN"/>
        </w:rPr>
      </w:pPr>
      <w:r>
        <w:rPr>
          <w:rFonts w:hint="eastAsia" w:ascii="仿宋" w:hAnsi="仿宋" w:eastAsia="仿宋" w:cs="仿宋"/>
          <w:sz w:val="28"/>
          <w:szCs w:val="28"/>
        </w:rPr>
        <w:t>2、协商方式</w:t>
      </w:r>
      <w:r>
        <w:rPr>
          <w:rFonts w:hint="eastAsia" w:ascii="仿宋" w:hAnsi="仿宋" w:eastAsia="仿宋" w:cs="仿宋"/>
          <w:sz w:val="28"/>
          <w:szCs w:val="28"/>
          <w:lang w:val="en-US" w:eastAsia="zh-CN"/>
        </w:rPr>
        <w:t>:现场</w:t>
      </w:r>
      <w:r>
        <w:rPr>
          <w:rFonts w:hint="eastAsia" w:ascii="仿宋" w:hAnsi="仿宋" w:eastAsia="仿宋" w:cs="仿宋"/>
          <w:sz w:val="28"/>
          <w:szCs w:val="28"/>
        </w:rPr>
        <w:t>协商</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3、协商地点：六安市叶集区人民医院10楼会议室。</w:t>
      </w:r>
    </w:p>
    <w:p w14:paraId="49CFB2F5">
      <w:pPr>
        <w:spacing w:line="560" w:lineRule="exact"/>
        <w:rPr>
          <w:rFonts w:ascii="黑体" w:hAnsi="黑体" w:eastAsia="黑体" w:cs="黑体"/>
          <w:sz w:val="28"/>
          <w:szCs w:val="28"/>
        </w:rPr>
      </w:pPr>
      <w:r>
        <w:rPr>
          <w:rFonts w:hint="eastAsia" w:ascii="黑体" w:hAnsi="黑体" w:eastAsia="黑体" w:cs="黑体"/>
          <w:sz w:val="28"/>
          <w:szCs w:val="28"/>
        </w:rPr>
        <w:t>四、其他事宜</w:t>
      </w:r>
    </w:p>
    <w:p w14:paraId="091F9E11">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560" w:firstLineChars="200"/>
        <w:textAlignment w:val="auto"/>
      </w:pPr>
      <w:r>
        <w:rPr>
          <w:rFonts w:hint="eastAsia" w:ascii="仿宋" w:hAnsi="仿宋" w:eastAsia="仿宋" w:cs="仿宋"/>
          <w:sz w:val="28"/>
          <w:szCs w:val="28"/>
        </w:rPr>
        <w:t>响应保证金：本项目无需提供。</w:t>
      </w:r>
    </w:p>
    <w:p w14:paraId="4049B77F">
      <w:pPr>
        <w:widowControl/>
        <w:shd w:val="clear" w:color="auto" w:fill="FFFFFF"/>
        <w:spacing w:line="560" w:lineRule="exact"/>
        <w:rPr>
          <w:rFonts w:ascii="黑体" w:hAnsi="黑体" w:eastAsia="黑体" w:cs="黑体"/>
          <w:sz w:val="28"/>
          <w:szCs w:val="28"/>
        </w:rPr>
      </w:pPr>
      <w:r>
        <w:rPr>
          <w:rFonts w:hint="eastAsia" w:ascii="黑体" w:hAnsi="黑体" w:eastAsia="黑体" w:cs="黑体"/>
          <w:sz w:val="28"/>
          <w:szCs w:val="28"/>
        </w:rPr>
        <w:t>五、联系方式</w:t>
      </w:r>
    </w:p>
    <w:p w14:paraId="7FD5E343">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1.采购人：六安市叶集区人民医院（六安市第六人民医院）</w:t>
      </w:r>
    </w:p>
    <w:p w14:paraId="77329A57">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联系地址：六安市叶集区兴叶大道与民强北路交叉口</w:t>
      </w:r>
    </w:p>
    <w:p w14:paraId="1A985E0E">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联系电话：0564-6488599</w:t>
      </w:r>
    </w:p>
    <w:p w14:paraId="07B7621E">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2.采购代理机构：安徽同方工程咨询有限公司 </w:t>
      </w:r>
    </w:p>
    <w:p w14:paraId="651B842C">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联 系 人：</w:t>
      </w:r>
      <w:r>
        <w:rPr>
          <w:rFonts w:hint="eastAsia" w:ascii="仿宋" w:hAnsi="仿宋" w:eastAsia="仿宋" w:cs="仿宋"/>
          <w:sz w:val="28"/>
          <w:szCs w:val="28"/>
          <w:lang w:val="en-US" w:eastAsia="zh-CN"/>
        </w:rPr>
        <w:t>胡</w:t>
      </w:r>
      <w:r>
        <w:rPr>
          <w:rFonts w:hint="eastAsia" w:ascii="仿宋" w:hAnsi="仿宋" w:eastAsia="仿宋" w:cs="仿宋"/>
          <w:sz w:val="28"/>
          <w:szCs w:val="28"/>
        </w:rPr>
        <w:t>工</w:t>
      </w:r>
    </w:p>
    <w:p w14:paraId="5A3929D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联系地址：六安市东城路上东阳光城6号楼5楼</w:t>
      </w:r>
    </w:p>
    <w:p w14:paraId="481A2FE9">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联系电话：0564-3284233</w:t>
      </w:r>
    </w:p>
    <w:p w14:paraId="4394F788">
      <w:pPr>
        <w:pStyle w:val="2"/>
        <w:spacing w:after="0" w:line="560" w:lineRule="exact"/>
        <w:ind w:firstLine="560" w:firstLineChars="200"/>
        <w:jc w:val="left"/>
        <w:rPr>
          <w:rFonts w:ascii="仿宋" w:hAnsi="仿宋" w:eastAsia="仿宋" w:cs="仿宋"/>
          <w:sz w:val="28"/>
          <w:szCs w:val="28"/>
        </w:rPr>
      </w:pPr>
    </w:p>
    <w:p w14:paraId="64BB78B5">
      <w:pPr>
        <w:spacing w:line="560" w:lineRule="exact"/>
        <w:ind w:firstLine="560" w:firstLineChars="200"/>
        <w:jc w:val="right"/>
        <w:rPr>
          <w:rFonts w:ascii="仿宋" w:hAnsi="仿宋" w:eastAsia="仿宋" w:cs="仿宋"/>
          <w:sz w:val="28"/>
          <w:szCs w:val="28"/>
        </w:rPr>
      </w:pPr>
    </w:p>
    <w:p w14:paraId="115A5006">
      <w:pPr>
        <w:widowControl/>
        <w:shd w:val="clear" w:color="auto" w:fill="FFFFFF"/>
        <w:spacing w:line="560" w:lineRule="exact"/>
        <w:ind w:firstLine="560" w:firstLineChars="200"/>
        <w:jc w:val="right"/>
        <w:rPr>
          <w:rFonts w:ascii="仿宋" w:hAnsi="仿宋" w:eastAsia="仿宋" w:cs="仿宋"/>
          <w:bCs/>
          <w:color w:val="333333"/>
          <w:kern w:val="0"/>
          <w:sz w:val="28"/>
          <w:szCs w:val="28"/>
        </w:rPr>
      </w:pPr>
    </w:p>
    <w:p w14:paraId="7EC44DE2">
      <w:pPr>
        <w:spacing w:line="560" w:lineRule="exact"/>
        <w:ind w:firstLine="560" w:firstLineChars="200"/>
        <w:jc w:val="righ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六安市叶集区人民医院（六安市第六人民医院）</w:t>
      </w:r>
    </w:p>
    <w:p w14:paraId="370E551B">
      <w:pPr>
        <w:spacing w:line="560" w:lineRule="exact"/>
        <w:ind w:firstLine="560" w:firstLineChars="200"/>
        <w:jc w:val="right"/>
        <w:rPr>
          <w:rFonts w:ascii="仿宋" w:hAnsi="仿宋" w:eastAsia="仿宋" w:cs="仿宋"/>
          <w:sz w:val="28"/>
          <w:szCs w:val="28"/>
        </w:rPr>
      </w:pPr>
      <w:r>
        <w:rPr>
          <w:rFonts w:hint="eastAsia" w:ascii="仿宋" w:hAnsi="仿宋" w:eastAsia="仿宋" w:cs="仿宋"/>
          <w:sz w:val="28"/>
          <w:szCs w:val="28"/>
        </w:rPr>
        <w:t>安徽同方工程咨询有限公司</w:t>
      </w:r>
    </w:p>
    <w:p w14:paraId="020D8AAD">
      <w:pPr>
        <w:spacing w:line="560" w:lineRule="exact"/>
        <w:ind w:firstLine="560" w:firstLineChars="200"/>
        <w:jc w:val="right"/>
        <w:rPr>
          <w:rFonts w:ascii="仿宋" w:hAnsi="仿宋" w:eastAsia="仿宋" w:cs="仿宋"/>
          <w:sz w:val="28"/>
          <w:szCs w:val="28"/>
        </w:rPr>
      </w:pP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25日</w:t>
      </w:r>
    </w:p>
    <w:p w14:paraId="78D1B62E">
      <w:pPr>
        <w:pStyle w:val="2"/>
      </w:pPr>
    </w:p>
    <w:p w14:paraId="2A06C127">
      <w:pPr>
        <w:pStyle w:val="2"/>
        <w:ind w:firstLine="0"/>
      </w:pPr>
    </w:p>
    <w:p w14:paraId="7F0D35EA">
      <w:pPr>
        <w:pStyle w:val="2"/>
        <w:ind w:firstLine="0"/>
      </w:pPr>
    </w:p>
    <w:p w14:paraId="5CCBAE07">
      <w:pPr>
        <w:rPr>
          <w:rFonts w:ascii="宋体" w:hAnsi="宋体" w:cs="宋体"/>
          <w:sz w:val="24"/>
        </w:rPr>
      </w:pPr>
      <w:bookmarkStart w:id="3" w:name="_Toc30348"/>
      <w:r>
        <w:rPr>
          <w:rFonts w:hint="eastAsia" w:ascii="宋体" w:hAnsi="宋体" w:cs="宋体"/>
          <w:sz w:val="24"/>
        </w:rPr>
        <w:br w:type="page"/>
      </w:r>
    </w:p>
    <w:p w14:paraId="411D62DC">
      <w:pPr>
        <w:pStyle w:val="5"/>
        <w:spacing w:before="120" w:beforeLines="50" w:after="120" w:afterLines="50" w:line="560" w:lineRule="exact"/>
        <w:jc w:val="center"/>
        <w:rPr>
          <w:rFonts w:asciiTheme="minorEastAsia" w:hAnsiTheme="minorEastAsia" w:eastAsiaTheme="minorEastAsia" w:cstheme="minorEastAsia"/>
          <w:b/>
          <w:bCs/>
          <w:kern w:val="0"/>
          <w:sz w:val="24"/>
          <w:u w:val="single"/>
        </w:rPr>
      </w:pPr>
      <w:r>
        <w:rPr>
          <w:rFonts w:hint="eastAsia" w:ascii="宋体" w:hAnsi="宋体" w:eastAsia="宋体" w:cs="宋体"/>
          <w:sz w:val="24"/>
          <w:szCs w:val="24"/>
        </w:rPr>
        <w:t>第一章 单一来源采购邀请书</w:t>
      </w:r>
      <w:bookmarkEnd w:id="0"/>
      <w:bookmarkEnd w:id="3"/>
    </w:p>
    <w:p w14:paraId="6C6975E8">
      <w:pPr>
        <w:spacing w:line="80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u w:val="single"/>
        </w:rPr>
        <w:t>东软集团（上海）有限公司</w:t>
      </w:r>
      <w:r>
        <w:rPr>
          <w:rFonts w:hint="eastAsia" w:asciiTheme="minorEastAsia" w:hAnsiTheme="minorEastAsia" w:eastAsiaTheme="minorEastAsia" w:cstheme="minorEastAsia"/>
          <w:b/>
          <w:bCs/>
          <w:kern w:val="0"/>
          <w:sz w:val="24"/>
        </w:rPr>
        <w:t>：</w:t>
      </w:r>
    </w:p>
    <w:p w14:paraId="2DA540E3">
      <w:pPr>
        <w:spacing w:line="8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u w:val="single"/>
        </w:rPr>
        <w:t>六安市叶集区人民医院（市六院）DRG 运营管理服务</w:t>
      </w:r>
      <w:r>
        <w:rPr>
          <w:rFonts w:hint="eastAsia" w:asciiTheme="minorEastAsia" w:hAnsiTheme="minorEastAsia" w:eastAsiaTheme="minorEastAsia" w:cstheme="minorEastAsia"/>
          <w:kern w:val="0"/>
          <w:sz w:val="24"/>
        </w:rPr>
        <w:t>采用单一来源方式进行采购，贵公司为本项目的唯一供应商。请贵公司按照本项目采购文件的要求，编制单一来源响应文件，在供应商须知前附表规定的递交截止时间前</w:t>
      </w:r>
      <w:r>
        <w:rPr>
          <w:rFonts w:hint="eastAsia" w:asciiTheme="minorEastAsia" w:hAnsiTheme="minorEastAsia" w:eastAsiaTheme="minorEastAsia" w:cstheme="minorEastAsia"/>
          <w:kern w:val="0"/>
          <w:sz w:val="24"/>
          <w:lang w:val="en-US" w:eastAsia="zh-CN"/>
        </w:rPr>
        <w:t>现场</w:t>
      </w:r>
      <w:r>
        <w:rPr>
          <w:rFonts w:hint="eastAsia" w:asciiTheme="minorEastAsia" w:hAnsiTheme="minorEastAsia" w:eastAsiaTheme="minorEastAsia" w:cstheme="minorEastAsia"/>
          <w:kern w:val="0"/>
          <w:sz w:val="24"/>
        </w:rPr>
        <w:t>递交，并就本项目的商务、技术和报价等有关问题，进行进一步的协商。</w:t>
      </w:r>
    </w:p>
    <w:p w14:paraId="545E3C54">
      <w:pPr>
        <w:spacing w:line="800" w:lineRule="exact"/>
        <w:rPr>
          <w:rFonts w:asciiTheme="minorEastAsia" w:hAnsiTheme="minorEastAsia" w:eastAsiaTheme="minorEastAsia" w:cstheme="minorEastAsia"/>
          <w:kern w:val="0"/>
          <w:sz w:val="24"/>
        </w:rPr>
      </w:pPr>
    </w:p>
    <w:p w14:paraId="1DD0248D">
      <w:pPr>
        <w:wordWrap w:val="0"/>
        <w:spacing w:line="800" w:lineRule="exact"/>
        <w:ind w:right="480" w:firstLine="3240" w:firstLineChars="1350"/>
        <w:jc w:val="righ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2025</w:t>
      </w:r>
      <w:r>
        <w:rPr>
          <w:rFonts w:hint="eastAsia" w:asciiTheme="minorEastAsia" w:hAnsiTheme="minorEastAsia" w:eastAsiaTheme="minorEastAsia" w:cstheme="minorEastAsia"/>
          <w:kern w:val="0"/>
          <w:sz w:val="24"/>
        </w:rPr>
        <w:t>年</w:t>
      </w:r>
      <w:r>
        <w:rPr>
          <w:rFonts w:hint="eastAsia" w:asciiTheme="minorEastAsia" w:hAnsiTheme="minorEastAsia" w:eastAsiaTheme="minorEastAsia" w:cstheme="minorEastAsia"/>
          <w:kern w:val="0"/>
          <w:sz w:val="24"/>
          <w:lang w:val="en-US" w:eastAsia="zh-CN"/>
        </w:rPr>
        <w:t>11</w:t>
      </w:r>
      <w:r>
        <w:rPr>
          <w:rFonts w:hint="eastAsia" w:asciiTheme="minorEastAsia" w:hAnsiTheme="minorEastAsia" w:eastAsiaTheme="minorEastAsia" w:cstheme="minorEastAsia"/>
          <w:kern w:val="0"/>
          <w:sz w:val="24"/>
        </w:rPr>
        <w:t>月</w:t>
      </w:r>
      <w:r>
        <w:rPr>
          <w:rFonts w:hint="eastAsia" w:asciiTheme="minorEastAsia" w:hAnsiTheme="minorEastAsia" w:eastAsiaTheme="minorEastAsia" w:cstheme="minorEastAsia"/>
          <w:kern w:val="0"/>
          <w:sz w:val="24"/>
          <w:lang w:val="en-US" w:eastAsia="zh-CN"/>
        </w:rPr>
        <w:t>25日</w:t>
      </w:r>
    </w:p>
    <w:p w14:paraId="591CD944">
      <w:pPr>
        <w:pStyle w:val="24"/>
        <w:spacing w:before="120" w:beforeLines="50" w:after="120" w:afterLines="50" w:line="5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br w:type="page"/>
      </w:r>
      <w:bookmarkStart w:id="4" w:name="_Toc533314945"/>
      <w:bookmarkStart w:id="5" w:name="_Toc25424"/>
      <w:bookmarkStart w:id="6" w:name="_Toc18671550"/>
      <w:r>
        <w:rPr>
          <w:rStyle w:val="30"/>
          <w:rFonts w:hint="eastAsia" w:ascii="宋体" w:hAnsi="宋体" w:eastAsia="宋体" w:cs="宋体"/>
          <w:b/>
          <w:sz w:val="24"/>
          <w:szCs w:val="24"/>
        </w:rPr>
        <w:t xml:space="preserve">第二章  </w:t>
      </w:r>
      <w:bookmarkEnd w:id="4"/>
      <w:bookmarkStart w:id="7" w:name="_Toc272163828"/>
      <w:bookmarkStart w:id="8" w:name="_Toc533314946"/>
      <w:r>
        <w:rPr>
          <w:rStyle w:val="30"/>
          <w:rFonts w:hint="eastAsia" w:ascii="宋体" w:hAnsi="宋体" w:eastAsia="宋体" w:cs="宋体"/>
          <w:b/>
          <w:sz w:val="24"/>
          <w:szCs w:val="24"/>
        </w:rPr>
        <w:t>供应商须知前附表</w:t>
      </w:r>
      <w:bookmarkEnd w:id="5"/>
      <w:bookmarkEnd w:id="6"/>
    </w:p>
    <w:bookmarkEnd w:id="7"/>
    <w:bookmarkEnd w:id="8"/>
    <w:tbl>
      <w:tblPr>
        <w:tblStyle w:val="16"/>
        <w:tblW w:w="907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10"/>
        <w:gridCol w:w="1234"/>
        <w:gridCol w:w="7135"/>
      </w:tblGrid>
      <w:tr w14:paraId="41AFE7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486" w:hRule="atLeast"/>
          <w:jc w:val="center"/>
        </w:trPr>
        <w:tc>
          <w:tcPr>
            <w:tcW w:w="710" w:type="dxa"/>
            <w:vAlign w:val="center"/>
          </w:tcPr>
          <w:p w14:paraId="345DDE93">
            <w:pPr>
              <w:spacing w:line="48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8369" w:type="dxa"/>
            <w:gridSpan w:val="2"/>
            <w:vAlign w:val="center"/>
          </w:tcPr>
          <w:p w14:paraId="27A5558F">
            <w:pPr>
              <w:spacing w:line="48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内      容</w:t>
            </w:r>
          </w:p>
        </w:tc>
      </w:tr>
      <w:tr w14:paraId="1959C7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53" w:hRule="atLeast"/>
          <w:jc w:val="center"/>
        </w:trPr>
        <w:tc>
          <w:tcPr>
            <w:tcW w:w="710" w:type="dxa"/>
            <w:vAlign w:val="center"/>
          </w:tcPr>
          <w:p w14:paraId="623719B8">
            <w:pPr>
              <w:spacing w:line="4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8369" w:type="dxa"/>
            <w:gridSpan w:val="2"/>
            <w:vAlign w:val="center"/>
          </w:tcPr>
          <w:p w14:paraId="4E28B2A9">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项目名称：六安市叶集区人民医院（市六院）DRG 运营管理服务</w:t>
            </w:r>
          </w:p>
          <w:p w14:paraId="6F914A8F">
            <w:pPr>
              <w:spacing w:line="480" w:lineRule="exac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lang w:eastAsia="zh-CN"/>
              </w:rPr>
              <w:t>LASYJQRMYY-XXK2025-11</w:t>
            </w:r>
          </w:p>
          <w:p w14:paraId="19D1F64F">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项目预算：</w:t>
            </w:r>
            <w:r>
              <w:rPr>
                <w:rFonts w:hint="eastAsia" w:asciiTheme="minorEastAsia" w:hAnsiTheme="minorEastAsia" w:eastAsiaTheme="minorEastAsia" w:cstheme="minorEastAsia"/>
                <w:sz w:val="24"/>
                <w:lang w:val="en-US" w:eastAsia="zh-CN"/>
              </w:rPr>
              <w:t>7.00</w:t>
            </w:r>
            <w:r>
              <w:rPr>
                <w:rFonts w:hint="eastAsia" w:asciiTheme="minorEastAsia" w:hAnsiTheme="minorEastAsia" w:eastAsiaTheme="minorEastAsia" w:cstheme="minorEastAsia"/>
                <w:bCs/>
                <w:sz w:val="24"/>
              </w:rPr>
              <w:t>万元</w:t>
            </w:r>
          </w:p>
        </w:tc>
      </w:tr>
      <w:tr w14:paraId="2A2022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53" w:hRule="atLeast"/>
          <w:jc w:val="center"/>
        </w:trPr>
        <w:tc>
          <w:tcPr>
            <w:tcW w:w="710" w:type="dxa"/>
            <w:vAlign w:val="center"/>
          </w:tcPr>
          <w:p w14:paraId="029D7E05">
            <w:pPr>
              <w:spacing w:line="4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8369" w:type="dxa"/>
            <w:gridSpan w:val="2"/>
            <w:vAlign w:val="center"/>
          </w:tcPr>
          <w:p w14:paraId="269AB939">
            <w:pPr>
              <w:spacing w:line="480" w:lineRule="exac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bCs/>
                <w:sz w:val="24"/>
              </w:rPr>
              <w:t>采购人名称：</w:t>
            </w:r>
            <w:r>
              <w:rPr>
                <w:rFonts w:hint="eastAsia" w:asciiTheme="minorEastAsia" w:hAnsiTheme="minorEastAsia" w:eastAsiaTheme="minorEastAsia" w:cstheme="minorEastAsia"/>
                <w:bCs/>
                <w:sz w:val="24"/>
                <w:lang w:val="en-US" w:eastAsia="zh-CN"/>
              </w:rPr>
              <w:t>六安市叶集区人民医院（六安市第六人民医院）</w:t>
            </w:r>
          </w:p>
          <w:p w14:paraId="1DD2F907">
            <w:pPr>
              <w:spacing w:line="480" w:lineRule="exact"/>
              <w:rPr>
                <w:rFonts w:ascii="宋体" w:hAnsi="宋体" w:cs="宋体"/>
                <w:color w:val="000000" w:themeColor="text1"/>
                <w:sz w:val="24"/>
                <w14:textFill>
                  <w14:solidFill>
                    <w14:schemeClr w14:val="tx1"/>
                  </w14:solidFill>
                </w14:textFill>
              </w:rPr>
            </w:pPr>
            <w:r>
              <w:rPr>
                <w:rFonts w:hint="eastAsia" w:asciiTheme="minorEastAsia" w:hAnsiTheme="minorEastAsia" w:eastAsiaTheme="minorEastAsia" w:cstheme="minorEastAsia"/>
                <w:sz w:val="24"/>
              </w:rPr>
              <w:t>地      址：六安市叶集区兴叶大道与民强北路交叉口</w:t>
            </w:r>
            <w:r>
              <w:rPr>
                <w:rFonts w:hint="eastAsia" w:ascii="宋体" w:hAnsi="宋体" w:cs="宋体"/>
                <w:color w:val="000000" w:themeColor="text1"/>
                <w:sz w:val="24"/>
                <w14:textFill>
                  <w14:solidFill>
                    <w14:schemeClr w14:val="tx1"/>
                  </w14:solidFill>
                </w14:textFill>
              </w:rPr>
              <w:t xml:space="preserve">       </w:t>
            </w:r>
          </w:p>
          <w:p w14:paraId="6A463CF1">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联 系 方式：0564-6488599  </w:t>
            </w:r>
          </w:p>
        </w:tc>
      </w:tr>
      <w:tr w14:paraId="5F79BD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406" w:hRule="atLeast"/>
          <w:jc w:val="center"/>
        </w:trPr>
        <w:tc>
          <w:tcPr>
            <w:tcW w:w="710" w:type="dxa"/>
            <w:vAlign w:val="center"/>
          </w:tcPr>
          <w:p w14:paraId="28901197">
            <w:pPr>
              <w:spacing w:line="4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8369" w:type="dxa"/>
            <w:gridSpan w:val="2"/>
            <w:vAlign w:val="center"/>
          </w:tcPr>
          <w:p w14:paraId="21403DED">
            <w:pPr>
              <w:spacing w:line="48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代理机构名称：安徽同方工程咨询有限公司</w:t>
            </w:r>
            <w:r>
              <w:rPr>
                <w:rFonts w:asciiTheme="minorEastAsia" w:hAnsiTheme="minorEastAsia" w:eastAsiaTheme="minorEastAsia" w:cstheme="minorEastAsia"/>
                <w:bCs/>
                <w:sz w:val="24"/>
              </w:rPr>
              <w:t xml:space="preserve"> </w:t>
            </w:r>
          </w:p>
          <w:p w14:paraId="39CAB8A0">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       址：六安市东城路上东阳光城6号楼5楼</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 xml:space="preserve">          </w:t>
            </w:r>
          </w:p>
          <w:p w14:paraId="09C3711E">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 系 方 式：0564-3284233</w:t>
            </w:r>
          </w:p>
        </w:tc>
      </w:tr>
      <w:tr w14:paraId="1733B1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3" w:hRule="atLeast"/>
          <w:jc w:val="center"/>
        </w:trPr>
        <w:tc>
          <w:tcPr>
            <w:tcW w:w="710" w:type="dxa"/>
            <w:vAlign w:val="center"/>
          </w:tcPr>
          <w:p w14:paraId="5C4F3A45">
            <w:pPr>
              <w:spacing w:line="48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4</w:t>
            </w:r>
          </w:p>
        </w:tc>
        <w:tc>
          <w:tcPr>
            <w:tcW w:w="8369" w:type="dxa"/>
            <w:gridSpan w:val="2"/>
            <w:vAlign w:val="center"/>
          </w:tcPr>
          <w:p w14:paraId="08B2B18B">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项目类别：服务类</w:t>
            </w:r>
          </w:p>
        </w:tc>
      </w:tr>
      <w:tr w14:paraId="1942B2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603" w:hRule="atLeast"/>
          <w:jc w:val="center"/>
        </w:trPr>
        <w:tc>
          <w:tcPr>
            <w:tcW w:w="710" w:type="dxa"/>
            <w:vAlign w:val="center"/>
          </w:tcPr>
          <w:p w14:paraId="217B79EF">
            <w:pPr>
              <w:spacing w:line="48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5</w:t>
            </w:r>
          </w:p>
        </w:tc>
        <w:tc>
          <w:tcPr>
            <w:tcW w:w="8369" w:type="dxa"/>
            <w:gridSpan w:val="2"/>
            <w:vAlign w:val="center"/>
          </w:tcPr>
          <w:p w14:paraId="2B912132">
            <w:pPr>
              <w:spacing w:line="48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highlight w:val="none"/>
              </w:rPr>
              <w:t>服务时限：一年（合同每年一签，次年合同经采购人考核合格后方能续签，最多续签二次，合同金额不变）。</w:t>
            </w:r>
          </w:p>
        </w:tc>
      </w:tr>
      <w:tr w14:paraId="20EF7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5" w:hRule="atLeast"/>
          <w:jc w:val="center"/>
        </w:trPr>
        <w:tc>
          <w:tcPr>
            <w:tcW w:w="710" w:type="dxa"/>
            <w:vAlign w:val="center"/>
          </w:tcPr>
          <w:p w14:paraId="47500399">
            <w:pPr>
              <w:spacing w:line="48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6</w:t>
            </w:r>
          </w:p>
        </w:tc>
        <w:tc>
          <w:tcPr>
            <w:tcW w:w="1234" w:type="dxa"/>
            <w:vAlign w:val="center"/>
          </w:tcPr>
          <w:p w14:paraId="598C5828">
            <w:pPr>
              <w:spacing w:line="48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highlight w:val="none"/>
              </w:rPr>
              <w:t>付款方式：</w:t>
            </w:r>
          </w:p>
        </w:tc>
        <w:tc>
          <w:tcPr>
            <w:tcW w:w="7135" w:type="dxa"/>
            <w:vAlign w:val="center"/>
          </w:tcPr>
          <w:p w14:paraId="4496D866">
            <w:pPr>
              <w:spacing w:line="480" w:lineRule="exact"/>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lang w:val="en-US" w:eastAsia="zh-CN"/>
              </w:rPr>
              <w:t>验收合格后由甲方支付合同价款的100%。</w:t>
            </w:r>
            <w:r>
              <w:rPr>
                <w:rFonts w:hint="eastAsia" w:asciiTheme="minorEastAsia" w:hAnsiTheme="minorEastAsia" w:eastAsiaTheme="minorEastAsia" w:cstheme="minorEastAsia"/>
                <w:sz w:val="24"/>
                <w:lang w:val="en-US" w:eastAsia="zh-CN"/>
              </w:rPr>
              <w:br w:type="textWrapping"/>
            </w:r>
            <w:r>
              <w:rPr>
                <w:rFonts w:hint="eastAsia" w:asciiTheme="minorEastAsia" w:hAnsiTheme="minorEastAsia" w:eastAsiaTheme="minorEastAsia" w:cstheme="minorEastAsia"/>
                <w:b/>
                <w:bCs/>
                <w:sz w:val="24"/>
              </w:rPr>
              <w:t>（供应商提交的响应文件中如有关于付款条件的表述与单一来源文</w:t>
            </w:r>
          </w:p>
          <w:p w14:paraId="4AB53CB2">
            <w:pPr>
              <w:spacing w:line="48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件规定不符，将被视为实质性不响应，将导致响应无效）</w:t>
            </w:r>
          </w:p>
        </w:tc>
      </w:tr>
      <w:tr w14:paraId="259B4C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61" w:hRule="atLeast"/>
          <w:jc w:val="center"/>
        </w:trPr>
        <w:tc>
          <w:tcPr>
            <w:tcW w:w="710" w:type="dxa"/>
            <w:vAlign w:val="center"/>
          </w:tcPr>
          <w:p w14:paraId="1B0A4F15">
            <w:pPr>
              <w:spacing w:line="48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7</w:t>
            </w:r>
          </w:p>
        </w:tc>
        <w:tc>
          <w:tcPr>
            <w:tcW w:w="8369" w:type="dxa"/>
            <w:gridSpan w:val="2"/>
            <w:vAlign w:val="center"/>
          </w:tcPr>
          <w:p w14:paraId="68415160">
            <w:pPr>
              <w:spacing w:line="48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履约保证金：1、成交供应商在签订合同时应向采购人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提交合同总价</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%的履约保证金</w:t>
            </w:r>
            <w:r>
              <w:rPr>
                <w:rFonts w:hint="eastAsia" w:asciiTheme="minorEastAsia" w:hAnsiTheme="minorEastAsia" w:eastAsiaTheme="minorEastAsia" w:cstheme="minorEastAsia"/>
                <w:sz w:val="24"/>
              </w:rPr>
              <w:t>（最高缴纳比例不得超过合同金额的2.5%）。</w:t>
            </w:r>
          </w:p>
          <w:p w14:paraId="6664E4BC">
            <w:pPr>
              <w:spacing w:line="48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2、成交供应商可以通过转账、网银支付、汇票、支票、保证保险、担保保函、银行履约保函等方式提交履约保证金。</w:t>
            </w:r>
          </w:p>
          <w:p w14:paraId="247DC614">
            <w:pPr>
              <w:pStyle w:val="2"/>
              <w:spacing w:after="0" w:line="480" w:lineRule="exact"/>
              <w:ind w:firstLine="0"/>
            </w:pPr>
            <w:r>
              <w:rPr>
                <w:rFonts w:hint="eastAsia"/>
              </w:rPr>
              <w:t>3、项目验收结束后应及时退还履约保证金。</w:t>
            </w:r>
          </w:p>
        </w:tc>
      </w:tr>
      <w:tr w14:paraId="521F1B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61" w:hRule="atLeast"/>
          <w:jc w:val="center"/>
        </w:trPr>
        <w:tc>
          <w:tcPr>
            <w:tcW w:w="710" w:type="dxa"/>
            <w:vAlign w:val="center"/>
          </w:tcPr>
          <w:p w14:paraId="6E3C2C6F">
            <w:pPr>
              <w:spacing w:line="48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8</w:t>
            </w:r>
          </w:p>
        </w:tc>
        <w:tc>
          <w:tcPr>
            <w:tcW w:w="8369" w:type="dxa"/>
            <w:gridSpan w:val="2"/>
            <w:vAlign w:val="center"/>
          </w:tcPr>
          <w:p w14:paraId="20E80CA2">
            <w:pPr>
              <w:spacing w:line="48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响应有效期：公示结束60日内。</w:t>
            </w:r>
          </w:p>
        </w:tc>
      </w:tr>
      <w:tr w14:paraId="4CE65E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14:paraId="1E996D54">
            <w:pPr>
              <w:spacing w:line="48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w:t>
            </w:r>
          </w:p>
        </w:tc>
        <w:tc>
          <w:tcPr>
            <w:tcW w:w="8369" w:type="dxa"/>
            <w:gridSpan w:val="2"/>
            <w:vAlign w:val="center"/>
          </w:tcPr>
          <w:p w14:paraId="5A75DBCA">
            <w:pPr>
              <w:spacing w:line="480" w:lineRule="exact"/>
              <w:rPr>
                <w:rFonts w:hint="eastAsia" w:eastAsia="宋体" w:asciiTheme="minorEastAsia" w:hAnsiTheme="minorEastAsia" w:cstheme="minorEastAsia"/>
                <w:sz w:val="24"/>
                <w:lang w:eastAsia="zh-CN"/>
              </w:rPr>
            </w:pPr>
            <w:r>
              <w:rPr>
                <w:rFonts w:hint="eastAsia" w:asciiTheme="minorEastAsia" w:hAnsiTheme="minorEastAsia" w:eastAsiaTheme="minorEastAsia" w:cstheme="minorEastAsia"/>
                <w:sz w:val="24"/>
              </w:rPr>
              <w:t>勘察现场</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 xml:space="preserve">请各供应商联系采购单位自行勘踏。 </w:t>
            </w:r>
          </w:p>
        </w:tc>
      </w:tr>
      <w:tr w14:paraId="068EDB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14:paraId="50681754">
            <w:pPr>
              <w:spacing w:line="4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8369" w:type="dxa"/>
            <w:gridSpan w:val="2"/>
            <w:vAlign w:val="center"/>
          </w:tcPr>
          <w:p w14:paraId="133A3B5A">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单一来源采购响应文件份数及要求：正本1份、副本</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份，胶装成册、密封提交。</w:t>
            </w:r>
          </w:p>
        </w:tc>
      </w:tr>
      <w:tr w14:paraId="69B3D6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14:paraId="57440A28">
            <w:pPr>
              <w:spacing w:line="48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w:t>
            </w:r>
          </w:p>
        </w:tc>
        <w:tc>
          <w:tcPr>
            <w:tcW w:w="8369" w:type="dxa"/>
            <w:gridSpan w:val="2"/>
            <w:vAlign w:val="center"/>
          </w:tcPr>
          <w:p w14:paraId="4F775839">
            <w:pPr>
              <w:pStyle w:val="28"/>
              <w:pBdr>
                <w:bottom w:val="none" w:color="auto" w:sz="0" w:space="0"/>
              </w:pBdr>
              <w:tabs>
                <w:tab w:val="left" w:pos="420"/>
              </w:tabs>
              <w:adjustRightInd/>
              <w:spacing w:line="46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质疑与答疑：1、供应商如果对采购文件内容有相关疑问，可以发邮件向采购代理机构提出（疑问文件以文档形式提供，如WORD文档等）。代理机构邮箱地址为1610920774@qq.com；</w:t>
            </w:r>
          </w:p>
          <w:p w14:paraId="160C7495">
            <w:pPr>
              <w:spacing w:line="480" w:lineRule="exact"/>
              <w:rPr>
                <w:rFonts w:hint="eastAsia" w:eastAsia="宋体" w:asciiTheme="minorEastAsia" w:hAnsiTheme="minorEastAsia" w:cstheme="minorEastAsia"/>
                <w:sz w:val="24"/>
                <w:lang w:eastAsia="zh-CN"/>
              </w:rPr>
            </w:pPr>
            <w:r>
              <w:rPr>
                <w:rFonts w:hint="eastAsia" w:asciiTheme="minorEastAsia" w:hAnsiTheme="minorEastAsia" w:eastAsiaTheme="minorEastAsia" w:cstheme="minorEastAsia"/>
                <w:kern w:val="2"/>
                <w:sz w:val="24"/>
                <w:szCs w:val="24"/>
                <w:lang w:val="en-US" w:eastAsia="zh-CN" w:bidi="ar-SA"/>
              </w:rPr>
              <w:t>2、提交成功后疑问文件即传至采购人（采购代理机构），后续答疑以书面形式通知。</w:t>
            </w:r>
          </w:p>
        </w:tc>
      </w:tr>
      <w:tr w14:paraId="074709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364" w:hRule="atLeast"/>
          <w:jc w:val="center"/>
        </w:trPr>
        <w:tc>
          <w:tcPr>
            <w:tcW w:w="710" w:type="dxa"/>
            <w:vAlign w:val="center"/>
          </w:tcPr>
          <w:p w14:paraId="63BFA46F">
            <w:pPr>
              <w:spacing w:line="48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12</w:t>
            </w:r>
          </w:p>
        </w:tc>
        <w:tc>
          <w:tcPr>
            <w:tcW w:w="8369" w:type="dxa"/>
            <w:gridSpan w:val="2"/>
            <w:vAlign w:val="center"/>
          </w:tcPr>
          <w:p w14:paraId="1BFA8D01">
            <w:pPr>
              <w:spacing w:line="48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协商时间及方式：</w:t>
            </w:r>
          </w:p>
          <w:p w14:paraId="170BE1AF">
            <w:pPr>
              <w:spacing w:line="48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1、协商时间：</w:t>
            </w:r>
            <w:r>
              <w:rPr>
                <w:rFonts w:hint="eastAsia" w:asciiTheme="minorEastAsia" w:hAnsiTheme="minorEastAsia" w:eastAsiaTheme="minorEastAsia" w:cstheme="minorEastAsia"/>
                <w:bCs/>
                <w:sz w:val="24"/>
                <w:u w:val="single"/>
                <w:lang w:val="en-US" w:eastAsia="zh-CN"/>
              </w:rPr>
              <w:t>2025</w:t>
            </w:r>
            <w:r>
              <w:rPr>
                <w:rFonts w:hint="eastAsia" w:asciiTheme="minorEastAsia" w:hAnsiTheme="minorEastAsia" w:eastAsiaTheme="minorEastAsia" w:cstheme="minorEastAsia"/>
                <w:bCs/>
                <w:sz w:val="24"/>
              </w:rPr>
              <w:t>年</w:t>
            </w:r>
            <w:r>
              <w:rPr>
                <w:rFonts w:hint="eastAsia" w:asciiTheme="minorEastAsia" w:hAnsiTheme="minorEastAsia" w:eastAsiaTheme="minorEastAsia" w:cstheme="minorEastAsia"/>
                <w:bCs/>
                <w:sz w:val="24"/>
                <w:u w:val="single"/>
                <w:lang w:val="en-US" w:eastAsia="zh-CN"/>
              </w:rPr>
              <w:t>12</w:t>
            </w:r>
            <w:r>
              <w:rPr>
                <w:rFonts w:hint="eastAsia" w:asciiTheme="minorEastAsia" w:hAnsiTheme="minorEastAsia" w:eastAsiaTheme="minorEastAsia" w:cstheme="minorEastAsia"/>
                <w:bCs/>
                <w:sz w:val="24"/>
              </w:rPr>
              <w:t>月</w:t>
            </w:r>
            <w:r>
              <w:rPr>
                <w:rFonts w:hint="eastAsia" w:asciiTheme="minorEastAsia" w:hAnsiTheme="minorEastAsia" w:eastAsiaTheme="minorEastAsia" w:cstheme="minorEastAsia"/>
                <w:bCs/>
                <w:sz w:val="24"/>
                <w:u w:val="single"/>
                <w:lang w:val="en-US" w:eastAsia="zh-CN"/>
              </w:rPr>
              <w:t>04</w:t>
            </w:r>
            <w:r>
              <w:rPr>
                <w:rFonts w:hint="eastAsia" w:asciiTheme="minorEastAsia" w:hAnsiTheme="minorEastAsia" w:eastAsiaTheme="minorEastAsia" w:cstheme="minorEastAsia"/>
                <w:bCs/>
                <w:sz w:val="24"/>
              </w:rPr>
              <w:t>日</w:t>
            </w:r>
            <w:r>
              <w:rPr>
                <w:rFonts w:hint="eastAsia" w:asciiTheme="minorEastAsia" w:hAnsiTheme="minorEastAsia" w:eastAsiaTheme="minorEastAsia" w:cstheme="minorEastAsia"/>
                <w:bCs/>
                <w:sz w:val="24"/>
                <w:u w:val="single"/>
                <w:lang w:val="en-US" w:eastAsia="zh-CN"/>
              </w:rPr>
              <w:t>下</w:t>
            </w:r>
            <w:r>
              <w:rPr>
                <w:rFonts w:hint="eastAsia" w:asciiTheme="minorEastAsia" w:hAnsiTheme="minorEastAsia" w:eastAsiaTheme="minorEastAsia" w:cstheme="minorEastAsia"/>
                <w:bCs/>
                <w:sz w:val="24"/>
              </w:rPr>
              <w:t>午</w:t>
            </w:r>
            <w:r>
              <w:rPr>
                <w:rFonts w:hint="eastAsia" w:asciiTheme="minorEastAsia" w:hAnsiTheme="minorEastAsia" w:eastAsiaTheme="minorEastAsia" w:cstheme="minorEastAsia"/>
                <w:bCs/>
                <w:sz w:val="24"/>
                <w:u w:val="single"/>
                <w:lang w:val="en-US" w:eastAsia="zh-CN"/>
              </w:rPr>
              <w:t>15时</w:t>
            </w:r>
            <w:r>
              <w:rPr>
                <w:rFonts w:hint="eastAsia" w:asciiTheme="minorEastAsia" w:hAnsiTheme="minorEastAsia" w:eastAsiaTheme="minorEastAsia" w:cstheme="minorEastAsia"/>
                <w:bCs/>
                <w:sz w:val="24"/>
              </w:rPr>
              <w:t>整</w:t>
            </w:r>
          </w:p>
          <w:p w14:paraId="318FDA3F">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2、协商方式：</w:t>
            </w:r>
            <w:r>
              <w:rPr>
                <w:rFonts w:hint="eastAsia" w:asciiTheme="minorEastAsia" w:hAnsiTheme="minorEastAsia" w:eastAsiaTheme="minorEastAsia" w:cstheme="minorEastAsia"/>
                <w:bCs/>
                <w:sz w:val="24"/>
                <w:lang w:val="en-US" w:eastAsia="zh-CN"/>
              </w:rPr>
              <w:t>现场</w:t>
            </w:r>
            <w:r>
              <w:rPr>
                <w:rFonts w:hint="eastAsia" w:asciiTheme="minorEastAsia" w:hAnsiTheme="minorEastAsia" w:eastAsiaTheme="minorEastAsia" w:cstheme="minorEastAsia"/>
                <w:bCs/>
                <w:sz w:val="24"/>
              </w:rPr>
              <w:t>协商</w:t>
            </w:r>
          </w:p>
        </w:tc>
      </w:tr>
      <w:tr w14:paraId="48DA4E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14:paraId="1B6A37E1">
            <w:pPr>
              <w:spacing w:line="48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13</w:t>
            </w:r>
          </w:p>
        </w:tc>
        <w:tc>
          <w:tcPr>
            <w:tcW w:w="8369" w:type="dxa"/>
            <w:gridSpan w:val="2"/>
            <w:vAlign w:val="center"/>
          </w:tcPr>
          <w:p w14:paraId="4B020497">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响应文件递交截止时间：同本项目协商时间。</w:t>
            </w:r>
          </w:p>
        </w:tc>
      </w:tr>
      <w:tr w14:paraId="2B5780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14:paraId="1EB999A3">
            <w:pPr>
              <w:spacing w:line="480" w:lineRule="exact"/>
              <w:jc w:val="center"/>
              <w:rPr>
                <w:rFonts w:hint="eastAsia" w:asciiTheme="minorEastAsia" w:hAnsiTheme="minorEastAsia" w:eastAsiaTheme="minorEastAsia" w:cstheme="minorEastAsia"/>
                <w:sz w:val="24"/>
                <w:lang w:eastAsia="zh-CN"/>
              </w:rPr>
            </w:pPr>
            <w:bookmarkStart w:id="9" w:name="_Hlk450145192"/>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4</w:t>
            </w:r>
          </w:p>
        </w:tc>
        <w:tc>
          <w:tcPr>
            <w:tcW w:w="8369" w:type="dxa"/>
            <w:gridSpan w:val="2"/>
            <w:vAlign w:val="center"/>
          </w:tcPr>
          <w:p w14:paraId="723FE84C">
            <w:pPr>
              <w:pStyle w:val="28"/>
              <w:numPr>
                <w:ilvl w:val="0"/>
                <w:numId w:val="1"/>
              </w:numPr>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存在以下不良信用记录情形之一的，不得推荐为成交候选供应商：</w:t>
            </w:r>
          </w:p>
          <w:p w14:paraId="77D300D5">
            <w:pPr>
              <w:pStyle w:val="2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31DFEA7A">
            <w:pPr>
              <w:pStyle w:val="2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（2）供应商被市场监督管理部门列入企业经营异常名录的；</w:t>
            </w:r>
          </w:p>
          <w:p w14:paraId="7C46EE77">
            <w:pPr>
              <w:pStyle w:val="2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3A265FBA">
            <w:pPr>
              <w:pStyle w:val="2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15FF2234">
            <w:pPr>
              <w:pStyle w:val="2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2、联合体供应商，联合体任何一方存在上述不良信用记录的，视同联合体存在不良信用记录。</w:t>
            </w:r>
          </w:p>
          <w:p w14:paraId="22FB4B19">
            <w:pPr>
              <w:pStyle w:val="2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3、不良信用记录查询渠道如下：</w:t>
            </w:r>
          </w:p>
          <w:p w14:paraId="75A5455E">
            <w:pPr>
              <w:pStyle w:val="2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4623697A">
            <w:pPr>
              <w:pStyle w:val="2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（2）企业经营异常名录：信用中国官网（www.creditchina.gov.cn）</w:t>
            </w:r>
          </w:p>
          <w:p w14:paraId="528440D7">
            <w:pPr>
              <w:pStyle w:val="2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2AAB92AD">
            <w:pPr>
              <w:pStyle w:val="2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（4）政府采购严重违法失信行为记录名单：中国政府采购官网（www.ccgp.gov.cn）</w:t>
            </w:r>
          </w:p>
          <w:p w14:paraId="5D1C91B5">
            <w:pPr>
              <w:spacing w:line="480" w:lineRule="exact"/>
              <w:rPr>
                <w:rFonts w:asciiTheme="minorEastAsia" w:hAnsiTheme="minorEastAsia" w:eastAsiaTheme="minorEastAsia" w:cstheme="minorEastAsia"/>
                <w:sz w:val="24"/>
              </w:rPr>
            </w:pPr>
            <w:r>
              <w:rPr>
                <w:rFonts w:hint="eastAsia" w:ascii="宋体" w:hAnsi="宋体"/>
                <w:bCs/>
                <w:kern w:val="2"/>
                <w:szCs w:val="24"/>
              </w:rPr>
              <w:t>4</w:t>
            </w:r>
            <w:r>
              <w:rPr>
                <w:rFonts w:hint="eastAsia" w:ascii="宋体" w:hAnsi="宋体" w:eastAsia="宋体" w:cs="Times New Roman"/>
                <w:bCs/>
                <w:kern w:val="2"/>
                <w:sz w:val="24"/>
                <w:szCs w:val="24"/>
                <w:lang w:val="en-US" w:eastAsia="zh-CN" w:bidi="ar-SA"/>
              </w:rPr>
              <w:t>、联合体投标的，所有联合体成员均须加盖公章后制成扫描件上传。如有虚假，采购人将取消其成交资格并上报相关监督管理部门按有关规定处理。</w:t>
            </w:r>
          </w:p>
        </w:tc>
      </w:tr>
      <w:tr w14:paraId="177F0E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14:paraId="441D14BC">
            <w:pPr>
              <w:spacing w:line="4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8369" w:type="dxa"/>
            <w:gridSpan w:val="2"/>
            <w:vAlign w:val="center"/>
          </w:tcPr>
          <w:p w14:paraId="08ED8C28">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递交响应文件注意事项：响应文件必须在询价截止时间前递交。</w:t>
            </w:r>
          </w:p>
        </w:tc>
      </w:tr>
      <w:tr w14:paraId="4EE55B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84" w:hRule="atLeast"/>
          <w:jc w:val="center"/>
        </w:trPr>
        <w:tc>
          <w:tcPr>
            <w:tcW w:w="710" w:type="dxa"/>
            <w:vAlign w:val="center"/>
          </w:tcPr>
          <w:p w14:paraId="56B0B9F8">
            <w:pPr>
              <w:tabs>
                <w:tab w:val="left" w:pos="441"/>
              </w:tabs>
              <w:spacing w:line="48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16</w:t>
            </w:r>
          </w:p>
        </w:tc>
        <w:tc>
          <w:tcPr>
            <w:tcW w:w="8369" w:type="dxa"/>
            <w:gridSpan w:val="2"/>
            <w:vAlign w:val="center"/>
          </w:tcPr>
          <w:p w14:paraId="70E415F5">
            <w:pPr>
              <w:spacing w:line="500" w:lineRule="exact"/>
              <w:jc w:val="left"/>
              <w:rPr>
                <w:rFonts w:hint="eastAsia" w:ascii="宋体" w:hAnsi="宋体" w:eastAsia="宋体" w:cs="宋体"/>
                <w:b w:val="0"/>
                <w:bCs w:val="0"/>
                <w:color w:val="auto"/>
                <w:sz w:val="24"/>
                <w:lang w:val="en-US" w:eastAsia="zh-CN"/>
              </w:rPr>
            </w:pPr>
            <w:r>
              <w:rPr>
                <w:rFonts w:hint="eastAsia" w:ascii="宋体" w:hAnsi="宋体" w:eastAsia="宋体" w:cs="宋体"/>
                <w:b/>
                <w:bCs/>
                <w:color w:val="auto"/>
                <w:sz w:val="24"/>
                <w:lang w:val="en-US" w:eastAsia="zh-CN"/>
              </w:rPr>
              <w:t>1、支付方</w:t>
            </w:r>
            <w:r>
              <w:rPr>
                <w:rFonts w:hint="eastAsia" w:ascii="宋体" w:hAnsi="宋体" w:eastAsia="宋体" w:cs="宋体"/>
                <w:b w:val="0"/>
                <w:bCs w:val="0"/>
                <w:color w:val="auto"/>
                <w:sz w:val="24"/>
                <w:lang w:val="en-US" w:eastAsia="zh-CN"/>
              </w:rPr>
              <w:t>：</w:t>
            </w:r>
            <w:r>
              <w:rPr>
                <w:rFonts w:hint="eastAsia" w:ascii="宋体" w:hAnsi="宋体" w:cs="宋体"/>
                <w:b w:val="0"/>
                <w:bCs w:val="0"/>
                <w:color w:val="auto"/>
                <w:sz w:val="24"/>
                <w:lang w:val="en-US" w:eastAsia="zh-CN"/>
              </w:rPr>
              <w:t>□</w:t>
            </w:r>
            <w:r>
              <w:rPr>
                <w:rFonts w:hint="eastAsia" w:ascii="宋体" w:hAnsi="宋体" w:eastAsia="宋体" w:cs="宋体"/>
                <w:b w:val="0"/>
                <w:bCs w:val="0"/>
                <w:color w:val="auto"/>
                <w:sz w:val="24"/>
                <w:lang w:val="en-US" w:eastAsia="zh-CN"/>
              </w:rPr>
              <w:t xml:space="preserve">采购人  </w:t>
            </w:r>
            <w:r>
              <w:rPr>
                <w:rFonts w:hint="eastAsia" w:ascii="宋体" w:hAnsi="宋体" w:cs="宋体"/>
                <w:b w:val="0"/>
                <w:bCs w:val="0"/>
                <w:color w:val="auto"/>
                <w:sz w:val="24"/>
                <w:lang w:val="en-US" w:eastAsia="zh-CN"/>
              </w:rPr>
              <w:t>☑</w:t>
            </w:r>
            <w:r>
              <w:rPr>
                <w:rFonts w:hint="eastAsia" w:ascii="宋体" w:hAnsi="宋体" w:eastAsia="宋体" w:cs="宋体"/>
                <w:b w:val="0"/>
                <w:bCs w:val="0"/>
                <w:color w:val="auto"/>
                <w:sz w:val="24"/>
                <w:lang w:val="en-US" w:eastAsia="zh-CN"/>
              </w:rPr>
              <w:t>成交供应商</w:t>
            </w:r>
          </w:p>
          <w:p w14:paraId="63AE20C3">
            <w:pPr>
              <w:spacing w:line="500" w:lineRule="exact"/>
              <w:jc w:val="left"/>
              <w:rPr>
                <w:rFonts w:hint="default" w:ascii="宋体" w:hAnsi="宋体" w:eastAsia="宋体" w:cs="宋体"/>
                <w:b w:val="0"/>
                <w:bCs w:val="0"/>
                <w:color w:val="auto"/>
                <w:sz w:val="24"/>
                <w:lang w:val="en-US" w:eastAsia="zh-CN"/>
              </w:rPr>
            </w:pPr>
            <w:r>
              <w:rPr>
                <w:rFonts w:hint="eastAsia" w:ascii="宋体" w:hAnsi="宋体" w:eastAsia="宋体" w:cs="宋体"/>
                <w:b/>
                <w:bCs/>
                <w:color w:val="auto"/>
                <w:sz w:val="24"/>
                <w:lang w:val="en-US" w:eastAsia="zh-CN"/>
              </w:rPr>
              <w:t>2、收费标准：</w:t>
            </w:r>
            <w:r>
              <w:rPr>
                <w:rFonts w:hint="eastAsia" w:ascii="宋体" w:hAnsi="宋体" w:cs="宋体"/>
                <w:b w:val="0"/>
                <w:bCs w:val="0"/>
                <w:color w:val="000000" w:themeColor="text1"/>
                <w:sz w:val="24"/>
                <w:lang w:val="en-US" w:eastAsia="zh-CN"/>
                <w14:textFill>
                  <w14:solidFill>
                    <w14:schemeClr w14:val="tx1"/>
                  </w14:solidFill>
                </w14:textFill>
              </w:rPr>
              <w:t>本项目为固定收费4000.00元。</w:t>
            </w:r>
          </w:p>
          <w:p w14:paraId="4C5B243B">
            <w:pPr>
              <w:spacing w:line="500" w:lineRule="exact"/>
              <w:jc w:val="left"/>
              <w:rPr>
                <w:rFonts w:hint="eastAsia" w:ascii="宋体" w:hAnsi="宋体" w:eastAsia="宋体" w:cs="宋体"/>
                <w:b w:val="0"/>
                <w:bCs w:val="0"/>
                <w:color w:val="auto"/>
                <w:sz w:val="24"/>
                <w:lang w:val="en-US" w:eastAsia="zh-CN"/>
              </w:rPr>
            </w:pPr>
            <w:r>
              <w:rPr>
                <w:rFonts w:hint="eastAsia" w:ascii="宋体" w:hAnsi="宋体" w:eastAsia="宋体" w:cs="宋体"/>
                <w:b/>
                <w:bCs/>
                <w:color w:val="auto"/>
                <w:sz w:val="24"/>
                <w:lang w:val="en-US" w:eastAsia="zh-CN"/>
              </w:rPr>
              <w:t>3、收取方式：</w:t>
            </w:r>
            <w:r>
              <w:rPr>
                <w:rFonts w:hint="eastAsia" w:ascii="宋体" w:hAnsi="宋体" w:eastAsia="宋体" w:cs="宋体"/>
                <w:b w:val="0"/>
                <w:bCs w:val="0"/>
                <w:color w:val="auto"/>
                <w:sz w:val="24"/>
                <w:lang w:val="en-US" w:eastAsia="zh-CN"/>
              </w:rPr>
              <w:t>银行转账。</w:t>
            </w:r>
          </w:p>
          <w:p w14:paraId="4324D28F">
            <w:pPr>
              <w:spacing w:line="500" w:lineRule="exact"/>
              <w:jc w:val="left"/>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4、代理服务费缴纳账户：</w:t>
            </w:r>
          </w:p>
          <w:p w14:paraId="46F6FC10">
            <w:pPr>
              <w:spacing w:line="500" w:lineRule="exact"/>
              <w:jc w:val="left"/>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 xml:space="preserve">户名：安徽同方工程咨询有限公司 </w:t>
            </w:r>
          </w:p>
          <w:p w14:paraId="43C0A4B3">
            <w:pPr>
              <w:spacing w:line="500" w:lineRule="exact"/>
              <w:jc w:val="left"/>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 xml:space="preserve">开户行：徽商银行六安解放路恒源支行 </w:t>
            </w:r>
          </w:p>
          <w:p w14:paraId="04C357C8">
            <w:pPr>
              <w:spacing w:line="500" w:lineRule="exact"/>
              <w:jc w:val="left"/>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账号：000000602003900000243</w:t>
            </w:r>
          </w:p>
          <w:p w14:paraId="45421459">
            <w:pPr>
              <w:pStyle w:val="2"/>
              <w:ind w:left="0" w:leftChars="0" w:firstLine="0" w:firstLineChars="0"/>
              <w:rPr>
                <w:rFonts w:hint="eastAsia" w:ascii="Times New Roman" w:hAnsi="Times New Roman"/>
                <w:b w:val="0"/>
                <w:bCs w:val="0"/>
                <w:lang w:val="en-US" w:eastAsia="zh-CN"/>
              </w:rPr>
            </w:pPr>
            <w:r>
              <w:rPr>
                <w:rFonts w:hint="eastAsia" w:ascii="宋体" w:hAnsi="宋体" w:eastAsia="宋体" w:cs="宋体"/>
                <w:b/>
                <w:bCs/>
                <w:color w:val="auto"/>
                <w:sz w:val="24"/>
                <w:lang w:val="en-US" w:eastAsia="zh-CN"/>
              </w:rPr>
              <w:t>5、代理服务费详见成交结果公告；代理服务费须从成交供应商账户转出，并备注项目名称。</w:t>
            </w:r>
          </w:p>
        </w:tc>
      </w:tr>
    </w:tbl>
    <w:p w14:paraId="2A552B4E">
      <w:pPr>
        <w:pStyle w:val="2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bookmarkStart w:id="10" w:name="_Toc272163829"/>
      <w:bookmarkStart w:id="11" w:name="_Toc533314947"/>
    </w:p>
    <w:p w14:paraId="3F8240FE">
      <w:pPr>
        <w:pStyle w:val="5"/>
        <w:spacing w:before="240" w:beforeLines="100" w:after="0" w:line="600" w:lineRule="exact"/>
        <w:jc w:val="center"/>
        <w:rPr>
          <w:rFonts w:ascii="宋体" w:hAnsi="宋体" w:eastAsia="宋体" w:cs="宋体"/>
          <w:sz w:val="24"/>
          <w:szCs w:val="24"/>
        </w:rPr>
      </w:pPr>
      <w:bookmarkStart w:id="12" w:name="_Toc11917"/>
      <w:bookmarkStart w:id="13" w:name="_Toc18671555"/>
      <w:r>
        <w:rPr>
          <w:rFonts w:hint="eastAsia" w:ascii="宋体" w:hAnsi="宋体" w:eastAsia="宋体" w:cs="宋体"/>
          <w:sz w:val="24"/>
          <w:szCs w:val="24"/>
        </w:rPr>
        <w:t>第三章  供应商须知</w:t>
      </w:r>
      <w:bookmarkEnd w:id="9"/>
      <w:bookmarkEnd w:id="10"/>
      <w:bookmarkEnd w:id="11"/>
      <w:bookmarkEnd w:id="12"/>
      <w:bookmarkEnd w:id="13"/>
    </w:p>
    <w:p w14:paraId="3B69D36A">
      <w:pPr>
        <w:pStyle w:val="5"/>
        <w:spacing w:before="120" w:beforeLines="50" w:after="120" w:afterLines="50" w:line="500" w:lineRule="exact"/>
        <w:jc w:val="center"/>
        <w:rPr>
          <w:rFonts w:ascii="宋体" w:hAnsi="宋体" w:eastAsia="宋体" w:cs="宋体"/>
          <w:sz w:val="24"/>
          <w:szCs w:val="24"/>
        </w:rPr>
      </w:pPr>
      <w:bookmarkStart w:id="14" w:name="_Toc18671556"/>
      <w:bookmarkStart w:id="15" w:name="_Toc2350"/>
      <w:r>
        <w:rPr>
          <w:rFonts w:hint="eastAsia" w:ascii="宋体" w:hAnsi="宋体" w:eastAsia="宋体" w:cs="宋体"/>
          <w:sz w:val="24"/>
          <w:szCs w:val="24"/>
        </w:rPr>
        <w:t>一、总则</w:t>
      </w:r>
      <w:bookmarkEnd w:id="14"/>
      <w:bookmarkEnd w:id="15"/>
    </w:p>
    <w:p w14:paraId="35A8DF86">
      <w:pPr>
        <w:spacing w:line="500" w:lineRule="exact"/>
        <w:rPr>
          <w:rFonts w:asciiTheme="minorEastAsia" w:hAnsiTheme="minorEastAsia" w:eastAsiaTheme="minorEastAsia" w:cstheme="minorEastAsia"/>
          <w:b/>
          <w:sz w:val="24"/>
        </w:rPr>
      </w:pPr>
      <w:bookmarkStart w:id="16" w:name="_Toc533314952"/>
      <w:bookmarkStart w:id="17" w:name="_Toc272163834"/>
      <w:r>
        <w:rPr>
          <w:rFonts w:hint="eastAsia" w:asciiTheme="minorEastAsia" w:hAnsiTheme="minorEastAsia" w:eastAsiaTheme="minorEastAsia" w:cstheme="minorEastAsia"/>
          <w:b/>
          <w:sz w:val="24"/>
        </w:rPr>
        <w:t>1、适用范围</w:t>
      </w:r>
    </w:p>
    <w:p w14:paraId="67C4B99E">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1.1本文件是根据《中华人民共和国政府采购法》等相关法律、法规制订。</w:t>
      </w:r>
    </w:p>
    <w:p w14:paraId="3808BB28">
      <w:pPr>
        <w:tabs>
          <w:tab w:val="left" w:pos="0"/>
        </w:tabs>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1.2凡在六安市从事服务类政府采购单一来源项目，均适用本范本。</w:t>
      </w:r>
    </w:p>
    <w:p w14:paraId="0E8C011B">
      <w:pPr>
        <w:tabs>
          <w:tab w:val="left" w:pos="0"/>
        </w:tabs>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1.3本采购文件的最终解释权归项目单位所有。</w:t>
      </w:r>
    </w:p>
    <w:p w14:paraId="7AC2727B">
      <w:pPr>
        <w:spacing w:line="5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2、定义</w:t>
      </w:r>
    </w:p>
    <w:p w14:paraId="5C1B21EC">
      <w:pPr>
        <w:tabs>
          <w:tab w:val="left" w:pos="0"/>
        </w:tabs>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b/>
          <w:sz w:val="24"/>
        </w:rPr>
        <w:t>服务：</w:t>
      </w:r>
      <w:r>
        <w:rPr>
          <w:rFonts w:hint="eastAsia" w:asciiTheme="minorEastAsia" w:hAnsiTheme="minorEastAsia" w:eastAsiaTheme="minorEastAsia" w:cstheme="minorEastAsia"/>
          <w:sz w:val="24"/>
        </w:rPr>
        <w:t>既是指本范本适用于服务采购。</w:t>
      </w:r>
    </w:p>
    <w:p w14:paraId="7D8A7F1F">
      <w:pPr>
        <w:tabs>
          <w:tab w:val="left" w:pos="0"/>
        </w:tabs>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w:t>
      </w:r>
      <w:r>
        <w:rPr>
          <w:rFonts w:hint="eastAsia" w:asciiTheme="minorEastAsia" w:hAnsiTheme="minorEastAsia" w:eastAsiaTheme="minorEastAsia" w:cstheme="minorEastAsia"/>
          <w:b/>
          <w:sz w:val="24"/>
        </w:rPr>
        <w:t>采购人：</w:t>
      </w:r>
      <w:r>
        <w:rPr>
          <w:rFonts w:hint="eastAsia" w:asciiTheme="minorEastAsia" w:hAnsiTheme="minorEastAsia" w:eastAsiaTheme="minorEastAsia" w:cstheme="minorEastAsia"/>
          <w:sz w:val="24"/>
        </w:rPr>
        <w:t>是指具体负责和从事采购业务的集中采购机构、社会中介代理机构和项目单位（采购人）的总称。</w:t>
      </w:r>
    </w:p>
    <w:p w14:paraId="0F00ADC1">
      <w:pPr>
        <w:spacing w:line="5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3、供应商资格要求：</w:t>
      </w:r>
      <w:r>
        <w:rPr>
          <w:rFonts w:hint="eastAsia" w:asciiTheme="minorEastAsia" w:hAnsiTheme="minorEastAsia" w:eastAsiaTheme="minorEastAsia" w:cstheme="minorEastAsia"/>
          <w:sz w:val="24"/>
        </w:rPr>
        <w:t>符合政府采购法等法律法规的相关规定。</w:t>
      </w:r>
    </w:p>
    <w:p w14:paraId="1B12FEF9">
      <w:pPr>
        <w:spacing w:line="5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4、供应商参与采购活动的费用</w:t>
      </w:r>
    </w:p>
    <w:p w14:paraId="39EF2D1E">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4.1供应商必须自行承担所有与参加采购活动的有关费用。不论结果如何，采购人在任何情况下均无义务和责任承担这些费用。</w:t>
      </w:r>
    </w:p>
    <w:p w14:paraId="7BC8752C">
      <w:pPr>
        <w:spacing w:line="5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5、保密</w:t>
      </w:r>
    </w:p>
    <w:p w14:paraId="6772F7EC">
      <w:pPr>
        <w:tabs>
          <w:tab w:val="left" w:pos="0"/>
        </w:tabs>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参与采购活动的各方主体应对服务类单一来源采购文件和单一来源响应文件中的商业和技术等秘密保密，违者应对由此造成的后果承担法律责任。</w:t>
      </w:r>
    </w:p>
    <w:p w14:paraId="515EE66F">
      <w:pPr>
        <w:spacing w:line="5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6、语言文字</w:t>
      </w:r>
    </w:p>
    <w:p w14:paraId="6EEE0332">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单一来源及其响应文件使用的语言文字</w:t>
      </w:r>
      <w:r>
        <w:rPr>
          <w:rFonts w:hint="eastAsia" w:asciiTheme="minorEastAsia" w:hAnsiTheme="minorEastAsia" w:eastAsiaTheme="minorEastAsia" w:cstheme="minorEastAsia"/>
          <w:sz w:val="24"/>
          <w:lang w:eastAsia="zh-CN"/>
        </w:rPr>
        <w:t>以及</w:t>
      </w:r>
      <w:r>
        <w:rPr>
          <w:rFonts w:hint="eastAsia" w:asciiTheme="minorEastAsia" w:hAnsiTheme="minorEastAsia" w:eastAsiaTheme="minorEastAsia" w:cstheme="minorEastAsia"/>
          <w:sz w:val="24"/>
        </w:rPr>
        <w:t>供应商与采购人就单一来源采购相关事项的所有往来函电均须使用简体中文（部分专用术语需使用外文的除外）。</w:t>
      </w:r>
    </w:p>
    <w:p w14:paraId="7B95898D">
      <w:pPr>
        <w:spacing w:line="5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7、计量单位</w:t>
      </w:r>
    </w:p>
    <w:p w14:paraId="66D22B92">
      <w:pPr>
        <w:pStyle w:val="26"/>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所有计量均采用中华人民共和国法定计量单位。</w:t>
      </w:r>
    </w:p>
    <w:p w14:paraId="73AF0DBB">
      <w:pPr>
        <w:spacing w:line="5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8、勘察现场</w:t>
      </w:r>
    </w:p>
    <w:p w14:paraId="5A324745">
      <w:pPr>
        <w:tabs>
          <w:tab w:val="left" w:pos="0"/>
        </w:tabs>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采购人根据项目的具体情况，可以组织单一来源供应商现场考察。</w:t>
      </w:r>
    </w:p>
    <w:p w14:paraId="49404112">
      <w:pPr>
        <w:spacing w:line="5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9、偏离</w:t>
      </w:r>
    </w:p>
    <w:p w14:paraId="3DF81507">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若服务类单一来源采购文件允许响应文件偏离某些要求，偏离应当符合单一来源文件规定的偏离范围和幅度。</w:t>
      </w:r>
    </w:p>
    <w:p w14:paraId="4F8E45AD">
      <w:pPr>
        <w:pStyle w:val="5"/>
        <w:spacing w:before="120" w:beforeLines="50" w:after="120" w:afterLines="50" w:line="500" w:lineRule="exact"/>
        <w:jc w:val="center"/>
        <w:rPr>
          <w:rFonts w:ascii="宋体" w:hAnsi="宋体" w:eastAsia="宋体" w:cs="宋体"/>
          <w:sz w:val="24"/>
          <w:szCs w:val="24"/>
        </w:rPr>
      </w:pPr>
      <w:bookmarkStart w:id="18" w:name="_Toc18671557"/>
      <w:bookmarkStart w:id="19" w:name="_Toc12653"/>
      <w:r>
        <w:rPr>
          <w:rFonts w:hint="eastAsia" w:ascii="宋体" w:hAnsi="宋体" w:eastAsia="宋体" w:cs="宋体"/>
          <w:sz w:val="24"/>
          <w:szCs w:val="24"/>
        </w:rPr>
        <w:t>二、</w:t>
      </w:r>
      <w:bookmarkEnd w:id="18"/>
      <w:r>
        <w:rPr>
          <w:rFonts w:hint="eastAsia" w:ascii="宋体" w:hAnsi="宋体" w:eastAsia="宋体" w:cs="宋体"/>
          <w:sz w:val="24"/>
          <w:szCs w:val="24"/>
        </w:rPr>
        <w:t>服务类单一来源采购文件</w:t>
      </w:r>
      <w:bookmarkEnd w:id="19"/>
    </w:p>
    <w:p w14:paraId="73E2A6C6">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10采购文件构成</w:t>
      </w:r>
    </w:p>
    <w:p w14:paraId="3A548951">
      <w:pPr>
        <w:tabs>
          <w:tab w:val="left" w:pos="72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10.1采购文件包括：</w:t>
      </w:r>
    </w:p>
    <w:p w14:paraId="38BB60A1">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第一章  单一来源采购邀请书</w:t>
      </w:r>
    </w:p>
    <w:p w14:paraId="00057F3D">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第二章  供应商须知前附表</w:t>
      </w:r>
    </w:p>
    <w:p w14:paraId="27996D47">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第三章  供应商须知</w:t>
      </w:r>
    </w:p>
    <w:p w14:paraId="4B5D4EAC">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第四章  采购需求</w:t>
      </w:r>
    </w:p>
    <w:p w14:paraId="7CD65B2D">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第五章  单一来源响应文件</w:t>
      </w:r>
    </w:p>
    <w:p w14:paraId="3A75591F">
      <w:pPr>
        <w:tabs>
          <w:tab w:val="left" w:pos="72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10.2供应商应认真阅读和充分理解服务类单一来源采购文件中所有的内容。如果其单一来源响应文件没有满足服务类单一来源采购文件的有关要求，其风险由供应商自行承担。</w:t>
      </w:r>
    </w:p>
    <w:p w14:paraId="355283B0">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11、服务类单一来源采购文件的澄清和修改</w:t>
      </w:r>
    </w:p>
    <w:p w14:paraId="7667979D">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11.1采购人认为服务类单一来源采购文件未表述清楚的，可以进行澄清并书面通知供应商。</w:t>
      </w:r>
    </w:p>
    <w:p w14:paraId="029B3202">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11.2 供应商认为服务类单一来源采购文件表述不清的，可以要求采购人作出解释。 </w:t>
      </w:r>
    </w:p>
    <w:p w14:paraId="33F8B469">
      <w:pPr>
        <w:pStyle w:val="5"/>
        <w:spacing w:before="120" w:beforeLines="50" w:after="120" w:afterLines="50" w:line="480" w:lineRule="exact"/>
        <w:jc w:val="center"/>
        <w:rPr>
          <w:rFonts w:ascii="宋体" w:hAnsi="宋体" w:eastAsia="宋体" w:cs="宋体"/>
          <w:sz w:val="24"/>
          <w:szCs w:val="24"/>
        </w:rPr>
      </w:pPr>
      <w:bookmarkStart w:id="20" w:name="_Toc18671558"/>
      <w:bookmarkStart w:id="21" w:name="_Toc2231"/>
      <w:r>
        <w:rPr>
          <w:rFonts w:hint="eastAsia" w:ascii="宋体" w:hAnsi="宋体" w:eastAsia="宋体" w:cs="宋体"/>
          <w:sz w:val="24"/>
          <w:szCs w:val="24"/>
        </w:rPr>
        <w:t>三、单一来源响应文件的编制</w:t>
      </w:r>
      <w:bookmarkEnd w:id="20"/>
      <w:bookmarkEnd w:id="21"/>
    </w:p>
    <w:p w14:paraId="45FE978E">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12、单一来源响应文件构成</w:t>
      </w:r>
    </w:p>
    <w:p w14:paraId="1951A775">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12.1响应文件必须按照本文件规定的内容和顺序进行编写。</w:t>
      </w:r>
    </w:p>
    <w:p w14:paraId="30A7B805">
      <w:pPr>
        <w:tabs>
          <w:tab w:val="left" w:pos="72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12.2供应商必须对其响应文件的真实性与准确性负责。供应商一旦成为成交供应商，其响应文件将作为合同的重要组成部分。 </w:t>
      </w:r>
    </w:p>
    <w:p w14:paraId="2347A6A2">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12.3供应商不得在未征得采购人许可的情况下，擅自对服务类单一来源采购文件条款和技术要求进行修改。</w:t>
      </w:r>
    </w:p>
    <w:p w14:paraId="00AD7A91">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12.4证明供应商合格的资格文件</w:t>
      </w:r>
    </w:p>
    <w:p w14:paraId="3180693E">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12.4.1应包括服务类单一来源采购文件要求的证明其有资格参加采购活动</w:t>
      </w:r>
      <w:r>
        <w:rPr>
          <w:rFonts w:hint="eastAsia" w:asciiTheme="minorEastAsia" w:hAnsiTheme="minorEastAsia" w:eastAsiaTheme="minorEastAsia" w:cstheme="minorEastAsia"/>
          <w:sz w:val="24"/>
          <w:lang w:eastAsia="zh-CN"/>
        </w:rPr>
        <w:t>以及</w:t>
      </w:r>
      <w:r>
        <w:rPr>
          <w:rFonts w:hint="eastAsia" w:asciiTheme="minorEastAsia" w:hAnsiTheme="minorEastAsia" w:eastAsiaTheme="minorEastAsia" w:cstheme="minorEastAsia"/>
          <w:sz w:val="24"/>
        </w:rPr>
        <w:t>之后有能力履行合同的证明文件。</w:t>
      </w:r>
    </w:p>
    <w:p w14:paraId="5D7BF521">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13、单一来源报价</w:t>
      </w:r>
    </w:p>
    <w:p w14:paraId="157F29B9">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13.1本项目只允许一个方案、一个报价。多方案、多报价的响应文件将不被接受。</w:t>
      </w:r>
    </w:p>
    <w:p w14:paraId="64F250F3">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13.2服务类项目适用：响应总报价应包括完成本项目的费用、税费、等所有费用，即为履行合同的最终价格。</w:t>
      </w:r>
    </w:p>
    <w:p w14:paraId="7D9971B6">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13.3供应商响应的货币为人民币。</w:t>
      </w:r>
    </w:p>
    <w:p w14:paraId="5A9352B9">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14、响应保证金</w:t>
      </w:r>
    </w:p>
    <w:p w14:paraId="74900990">
      <w:pPr>
        <w:tabs>
          <w:tab w:val="left" w:pos="720"/>
        </w:tabs>
        <w:spacing w:line="48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本项目无须递交响应保证金</w:t>
      </w:r>
    </w:p>
    <w:p w14:paraId="0485F0B2">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15、响应有效期</w:t>
      </w:r>
    </w:p>
    <w:p w14:paraId="791D2CCF">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15.1响应有效期在“供应商须知前附表”中有明确的规定。供应商如未就此提出异议，则视同接受；如承诺的响应有效期短于此规定时间的，将被视为非响应性投标而予以拒绝。</w:t>
      </w:r>
    </w:p>
    <w:p w14:paraId="247E6667">
      <w:pPr>
        <w:pStyle w:val="26"/>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15.2在特殊情况下，采购人可于原</w:t>
      </w:r>
      <w:r>
        <w:rPr>
          <w:rFonts w:hint="eastAsia" w:asciiTheme="minorEastAsia" w:hAnsiTheme="minorEastAsia" w:eastAsiaTheme="minorEastAsia" w:cstheme="minorEastAsia"/>
          <w:sz w:val="24"/>
        </w:rPr>
        <w:t>响应</w:t>
      </w:r>
      <w:r>
        <w:rPr>
          <w:rFonts w:hint="eastAsia" w:asciiTheme="minorEastAsia" w:hAnsiTheme="minorEastAsia" w:eastAsiaTheme="minorEastAsia" w:cstheme="minorEastAsia"/>
          <w:sz w:val="24"/>
          <w:szCs w:val="24"/>
        </w:rPr>
        <w:t>有效期满之前，向供应商提出延长</w:t>
      </w:r>
      <w:r>
        <w:rPr>
          <w:rFonts w:hint="eastAsia" w:asciiTheme="minorEastAsia" w:hAnsiTheme="minorEastAsia" w:eastAsiaTheme="minorEastAsia" w:cstheme="minorEastAsia"/>
          <w:sz w:val="24"/>
        </w:rPr>
        <w:t>响应</w:t>
      </w:r>
      <w:r>
        <w:rPr>
          <w:rFonts w:hint="eastAsia" w:asciiTheme="minorEastAsia" w:hAnsiTheme="minorEastAsia" w:eastAsiaTheme="minorEastAsia" w:cstheme="minorEastAsia"/>
          <w:sz w:val="24"/>
          <w:szCs w:val="24"/>
        </w:rPr>
        <w:t>有效期的要求。供应商同意延长的，不得要求或被允许修改或撤销其单一来源响应文件。供应商拒绝延长的，可以书面形式拒绝采购人的这种要求。如在规定的时间内未提出书面意见表示拒绝，将视为同意延长</w:t>
      </w:r>
      <w:r>
        <w:rPr>
          <w:rFonts w:hint="eastAsia" w:asciiTheme="minorEastAsia" w:hAnsiTheme="minorEastAsia" w:eastAsiaTheme="minorEastAsia" w:cstheme="minorEastAsia"/>
          <w:sz w:val="24"/>
        </w:rPr>
        <w:t>响应</w:t>
      </w:r>
      <w:r>
        <w:rPr>
          <w:rFonts w:hint="eastAsia" w:asciiTheme="minorEastAsia" w:hAnsiTheme="minorEastAsia" w:eastAsiaTheme="minorEastAsia" w:cstheme="minorEastAsia"/>
          <w:sz w:val="24"/>
          <w:szCs w:val="24"/>
        </w:rPr>
        <w:t>有效期。</w:t>
      </w:r>
    </w:p>
    <w:p w14:paraId="1B886154">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15.3在响应有效期内，供应商撤销或修改其单一来源响应文件的，应承担责任。</w:t>
      </w:r>
    </w:p>
    <w:p w14:paraId="25D39266">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16、单一来源响应文件签署</w:t>
      </w:r>
    </w:p>
    <w:p w14:paraId="2DDAE6C9">
      <w:pPr>
        <w:tabs>
          <w:tab w:val="left" w:pos="0"/>
          <w:tab w:val="left" w:pos="54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除特别说明外，本文件要求供应商盖章或者法定代表人签字处，均需加盖供应商</w:t>
      </w:r>
      <w:r>
        <w:rPr>
          <w:rFonts w:hint="eastAsia" w:asciiTheme="minorEastAsia" w:hAnsiTheme="minorEastAsia" w:eastAsiaTheme="minorEastAsia" w:cstheme="minorEastAsia"/>
          <w:sz w:val="24"/>
          <w:lang w:val="en-US" w:eastAsia="zh-CN"/>
        </w:rPr>
        <w:t>公章</w:t>
      </w:r>
      <w:r>
        <w:rPr>
          <w:rFonts w:hint="eastAsia" w:asciiTheme="minorEastAsia" w:hAnsiTheme="minorEastAsia" w:eastAsiaTheme="minorEastAsia" w:cstheme="minorEastAsia"/>
          <w:sz w:val="24"/>
        </w:rPr>
        <w:t>或其法定代表人</w:t>
      </w:r>
      <w:r>
        <w:rPr>
          <w:rFonts w:hint="eastAsia" w:asciiTheme="minorEastAsia" w:hAnsiTheme="minorEastAsia" w:eastAsiaTheme="minorEastAsia" w:cstheme="minorEastAsia"/>
          <w:sz w:val="24"/>
          <w:lang w:val="en-US" w:eastAsia="zh-CN"/>
        </w:rPr>
        <w:t>签字</w:t>
      </w:r>
      <w:r>
        <w:rPr>
          <w:rFonts w:hint="eastAsia" w:asciiTheme="minorEastAsia" w:hAnsiTheme="minorEastAsia" w:eastAsiaTheme="minorEastAsia" w:cstheme="minorEastAsia"/>
          <w:sz w:val="24"/>
        </w:rPr>
        <w:t>。被授权人签字的，还需附法定代表人授权委托书。</w:t>
      </w:r>
    </w:p>
    <w:p w14:paraId="641933C0">
      <w:pPr>
        <w:pStyle w:val="5"/>
        <w:spacing w:before="120" w:beforeLines="50" w:after="120" w:afterLines="50" w:line="480" w:lineRule="exact"/>
        <w:jc w:val="center"/>
        <w:rPr>
          <w:rFonts w:ascii="宋体" w:hAnsi="宋体" w:eastAsia="宋体" w:cs="宋体"/>
          <w:sz w:val="24"/>
          <w:szCs w:val="24"/>
        </w:rPr>
      </w:pPr>
      <w:bookmarkStart w:id="22" w:name="_Toc18671559"/>
      <w:bookmarkStart w:id="23" w:name="_Toc26999"/>
      <w:r>
        <w:rPr>
          <w:rFonts w:hint="eastAsia" w:ascii="宋体" w:hAnsi="宋体" w:eastAsia="宋体" w:cs="宋体"/>
          <w:sz w:val="24"/>
          <w:szCs w:val="24"/>
        </w:rPr>
        <w:t>四、单一来源响应文件的递交</w:t>
      </w:r>
      <w:bookmarkEnd w:id="22"/>
      <w:bookmarkEnd w:id="23"/>
    </w:p>
    <w:p w14:paraId="7FBD42A2">
      <w:pPr>
        <w:spacing w:line="48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17、单一来源响应文件的提交</w:t>
      </w:r>
    </w:p>
    <w:p w14:paraId="4C6F1429">
      <w:pPr>
        <w:pStyle w:val="26"/>
        <w:spacing w:line="48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本项目为纸质投标，在</w:t>
      </w:r>
      <w:r>
        <w:rPr>
          <w:rFonts w:hint="eastAsia" w:asciiTheme="minorEastAsia" w:hAnsiTheme="minorEastAsia" w:eastAsiaTheme="minorEastAsia" w:cstheme="minorEastAsia"/>
          <w:sz w:val="24"/>
          <w:szCs w:val="24"/>
          <w:lang w:val="en-US" w:eastAsia="zh-CN"/>
        </w:rPr>
        <w:t>响应文件递交</w:t>
      </w:r>
      <w:r>
        <w:rPr>
          <w:rFonts w:hint="eastAsia" w:asciiTheme="minorEastAsia" w:hAnsiTheme="minorEastAsia" w:eastAsiaTheme="minorEastAsia" w:cstheme="minorEastAsia"/>
          <w:sz w:val="24"/>
          <w:szCs w:val="24"/>
        </w:rPr>
        <w:t>截止时间前现场递交</w:t>
      </w:r>
      <w:r>
        <w:rPr>
          <w:rFonts w:hint="eastAsia" w:asciiTheme="minorEastAsia" w:hAnsiTheme="minorEastAsia" w:eastAsiaTheme="minorEastAsia" w:cstheme="minorEastAsia"/>
          <w:sz w:val="24"/>
          <w:szCs w:val="24"/>
          <w:lang w:eastAsia="zh-CN"/>
        </w:rPr>
        <w:t>。</w:t>
      </w:r>
    </w:p>
    <w:p w14:paraId="1BE9CDF0">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18、单一来源响应文件的修改和撤回</w:t>
      </w:r>
    </w:p>
    <w:p w14:paraId="4509221F">
      <w:pPr>
        <w:pStyle w:val="26"/>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在供应商须知前附表规定的响应文件提交截止时间前，供应商可以修改或撤回已递交的单一来源响应文件。</w:t>
      </w:r>
    </w:p>
    <w:p w14:paraId="0AB176D8">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19、联合体参加单一来源协商</w:t>
      </w:r>
    </w:p>
    <w:p w14:paraId="6CB659BA">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由两家或两家以上供应商组成的联合体参与协商时，应满足以下要求：</w:t>
      </w:r>
    </w:p>
    <w:p w14:paraId="29CA82F0">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19.1参加联合体的供应商均应当具备政府采购法第二十二条规定的条件，如本项目还有其他特定条件的，联合体各方中至少有一方符合特定的条件。联合体中有同类资质的供应商按照联合体分工承担相同工作的，应当按照资质等级较低的供应商确定资质等级。</w:t>
      </w:r>
    </w:p>
    <w:p w14:paraId="639C7B9D">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19.2联合体应签订联合参与协商的协议，明确各方承担的职责和相应的责任，并授权其中的一个成员作为代表，具体进行协商、签订合同等事务。此协议或授权书应作为单一来源响应文件的一部分。</w:t>
      </w:r>
    </w:p>
    <w:p w14:paraId="6C217BCF">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19.3联合体中牵头方应能全权处理协商过程中的有关问题。一旦成为成交供应商，该被授权供应商应负责签订合同并负责合同的全面实施，包括合同款项的收付。</w:t>
      </w:r>
    </w:p>
    <w:p w14:paraId="1633A8E3">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19.4以联合体形式参加采购活动的，联合体各方不得再单独参加或者与其他供应商另外组成联合体参加同一合同项下的采购活动。</w:t>
      </w:r>
    </w:p>
    <w:p w14:paraId="1E8E5BDC">
      <w:pPr>
        <w:pStyle w:val="5"/>
        <w:spacing w:before="120" w:beforeLines="50" w:after="120" w:afterLines="50" w:line="480" w:lineRule="exact"/>
        <w:jc w:val="center"/>
        <w:rPr>
          <w:rFonts w:ascii="宋体" w:hAnsi="宋体" w:eastAsia="宋体" w:cs="宋体"/>
          <w:sz w:val="24"/>
          <w:szCs w:val="24"/>
        </w:rPr>
      </w:pPr>
      <w:bookmarkStart w:id="24" w:name="_Toc18671560"/>
      <w:bookmarkStart w:id="25" w:name="_Toc20301"/>
      <w:r>
        <w:rPr>
          <w:rFonts w:hint="eastAsia" w:ascii="宋体" w:hAnsi="宋体" w:eastAsia="宋体" w:cs="宋体"/>
          <w:sz w:val="24"/>
          <w:szCs w:val="24"/>
        </w:rPr>
        <w:t>五、协商与评审</w:t>
      </w:r>
      <w:bookmarkEnd w:id="24"/>
      <w:bookmarkEnd w:id="25"/>
    </w:p>
    <w:p w14:paraId="5331A5C9">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20、协商</w:t>
      </w:r>
    </w:p>
    <w:p w14:paraId="5CB8FBAF">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20.1采购人将在规定的时间组织协商。供应商的法定代表人或其委托的代理人应在</w:t>
      </w:r>
      <w:r>
        <w:rPr>
          <w:rFonts w:hint="eastAsia" w:asciiTheme="minorEastAsia" w:hAnsiTheme="minorEastAsia" w:eastAsiaTheme="minorEastAsia" w:cstheme="minorEastAsia"/>
          <w:sz w:val="24"/>
          <w:lang w:val="en-US" w:eastAsia="zh-CN"/>
        </w:rPr>
        <w:t>现场</w:t>
      </w:r>
      <w:r>
        <w:rPr>
          <w:rFonts w:hint="eastAsia" w:asciiTheme="minorEastAsia" w:hAnsiTheme="minorEastAsia" w:eastAsiaTheme="minorEastAsia" w:cstheme="minorEastAsia"/>
          <w:sz w:val="24"/>
        </w:rPr>
        <w:t>准时参加。</w:t>
      </w:r>
    </w:p>
    <w:p w14:paraId="5E052111">
      <w:pPr>
        <w:tabs>
          <w:tab w:val="left" w:pos="90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20.2采购人将按规定组织相关人员组成协商小组。</w:t>
      </w:r>
    </w:p>
    <w:p w14:paraId="1B3A7D66">
      <w:pPr>
        <w:tabs>
          <w:tab w:val="left" w:pos="36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20.3协商小组将首先对单一来源响应文件进行符合性评审，了解其与采购文件要求是否有偏离。</w:t>
      </w:r>
    </w:p>
    <w:p w14:paraId="0C2326F4">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20.4符合性评审结束后，协商小组将要求供应商就单一来源响应文件中含糊不清、错漏的地方或协商小组提出的其他内容进行澄清，然后与供应商就采购需求进行协商并要求供应商就之前提出的问题和技术内容进行书面确认。</w:t>
      </w:r>
      <w:r>
        <w:rPr>
          <w:rFonts w:hint="eastAsia" w:asciiTheme="minorEastAsia" w:hAnsiTheme="minorEastAsia" w:eastAsiaTheme="minorEastAsia" w:cstheme="minorEastAsia"/>
          <w:b/>
          <w:sz w:val="24"/>
        </w:rPr>
        <w:t>供应商未通过符合性评审的，不进入后续程序。</w:t>
      </w:r>
    </w:p>
    <w:p w14:paraId="1AD7A1A1">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20.5符合性评审通过后，协商小组与供应商进行价格协商，并确定最终合同价格。</w:t>
      </w:r>
    </w:p>
    <w:p w14:paraId="21BE1881">
      <w:pPr>
        <w:spacing w:line="48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供应商每次报价都应当在协商小组发出报价要求后半小时内完成报价事宜。</w:t>
      </w:r>
    </w:p>
    <w:p w14:paraId="07869478">
      <w:pPr>
        <w:spacing w:line="48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供应商必须在规定的时间内将自己在协商中作出的澄清、变动以及最终的报价，经供应商</w:t>
      </w:r>
      <w:r>
        <w:rPr>
          <w:rFonts w:hint="eastAsia" w:asciiTheme="minorEastAsia" w:hAnsiTheme="minorEastAsia" w:eastAsiaTheme="minorEastAsia" w:cstheme="minorEastAsia"/>
          <w:bCs/>
          <w:sz w:val="24"/>
          <w:lang w:val="en-US" w:eastAsia="zh-CN"/>
        </w:rPr>
        <w:t>填写</w:t>
      </w:r>
      <w:r>
        <w:rPr>
          <w:rFonts w:hint="eastAsia" w:asciiTheme="minorEastAsia" w:hAnsiTheme="minorEastAsia" w:eastAsiaTheme="minorEastAsia" w:cstheme="minorEastAsia"/>
          <w:bCs/>
          <w:sz w:val="24"/>
        </w:rPr>
        <w:t>后，以</w:t>
      </w:r>
      <w:r>
        <w:rPr>
          <w:rFonts w:hint="eastAsia" w:asciiTheme="minorEastAsia" w:hAnsiTheme="minorEastAsia" w:eastAsiaTheme="minorEastAsia" w:cstheme="minorEastAsia"/>
          <w:bCs/>
          <w:sz w:val="24"/>
          <w:lang w:val="en-US" w:eastAsia="zh-CN"/>
        </w:rPr>
        <w:t>纸质</w:t>
      </w:r>
      <w:r>
        <w:rPr>
          <w:rFonts w:hint="eastAsia" w:asciiTheme="minorEastAsia" w:hAnsiTheme="minorEastAsia" w:eastAsiaTheme="minorEastAsia" w:cstheme="minorEastAsia"/>
          <w:bCs/>
          <w:sz w:val="24"/>
        </w:rPr>
        <w:t>的方式提交给协商小组。</w:t>
      </w:r>
    </w:p>
    <w:p w14:paraId="5A0AE9C5">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21、评审</w:t>
      </w:r>
    </w:p>
    <w:p w14:paraId="44075EFB">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21.1协商小组将依据供应商最终提交的确认件进行评审，并编写协商报告。</w:t>
      </w:r>
    </w:p>
    <w:p w14:paraId="037E0F12">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21.2采购人确认成交供应商后，应将结果在指定的网站公告。</w:t>
      </w:r>
    </w:p>
    <w:p w14:paraId="11EA3BEF">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22、异常情况处理</w:t>
      </w:r>
    </w:p>
    <w:p w14:paraId="14E456DF">
      <w:pPr>
        <w:tabs>
          <w:tab w:val="left" w:pos="54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出现下列情形之一的，采购人或者采购代理机构应当终止采购活动，发布项目终止公告并说明原因，重新开展采购活动：</w:t>
      </w:r>
    </w:p>
    <w:p w14:paraId="14F5C684">
      <w:pPr>
        <w:tabs>
          <w:tab w:val="left" w:pos="54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（一）因情况变化，不再符合规定的单一来源采购方式适用情形的；</w:t>
      </w:r>
    </w:p>
    <w:p w14:paraId="3772F664">
      <w:pPr>
        <w:tabs>
          <w:tab w:val="left" w:pos="54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（二）出现影响采购公正的违法、违规行为的；</w:t>
      </w:r>
    </w:p>
    <w:p w14:paraId="602B1F95">
      <w:pPr>
        <w:tabs>
          <w:tab w:val="left" w:pos="54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（三）报价超过采购预算的；</w:t>
      </w:r>
    </w:p>
    <w:p w14:paraId="2921C4C0">
      <w:pPr>
        <w:tabs>
          <w:tab w:val="left" w:pos="54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（四）因重大事故，采购任务取消的。</w:t>
      </w:r>
    </w:p>
    <w:p w14:paraId="7E50566C">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23、供应商存在下列情况之一的，响应无效：</w:t>
      </w:r>
    </w:p>
    <w:p w14:paraId="2A46C34A">
      <w:pPr>
        <w:tabs>
          <w:tab w:val="left" w:pos="54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（一）响应文件未按采购文件要求签署、盖章的；</w:t>
      </w:r>
    </w:p>
    <w:p w14:paraId="2A2AB3A3">
      <w:pPr>
        <w:tabs>
          <w:tab w:val="left" w:pos="54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（二）报价超过采购文件中规定的金额或者最高限价的，采购人可以支付的除外；</w:t>
      </w:r>
    </w:p>
    <w:p w14:paraId="09BC473E">
      <w:pPr>
        <w:tabs>
          <w:tab w:val="left" w:pos="54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（三）响应文件含有采购人不能接受的附加条件的；</w:t>
      </w:r>
    </w:p>
    <w:p w14:paraId="5C16C7B6">
      <w:pPr>
        <w:tabs>
          <w:tab w:val="left" w:pos="54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（四）法律、法规和采购文件规定的其他无效情形的；</w:t>
      </w:r>
    </w:p>
    <w:p w14:paraId="69477409">
      <w:pPr>
        <w:tabs>
          <w:tab w:val="left" w:pos="54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（五）提供虚假材料参加单一来源活动的违法、违规行为被查实的。</w:t>
      </w:r>
    </w:p>
    <w:p w14:paraId="11932FE8">
      <w:pPr>
        <w:pStyle w:val="5"/>
        <w:spacing w:before="120" w:beforeLines="50" w:after="120" w:afterLines="50" w:line="480" w:lineRule="exact"/>
        <w:jc w:val="center"/>
        <w:rPr>
          <w:rFonts w:ascii="宋体" w:hAnsi="宋体" w:eastAsia="宋体" w:cs="宋体"/>
          <w:sz w:val="24"/>
          <w:szCs w:val="24"/>
        </w:rPr>
      </w:pPr>
      <w:bookmarkStart w:id="26" w:name="_Toc18671561"/>
      <w:bookmarkStart w:id="27" w:name="_Toc4538"/>
      <w:r>
        <w:rPr>
          <w:rFonts w:hint="eastAsia" w:ascii="宋体" w:hAnsi="宋体" w:eastAsia="宋体" w:cs="宋体"/>
          <w:sz w:val="24"/>
          <w:szCs w:val="24"/>
        </w:rPr>
        <w:t>六、成交和授予合同</w:t>
      </w:r>
      <w:bookmarkEnd w:id="26"/>
      <w:bookmarkEnd w:id="27"/>
    </w:p>
    <w:p w14:paraId="3B7DB165">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24、成交确认</w:t>
      </w:r>
    </w:p>
    <w:p w14:paraId="02F08F6B">
      <w:pPr>
        <w:tabs>
          <w:tab w:val="left" w:pos="0"/>
        </w:tabs>
        <w:spacing w:line="480" w:lineRule="exact"/>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采购人应当在收到协商报告后5个工作日内，确定成交供应商。</w:t>
      </w:r>
    </w:p>
    <w:p w14:paraId="05F61DA4">
      <w:pPr>
        <w:tabs>
          <w:tab w:val="left" w:pos="0"/>
        </w:tabs>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25、签订合同</w:t>
      </w:r>
    </w:p>
    <w:p w14:paraId="0DB10A74">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shd w:val="clear" w:color="auto" w:fill="FFFFFF"/>
        </w:rPr>
        <w:t>25</w:t>
      </w:r>
      <w:r>
        <w:rPr>
          <w:rFonts w:hint="eastAsia" w:asciiTheme="minorEastAsia" w:hAnsiTheme="minorEastAsia" w:eastAsiaTheme="minorEastAsia" w:cstheme="minorEastAsia"/>
          <w:sz w:val="24"/>
        </w:rPr>
        <w:t>.1采购</w:t>
      </w:r>
      <w:r>
        <w:rPr>
          <w:rFonts w:hint="eastAsia" w:asciiTheme="minorEastAsia" w:hAnsiTheme="minorEastAsia" w:eastAsiaTheme="minorEastAsia" w:cstheme="minorEastAsia"/>
          <w:sz w:val="24"/>
          <w:shd w:val="clear" w:color="auto" w:fill="FFFFFF"/>
        </w:rPr>
        <w:t>人应尽量缩短采购合同签订时间，按照采购文件确定的合同文本以及采购标的、规格型号、采购金额、采购数量、技术和服务要求等事项签订采购合同，不得晚于中标（成交）通知书发放之日起 7 个工作日。无正当理由不得拒绝或者拖延签订合同，因供应商自身原因导致无法及时签订的除外。</w:t>
      </w:r>
    </w:p>
    <w:p w14:paraId="0892FF8C">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25.2政府采购合同在履行中可追加与合同标的相同的服务，但采购金额不得超过原合同采购金额的10%。</w:t>
      </w:r>
    </w:p>
    <w:p w14:paraId="45F1C805">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25.3成交供应商拒绝与采购人签订合同的，将按相关规定进行处理。成交通知书发出后，采购人无正当理由不与成交供应商签订采购合同的，将依据相关规定给予处理。</w:t>
      </w:r>
    </w:p>
    <w:p w14:paraId="6FB63017">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25.4因政策变化等原因不能签订合同，造成企业合法利益受损的情形，采购人可以与供应商充分协商，给予合理补偿。</w:t>
      </w:r>
    </w:p>
    <w:p w14:paraId="7FF9E0E9">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25.5在签订合同时，供应商书面明确表示无需预付款或者主动要求降低预付款比例的，采购人可不适用前述（即付款方式）规定。</w:t>
      </w:r>
    </w:p>
    <w:p w14:paraId="31928A01">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25.6采购文件和合同中没有约定预付款的，经供应商申请，采购人可以支付预付款。</w:t>
      </w:r>
    </w:p>
    <w:p w14:paraId="18B789C4">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25.7采购人可根据项目特点、供应商诚信等因素，要求供应商提交银行、保险公司、担保公司等金融机构出具的预付款保函或其他担保措施。</w:t>
      </w:r>
    </w:p>
    <w:p w14:paraId="127F5855">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25.8政府采购预付款应在合同、担保措施生效以及具备实施条件后 5 个工作日内支付。</w:t>
      </w:r>
    </w:p>
    <w:p w14:paraId="3CB14B7B">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25.9延迟支付中小企业款项的，供应商可要求采购人按照合同约定支付逾期利息，合同没有约定的，按照同期人民银行 LPR支付逾期利息。</w:t>
      </w:r>
    </w:p>
    <w:p w14:paraId="6283E7B0">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25.10 成交供应商无正当理由不与采购人订立合同的处罚依据：</w:t>
      </w:r>
    </w:p>
    <w:p w14:paraId="7C92677E">
      <w:pPr>
        <w:pStyle w:val="2"/>
        <w:spacing w:after="0" w:line="480" w:lineRule="exact"/>
        <w:ind w:firstLine="0"/>
      </w:pPr>
      <w:r>
        <w:rPr>
          <w:rFonts w:hint="eastAsia"/>
        </w:rPr>
        <w:t>（1）《中华人民共和国政府采购法实施条例》</w:t>
      </w:r>
    </w:p>
    <w:p w14:paraId="726D00CD">
      <w:pPr>
        <w:pStyle w:val="2"/>
        <w:spacing w:after="0" w:line="480" w:lineRule="exact"/>
        <w:ind w:firstLine="0"/>
      </w:pPr>
      <w:r>
        <w:rPr>
          <w:rFonts w:hint="eastAsia"/>
        </w:rPr>
        <w:t>第七十二条 供应商有下列情形之一的，依照政府采购法第七十七条第一款的规定追究法律责任：……</w:t>
      </w:r>
    </w:p>
    <w:p w14:paraId="4F4A56A9">
      <w:pPr>
        <w:pStyle w:val="2"/>
        <w:spacing w:after="0" w:line="480" w:lineRule="exact"/>
        <w:ind w:firstLine="0"/>
      </w:pPr>
      <w:r>
        <w:rPr>
          <w:rFonts w:hint="eastAsia"/>
        </w:rPr>
        <w:t>（二）中标或者成交后无正当理由拒不与采购人签订政府采购合同；……</w:t>
      </w:r>
    </w:p>
    <w:p w14:paraId="3EEB4551">
      <w:pPr>
        <w:pStyle w:val="2"/>
        <w:spacing w:after="0" w:line="480" w:lineRule="exact"/>
        <w:ind w:firstLine="0"/>
      </w:pPr>
      <w:r>
        <w:rPr>
          <w:rFonts w:hint="eastAsia"/>
        </w:rPr>
        <w:t>（2）《中华人民共和国政府采购法》</w:t>
      </w:r>
    </w:p>
    <w:p w14:paraId="43CDE204">
      <w:pPr>
        <w:pStyle w:val="2"/>
        <w:spacing w:after="0" w:line="480" w:lineRule="exact"/>
        <w:ind w:firstLine="0"/>
      </w:pPr>
      <w:r>
        <w:rPr>
          <w:rFonts w:hint="eastAsia"/>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0852B1">
      <w:pPr>
        <w:pStyle w:val="2"/>
        <w:spacing w:after="0" w:line="480" w:lineRule="exact"/>
        <w:ind w:firstLine="0"/>
      </w:pPr>
      <w:r>
        <w:rPr>
          <w:rFonts w:hint="eastAsia"/>
        </w:rPr>
        <w:t>（3）《政府采购非招标采购方式管理办法》（财政部令第74号）</w:t>
      </w:r>
    </w:p>
    <w:p w14:paraId="5822EB85">
      <w:pPr>
        <w:pStyle w:val="2"/>
        <w:spacing w:after="0" w:line="480" w:lineRule="exact"/>
        <w:ind w:firstLine="120" w:firstLineChars="50"/>
      </w:pPr>
      <w:r>
        <w:rPr>
          <w:rFonts w:hint="eastAsia"/>
        </w:rPr>
        <w:t>第五十四条 成交供应商有下列情形之一的，责令限期整改，情节严重的，列入不良行为记录名单，在1至3年内禁止参加政府采购活动，并予以通报：……</w:t>
      </w:r>
    </w:p>
    <w:p w14:paraId="7D7882FF">
      <w:pPr>
        <w:pStyle w:val="2"/>
        <w:spacing w:after="0" w:line="480" w:lineRule="exact"/>
        <w:ind w:firstLine="0"/>
        <w:rPr>
          <w:rFonts w:asciiTheme="minorEastAsia" w:hAnsiTheme="minorEastAsia" w:eastAsiaTheme="minorEastAsia" w:cstheme="minorEastAsia"/>
        </w:rPr>
      </w:pPr>
      <w:r>
        <w:rPr>
          <w:rFonts w:hint="eastAsia"/>
        </w:rPr>
        <w:t>（二）成交后无正当理由不与采购人签订合同的；……</w:t>
      </w:r>
    </w:p>
    <w:p w14:paraId="5E0CA4FE">
      <w:pPr>
        <w:spacing w:line="48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26、履约保证金</w:t>
      </w:r>
    </w:p>
    <w:p w14:paraId="3C434405">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26.1成交供应商在签订合同前必须按单一来源文件的规定，及时、足额交纳履约保证金。</w:t>
      </w:r>
    </w:p>
    <w:p w14:paraId="7C03B58A">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履约保证金是督促成交供应商按时、按质、按量履行合同的一个经济制约手段。当采购人因成交供应商违约而造成损失时，可在无须征得成交供应商同意的情况下首先从其所交纳的履约保证金中获取相应的补偿。</w:t>
      </w:r>
    </w:p>
    <w:bookmarkEnd w:id="16"/>
    <w:bookmarkEnd w:id="17"/>
    <w:p w14:paraId="649B8EDE">
      <w:pPr>
        <w:spacing w:line="480" w:lineRule="exact"/>
        <w:rPr>
          <w:rFonts w:asciiTheme="minorEastAsia" w:hAnsiTheme="minorEastAsia" w:eastAsiaTheme="minorEastAsia" w:cstheme="minorEastAsia"/>
          <w:b/>
          <w:sz w:val="24"/>
        </w:rPr>
      </w:pPr>
      <w:bookmarkStart w:id="28" w:name="_Toc27142"/>
      <w:bookmarkStart w:id="29" w:name="_Toc14936"/>
      <w:bookmarkStart w:id="30" w:name="_Toc533314955"/>
      <w:bookmarkStart w:id="31" w:name="_Toc272163837"/>
      <w:r>
        <w:rPr>
          <w:rFonts w:hint="eastAsia" w:asciiTheme="minorEastAsia" w:hAnsiTheme="minorEastAsia" w:eastAsiaTheme="minorEastAsia" w:cstheme="minorEastAsia"/>
          <w:b/>
          <w:sz w:val="24"/>
        </w:rPr>
        <w:t>27、验收</w:t>
      </w:r>
      <w:bookmarkEnd w:id="28"/>
      <w:bookmarkEnd w:id="29"/>
      <w:r>
        <w:rPr>
          <w:rFonts w:hint="eastAsia" w:asciiTheme="minorEastAsia" w:hAnsiTheme="minorEastAsia" w:eastAsiaTheme="minorEastAsia" w:cstheme="minorEastAsia"/>
          <w:b/>
          <w:sz w:val="24"/>
        </w:rPr>
        <w:t>与支付</w:t>
      </w:r>
    </w:p>
    <w:p w14:paraId="2FAA4063">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27.1采购人应当在项目完成且收到供应商验收申请后 5 个工作日内组织开展履约验收。</w:t>
      </w:r>
    </w:p>
    <w:p w14:paraId="1BC57054">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19F684D5">
      <w:pPr>
        <w:tabs>
          <w:tab w:val="left" w:pos="0"/>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27.3涉及安全、消防、环保等其他需要由质检或行业主管部门进行验收的项目，必须邀请相关部门或相关专家参与验收。</w:t>
      </w:r>
    </w:p>
    <w:p w14:paraId="6290C3CF">
      <w:pPr>
        <w:tabs>
          <w:tab w:val="left" w:pos="0"/>
        </w:tabs>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27.4对于符合支付条件的项目，应在收到发票后7个工作日内将资金支付到合同约定的供应商账户，不得以进行审计作为支付供应商款项的条件。采购人不得以机构变动、人员更替、政策调整、履行内部付款流程等为由延迟付款。</w:t>
      </w:r>
    </w:p>
    <w:p w14:paraId="0335722C">
      <w:pPr>
        <w:pStyle w:val="2"/>
        <w:ind w:firstLine="0"/>
        <w:rPr>
          <w:rFonts w:ascii="宋体" w:hAnsi="宋体"/>
          <w:szCs w:val="24"/>
        </w:rPr>
      </w:pPr>
    </w:p>
    <w:p w14:paraId="463199E9">
      <w:pPr>
        <w:pStyle w:val="2"/>
        <w:ind w:firstLine="0"/>
        <w:rPr>
          <w:rFonts w:ascii="宋体" w:hAnsi="宋体"/>
          <w:szCs w:val="24"/>
        </w:rPr>
      </w:pPr>
    </w:p>
    <w:p w14:paraId="50590726">
      <w:pPr>
        <w:pStyle w:val="2"/>
        <w:ind w:firstLine="0"/>
        <w:rPr>
          <w:rFonts w:ascii="宋体" w:hAnsi="宋体"/>
          <w:szCs w:val="24"/>
        </w:rPr>
      </w:pPr>
    </w:p>
    <w:p w14:paraId="5FFCD8FA">
      <w:pPr>
        <w:pStyle w:val="2"/>
        <w:ind w:firstLine="0"/>
        <w:rPr>
          <w:rFonts w:ascii="宋体" w:hAnsi="宋体"/>
          <w:szCs w:val="24"/>
        </w:rPr>
      </w:pPr>
    </w:p>
    <w:p w14:paraId="5B751973">
      <w:pPr>
        <w:pStyle w:val="2"/>
        <w:ind w:firstLine="0"/>
        <w:rPr>
          <w:rFonts w:ascii="宋体" w:hAnsi="宋体"/>
          <w:szCs w:val="24"/>
        </w:rPr>
      </w:pPr>
    </w:p>
    <w:p w14:paraId="28218269">
      <w:pPr>
        <w:pStyle w:val="2"/>
        <w:ind w:firstLine="0"/>
        <w:rPr>
          <w:rFonts w:ascii="宋体" w:hAnsi="宋体"/>
          <w:szCs w:val="24"/>
        </w:rPr>
      </w:pPr>
    </w:p>
    <w:p w14:paraId="725A03D0">
      <w:pPr>
        <w:pStyle w:val="2"/>
        <w:ind w:firstLine="0"/>
        <w:rPr>
          <w:rFonts w:ascii="宋体" w:hAnsi="宋体"/>
          <w:szCs w:val="24"/>
        </w:rPr>
      </w:pPr>
    </w:p>
    <w:p w14:paraId="7F23AEEC">
      <w:pPr>
        <w:pStyle w:val="2"/>
        <w:ind w:firstLine="0"/>
        <w:rPr>
          <w:rFonts w:ascii="宋体" w:hAnsi="宋体"/>
          <w:szCs w:val="24"/>
        </w:rPr>
      </w:pPr>
    </w:p>
    <w:p w14:paraId="15B2FE52">
      <w:pPr>
        <w:pStyle w:val="2"/>
        <w:ind w:firstLine="0"/>
        <w:rPr>
          <w:rFonts w:ascii="宋体" w:hAnsi="宋体"/>
          <w:szCs w:val="24"/>
        </w:rPr>
      </w:pPr>
    </w:p>
    <w:p w14:paraId="261050ED">
      <w:pPr>
        <w:pStyle w:val="2"/>
        <w:ind w:firstLine="0"/>
        <w:rPr>
          <w:rFonts w:ascii="宋体" w:hAnsi="宋体"/>
          <w:szCs w:val="24"/>
        </w:rPr>
      </w:pPr>
    </w:p>
    <w:p w14:paraId="4FB4DF27">
      <w:pPr>
        <w:pStyle w:val="2"/>
        <w:ind w:firstLine="0"/>
        <w:rPr>
          <w:rFonts w:ascii="宋体" w:hAnsi="宋体"/>
          <w:szCs w:val="24"/>
        </w:rPr>
      </w:pPr>
    </w:p>
    <w:p w14:paraId="3F0D7BC5">
      <w:pPr>
        <w:pStyle w:val="2"/>
        <w:ind w:firstLine="0"/>
        <w:rPr>
          <w:rFonts w:ascii="宋体" w:hAnsi="宋体"/>
          <w:szCs w:val="24"/>
        </w:rPr>
      </w:pPr>
    </w:p>
    <w:p w14:paraId="06766073">
      <w:pPr>
        <w:pStyle w:val="2"/>
        <w:ind w:firstLine="0"/>
        <w:rPr>
          <w:rFonts w:ascii="宋体" w:hAnsi="宋体"/>
          <w:szCs w:val="24"/>
        </w:rPr>
      </w:pPr>
    </w:p>
    <w:p w14:paraId="2B0F4EDC">
      <w:pPr>
        <w:rPr>
          <w:rFonts w:hint="eastAsia" w:ascii="宋体" w:hAnsi="宋体" w:eastAsia="宋体" w:cs="宋体"/>
          <w:b/>
          <w:sz w:val="24"/>
          <w:szCs w:val="24"/>
        </w:rPr>
      </w:pPr>
      <w:bookmarkStart w:id="32" w:name="_Toc220232392"/>
      <w:bookmarkStart w:id="33" w:name="_Toc463733011"/>
      <w:bookmarkStart w:id="34" w:name="_Toc29961"/>
      <w:r>
        <w:rPr>
          <w:rFonts w:hint="eastAsia" w:ascii="宋体" w:hAnsi="宋体" w:eastAsia="宋体" w:cs="宋体"/>
          <w:b/>
          <w:sz w:val="24"/>
          <w:szCs w:val="24"/>
        </w:rPr>
        <w:br w:type="page"/>
      </w:r>
    </w:p>
    <w:p w14:paraId="76372EA4">
      <w:pPr>
        <w:pStyle w:val="4"/>
        <w:spacing w:before="120" w:beforeLines="50" w:after="120" w:afterLines="50" w:line="560" w:lineRule="exact"/>
        <w:ind w:left="0" w:leftChars="0" w:firstLine="0" w:firstLineChars="0"/>
        <w:jc w:val="center"/>
        <w:rPr>
          <w:rFonts w:ascii="宋体" w:hAnsi="宋体" w:eastAsia="宋体" w:cs="宋体"/>
          <w:b/>
          <w:sz w:val="24"/>
          <w:szCs w:val="24"/>
        </w:rPr>
      </w:pPr>
      <w:r>
        <w:rPr>
          <w:rFonts w:hint="eastAsia" w:ascii="宋体" w:hAnsi="宋体" w:eastAsia="宋体" w:cs="宋体"/>
          <w:b/>
          <w:sz w:val="24"/>
          <w:szCs w:val="24"/>
        </w:rPr>
        <w:t>第四章  采购合同</w:t>
      </w:r>
      <w:bookmarkEnd w:id="32"/>
      <w:bookmarkEnd w:id="33"/>
      <w:bookmarkEnd w:id="34"/>
    </w:p>
    <w:p w14:paraId="5D3F2A56">
      <w:pPr>
        <w:spacing w:before="78" w:line="220" w:lineRule="auto"/>
        <w:jc w:val="center"/>
        <w:rPr>
          <w:rFonts w:hint="eastAsia" w:ascii="宋体" w:hAnsi="宋体" w:eastAsia="宋体" w:cs="宋体"/>
          <w:spacing w:val="-6"/>
          <w:sz w:val="24"/>
          <w:lang w:eastAsia="zh-CN"/>
        </w:rPr>
      </w:pPr>
      <w:r>
        <w:rPr>
          <w:rFonts w:hint="eastAsia" w:ascii="宋体" w:hAnsi="宋体" w:eastAsia="宋体" w:cs="宋体"/>
          <w:spacing w:val="-6"/>
          <w:sz w:val="24"/>
          <w:lang w:eastAsia="zh-CN"/>
        </w:rPr>
        <w:t>（</w:t>
      </w:r>
      <w:r>
        <w:rPr>
          <w:rFonts w:hint="eastAsia" w:ascii="宋体" w:hAnsi="宋体" w:eastAsia="宋体" w:cs="宋体"/>
          <w:spacing w:val="-6"/>
          <w:sz w:val="24"/>
          <w:lang w:val="en-US" w:eastAsia="zh-CN"/>
        </w:rPr>
        <w:t>甲乙双方自行拟定</w:t>
      </w:r>
      <w:r>
        <w:rPr>
          <w:rFonts w:hint="eastAsia" w:ascii="宋体" w:hAnsi="宋体" w:eastAsia="宋体" w:cs="宋体"/>
          <w:spacing w:val="-6"/>
          <w:sz w:val="24"/>
          <w:lang w:eastAsia="zh-CN"/>
        </w:rPr>
        <w:t>）</w:t>
      </w:r>
    </w:p>
    <w:p w14:paraId="7D6A96C2">
      <w:pPr>
        <w:spacing w:line="253" w:lineRule="auto"/>
      </w:pPr>
    </w:p>
    <w:p w14:paraId="74678773">
      <w:pPr>
        <w:spacing w:line="254" w:lineRule="auto"/>
      </w:pPr>
    </w:p>
    <w:p w14:paraId="285B5B66">
      <w:pPr>
        <w:spacing w:line="254" w:lineRule="auto"/>
      </w:pPr>
    </w:p>
    <w:p w14:paraId="3D0F6484">
      <w:pPr>
        <w:spacing w:before="79" w:line="220" w:lineRule="auto"/>
        <w:ind w:left="998"/>
        <w:rPr>
          <w:rFonts w:ascii="宋体" w:hAnsi="宋体" w:cs="宋体"/>
          <w:sz w:val="24"/>
        </w:rPr>
      </w:pPr>
    </w:p>
    <w:p w14:paraId="1A4FA0FC">
      <w:pPr>
        <w:sectPr>
          <w:footerReference r:id="rId3" w:type="default"/>
          <w:pgSz w:w="11907" w:h="16839"/>
          <w:pgMar w:top="1118" w:right="1769" w:bottom="1233" w:left="1771" w:header="877" w:footer="982" w:gutter="0"/>
          <w:cols w:space="720" w:num="1"/>
        </w:sectPr>
      </w:pPr>
    </w:p>
    <w:p w14:paraId="1BE87E9F">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rPr>
          <w:rFonts w:ascii="宋体" w:hAnsi="宋体" w:cs="宋体"/>
          <w:b/>
          <w:bCs/>
          <w:kern w:val="0"/>
          <w:sz w:val="24"/>
          <w:highlight w:val="none"/>
        </w:rPr>
      </w:pPr>
      <w:bookmarkStart w:id="35" w:name="_Toc2581"/>
      <w:r>
        <w:rPr>
          <w:rStyle w:val="30"/>
          <w:rFonts w:hint="eastAsia" w:ascii="宋体" w:hAnsi="宋体" w:eastAsia="宋体" w:cs="宋体"/>
          <w:sz w:val="24"/>
          <w:szCs w:val="24"/>
          <w:highlight w:val="none"/>
        </w:rPr>
        <w:t>第五章</w:t>
      </w:r>
      <w:r>
        <w:rPr>
          <w:rStyle w:val="30"/>
          <w:rFonts w:hint="eastAsia" w:ascii="宋体" w:hAnsi="宋体" w:cs="宋体"/>
          <w:sz w:val="24"/>
          <w:szCs w:val="24"/>
          <w:highlight w:val="none"/>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采购需求</w:t>
      </w:r>
      <w:bookmarkEnd w:id="35"/>
    </w:p>
    <w:p w14:paraId="180E41AE">
      <w:pPr>
        <w:pStyle w:val="46"/>
        <w:spacing w:before="0" w:after="0" w:line="510" w:lineRule="exact"/>
        <w:rPr>
          <w:sz w:val="24"/>
          <w:szCs w:val="24"/>
        </w:rPr>
      </w:pPr>
      <w:r>
        <w:rPr>
          <w:rFonts w:hint="eastAsia"/>
          <w:sz w:val="24"/>
          <w:szCs w:val="24"/>
        </w:rPr>
        <w:t>1、项目概况</w:t>
      </w:r>
    </w:p>
    <w:p w14:paraId="54E8FF2A">
      <w:pPr>
        <w:pStyle w:val="46"/>
        <w:spacing w:before="0" w:after="0" w:line="510" w:lineRule="exact"/>
        <w:ind w:firstLine="480" w:firstLineChars="200"/>
        <w:rPr>
          <w:b w:val="0"/>
          <w:bCs/>
          <w:sz w:val="24"/>
          <w:szCs w:val="24"/>
        </w:rPr>
      </w:pPr>
      <w:r>
        <w:rPr>
          <w:b w:val="0"/>
          <w:bCs/>
          <w:sz w:val="24"/>
          <w:szCs w:val="24"/>
        </w:rPr>
        <w:t>随着医疗数据成为新型医疗资本，成为个人健康管理、临床科研应用、精细化运营、医保支付、智能监管的核心要素。在医改深化，政策与行业双重驱动下，病案数据成为现阶段的应用重点，成为多方管控中心。</w:t>
      </w:r>
    </w:p>
    <w:p w14:paraId="165B2FEE">
      <w:pPr>
        <w:pStyle w:val="46"/>
        <w:spacing w:before="0" w:after="0" w:line="510" w:lineRule="exact"/>
        <w:ind w:firstLine="480" w:firstLineChars="200"/>
        <w:rPr>
          <w:b w:val="0"/>
          <w:bCs/>
          <w:sz w:val="24"/>
          <w:szCs w:val="24"/>
        </w:rPr>
      </w:pPr>
      <w:r>
        <w:rPr>
          <w:b w:val="0"/>
          <w:bCs/>
          <w:sz w:val="24"/>
          <w:szCs w:val="24"/>
        </w:rPr>
        <w:t>基于以上问题，DRG 病案质控和绩效评价系统可以全面梳理质控规则，从多个角度重点点评首页质量，通过 DRG 病案质控和绩效评价系统可嵌入到院内系统，从源头保证数据质量。灵活配置校验规则开启/关闭，满足不同阶段质控要求。帮助医院实现从事中质控到病案评分，结果分析，全方位实现院内医保支付业务闭环管理。</w:t>
      </w:r>
    </w:p>
    <w:p w14:paraId="05467199">
      <w:pPr>
        <w:pStyle w:val="46"/>
        <w:spacing w:before="0" w:after="0" w:line="510" w:lineRule="exact"/>
        <w:rPr>
          <w:sz w:val="24"/>
          <w:szCs w:val="24"/>
        </w:rPr>
      </w:pPr>
      <w:r>
        <w:rPr>
          <w:rFonts w:hint="eastAsia"/>
          <w:sz w:val="24"/>
          <w:szCs w:val="24"/>
        </w:rPr>
        <w:t>2、总体要求</w:t>
      </w:r>
    </w:p>
    <w:p w14:paraId="4B648D8F">
      <w:pPr>
        <w:pStyle w:val="46"/>
        <w:spacing w:before="0" w:after="0" w:line="510" w:lineRule="exact"/>
        <w:rPr>
          <w:b w:val="0"/>
          <w:bCs/>
          <w:sz w:val="24"/>
          <w:szCs w:val="24"/>
        </w:rPr>
      </w:pPr>
      <w:r>
        <w:rPr>
          <w:rFonts w:hint="eastAsia"/>
          <w:b w:val="0"/>
          <w:bCs/>
          <w:sz w:val="24"/>
          <w:szCs w:val="24"/>
        </w:rPr>
        <w:t>（1）</w:t>
      </w:r>
      <w:r>
        <w:rPr>
          <w:b w:val="0"/>
          <w:bCs/>
          <w:sz w:val="24"/>
          <w:szCs w:val="24"/>
        </w:rPr>
        <w:t>符合中国相关法规和通用安全标准。若在调试过程中发现附件不全或不能运行，</w:t>
      </w:r>
      <w:r>
        <w:rPr>
          <w:rFonts w:hint="eastAsia"/>
          <w:b w:val="0"/>
          <w:bCs/>
          <w:sz w:val="24"/>
          <w:szCs w:val="24"/>
        </w:rPr>
        <w:t>供应商</w:t>
      </w:r>
      <w:r>
        <w:rPr>
          <w:b w:val="0"/>
          <w:bCs/>
          <w:sz w:val="24"/>
          <w:szCs w:val="24"/>
        </w:rPr>
        <w:t>应无偿补全、完善或更换，并承担</w:t>
      </w:r>
      <w:r>
        <w:rPr>
          <w:rFonts w:hint="eastAsia"/>
          <w:b w:val="0"/>
          <w:bCs/>
          <w:sz w:val="24"/>
          <w:szCs w:val="24"/>
        </w:rPr>
        <w:t>采购人</w:t>
      </w:r>
      <w:r>
        <w:rPr>
          <w:b w:val="0"/>
          <w:bCs/>
          <w:sz w:val="24"/>
          <w:szCs w:val="24"/>
        </w:rPr>
        <w:t>由此产生的损失。</w:t>
      </w:r>
    </w:p>
    <w:p w14:paraId="47D7EAC3">
      <w:pPr>
        <w:pStyle w:val="46"/>
        <w:spacing w:before="0" w:after="0" w:line="510" w:lineRule="exact"/>
        <w:rPr>
          <w:b w:val="0"/>
          <w:bCs/>
          <w:sz w:val="24"/>
          <w:szCs w:val="24"/>
        </w:rPr>
      </w:pPr>
      <w:r>
        <w:rPr>
          <w:rFonts w:hint="eastAsia"/>
          <w:b w:val="0"/>
          <w:bCs/>
          <w:sz w:val="24"/>
          <w:szCs w:val="24"/>
        </w:rPr>
        <w:t>（2）</w:t>
      </w:r>
      <w:r>
        <w:rPr>
          <w:b w:val="0"/>
          <w:bCs/>
          <w:sz w:val="24"/>
          <w:szCs w:val="24"/>
        </w:rPr>
        <w:t>由于</w:t>
      </w:r>
      <w:r>
        <w:rPr>
          <w:rFonts w:hint="eastAsia"/>
          <w:b w:val="0"/>
          <w:bCs/>
          <w:sz w:val="24"/>
          <w:szCs w:val="24"/>
        </w:rPr>
        <w:t>供应商</w:t>
      </w:r>
      <w:r>
        <w:rPr>
          <w:b w:val="0"/>
          <w:bCs/>
          <w:sz w:val="24"/>
          <w:szCs w:val="24"/>
        </w:rPr>
        <w:t>、制造厂商或其产品引起的法律纠纷、相关责任及由此引起的后果与采购人无关。由此给采购人造成任何损失由</w:t>
      </w:r>
      <w:r>
        <w:rPr>
          <w:rFonts w:hint="eastAsia"/>
          <w:b w:val="0"/>
          <w:bCs/>
          <w:sz w:val="24"/>
          <w:szCs w:val="24"/>
        </w:rPr>
        <w:t>供应商</w:t>
      </w:r>
      <w:r>
        <w:rPr>
          <w:b w:val="0"/>
          <w:bCs/>
          <w:sz w:val="24"/>
          <w:szCs w:val="24"/>
        </w:rPr>
        <w:t>及产品制造商承担。</w:t>
      </w:r>
    </w:p>
    <w:p w14:paraId="774042BD">
      <w:pPr>
        <w:pStyle w:val="46"/>
        <w:spacing w:before="0" w:after="0" w:line="510" w:lineRule="exact"/>
        <w:rPr>
          <w:b w:val="0"/>
          <w:bCs/>
          <w:sz w:val="24"/>
          <w:szCs w:val="24"/>
        </w:rPr>
      </w:pPr>
      <w:r>
        <w:rPr>
          <w:rFonts w:hint="eastAsia"/>
          <w:b w:val="0"/>
          <w:bCs/>
          <w:sz w:val="24"/>
          <w:szCs w:val="24"/>
        </w:rPr>
        <w:t>（3）供应商</w:t>
      </w:r>
      <w:r>
        <w:rPr>
          <w:b w:val="0"/>
          <w:bCs/>
          <w:sz w:val="24"/>
          <w:szCs w:val="24"/>
        </w:rPr>
        <w:t>必须提供全新的原包装产品，随机技术资料齐全，产品符合国家质量检测标准。</w:t>
      </w:r>
    </w:p>
    <w:p w14:paraId="2CB7E13A">
      <w:pPr>
        <w:pStyle w:val="46"/>
        <w:spacing w:before="0" w:after="0" w:line="510" w:lineRule="exact"/>
        <w:rPr>
          <w:b w:val="0"/>
          <w:bCs/>
          <w:sz w:val="24"/>
          <w:szCs w:val="24"/>
        </w:rPr>
      </w:pPr>
      <w:r>
        <w:rPr>
          <w:rFonts w:hint="eastAsia"/>
          <w:b w:val="0"/>
          <w:bCs/>
          <w:sz w:val="24"/>
          <w:szCs w:val="24"/>
        </w:rPr>
        <w:t>（4）</w:t>
      </w:r>
      <w:r>
        <w:rPr>
          <w:b w:val="0"/>
          <w:bCs/>
          <w:sz w:val="24"/>
          <w:szCs w:val="24"/>
        </w:rPr>
        <w:t>本章技术要求仅为对设备的一般要求，</w:t>
      </w:r>
      <w:r>
        <w:rPr>
          <w:rFonts w:hint="eastAsia"/>
          <w:b w:val="0"/>
          <w:bCs/>
          <w:sz w:val="24"/>
          <w:szCs w:val="24"/>
        </w:rPr>
        <w:t>供应商</w:t>
      </w:r>
      <w:r>
        <w:rPr>
          <w:b w:val="0"/>
          <w:bCs/>
          <w:sz w:val="24"/>
          <w:szCs w:val="24"/>
        </w:rPr>
        <w:t>应按国际及国内的有关标准、规范及条例提供设备技术服务和承诺。技术要求中未列的，</w:t>
      </w:r>
      <w:r>
        <w:rPr>
          <w:rFonts w:hint="eastAsia"/>
          <w:b w:val="0"/>
          <w:bCs/>
          <w:sz w:val="24"/>
          <w:szCs w:val="24"/>
        </w:rPr>
        <w:t>成交供应商</w:t>
      </w:r>
      <w:r>
        <w:rPr>
          <w:b w:val="0"/>
          <w:bCs/>
          <w:sz w:val="24"/>
          <w:szCs w:val="24"/>
        </w:rPr>
        <w:t>认为须加以补充的内容，技术条款须特别注明，并提供相应资料。</w:t>
      </w:r>
    </w:p>
    <w:p w14:paraId="7D7641F9">
      <w:pPr>
        <w:pStyle w:val="46"/>
        <w:spacing w:before="0" w:after="0" w:line="510" w:lineRule="exact"/>
        <w:rPr>
          <w:rFonts w:hint="default" w:eastAsia="宋体"/>
          <w:sz w:val="24"/>
          <w:szCs w:val="24"/>
          <w:lang w:val="en-US" w:eastAsia="zh-CN"/>
        </w:rPr>
      </w:pPr>
      <w:r>
        <w:rPr>
          <w:rFonts w:hint="eastAsia"/>
          <w:sz w:val="24"/>
          <w:szCs w:val="24"/>
        </w:rPr>
        <w:t>3、主要技术要求</w:t>
      </w:r>
    </w:p>
    <w:tbl>
      <w:tblPr>
        <w:tblStyle w:val="16"/>
        <w:tblW w:w="4892" w:type="pct"/>
        <w:tblInd w:w="-13" w:type="dxa"/>
        <w:tblLayout w:type="autofit"/>
        <w:tblCellMar>
          <w:top w:w="0" w:type="dxa"/>
          <w:left w:w="108" w:type="dxa"/>
          <w:bottom w:w="0" w:type="dxa"/>
          <w:right w:w="108" w:type="dxa"/>
        </w:tblCellMar>
      </w:tblPr>
      <w:tblGrid>
        <w:gridCol w:w="647"/>
        <w:gridCol w:w="1769"/>
        <w:gridCol w:w="6491"/>
      </w:tblGrid>
      <w:tr w14:paraId="0AB1578E">
        <w:tblPrEx>
          <w:tblCellMar>
            <w:top w:w="0" w:type="dxa"/>
            <w:left w:w="108" w:type="dxa"/>
            <w:bottom w:w="0" w:type="dxa"/>
            <w:right w:w="108" w:type="dxa"/>
          </w:tblCellMar>
        </w:tblPrEx>
        <w:trPr>
          <w:trHeight w:val="313" w:hRule="atLeast"/>
        </w:trPr>
        <w:tc>
          <w:tcPr>
            <w:tcW w:w="363" w:type="pct"/>
            <w:tcBorders>
              <w:top w:val="single" w:color="auto" w:sz="4" w:space="0"/>
              <w:left w:val="single" w:color="auto" w:sz="4" w:space="0"/>
              <w:bottom w:val="single" w:color="auto" w:sz="4" w:space="0"/>
              <w:right w:val="single" w:color="auto" w:sz="4" w:space="0"/>
            </w:tcBorders>
            <w:vAlign w:val="center"/>
          </w:tcPr>
          <w:p w14:paraId="11D5BD67">
            <w:pPr>
              <w:widowControl/>
              <w:jc w:val="left"/>
              <w:rPr>
                <w:rFonts w:ascii="宋体" w:hAnsi="宋体"/>
                <w:szCs w:val="21"/>
              </w:rPr>
            </w:pPr>
            <w:r>
              <w:rPr>
                <w:rFonts w:hint="eastAsia" w:ascii="宋体" w:hAnsi="宋体"/>
                <w:szCs w:val="21"/>
              </w:rPr>
              <w:t>序号</w:t>
            </w:r>
          </w:p>
        </w:tc>
        <w:tc>
          <w:tcPr>
            <w:tcW w:w="993" w:type="pct"/>
            <w:tcBorders>
              <w:top w:val="single" w:color="auto" w:sz="4" w:space="0"/>
              <w:left w:val="nil"/>
              <w:bottom w:val="single" w:color="auto" w:sz="4" w:space="0"/>
              <w:right w:val="single" w:color="auto" w:sz="4" w:space="0"/>
            </w:tcBorders>
            <w:vAlign w:val="center"/>
          </w:tcPr>
          <w:p w14:paraId="3CC552FD">
            <w:pPr>
              <w:widowControl/>
              <w:rPr>
                <w:rFonts w:ascii="宋体" w:hAnsi="宋体"/>
                <w:szCs w:val="21"/>
              </w:rPr>
            </w:pPr>
            <w:r>
              <w:rPr>
                <w:rFonts w:hint="eastAsia" w:ascii="宋体" w:hAnsi="宋体"/>
                <w:szCs w:val="21"/>
              </w:rPr>
              <w:t>功能模块</w:t>
            </w:r>
          </w:p>
        </w:tc>
        <w:tc>
          <w:tcPr>
            <w:tcW w:w="3642" w:type="pct"/>
            <w:tcBorders>
              <w:top w:val="single" w:color="auto" w:sz="4" w:space="0"/>
              <w:left w:val="nil"/>
              <w:bottom w:val="single" w:color="auto" w:sz="4" w:space="0"/>
              <w:right w:val="single" w:color="auto" w:sz="4" w:space="0"/>
            </w:tcBorders>
            <w:vAlign w:val="center"/>
          </w:tcPr>
          <w:p w14:paraId="2C965DF7">
            <w:pPr>
              <w:widowControl/>
              <w:rPr>
                <w:rFonts w:ascii="宋体" w:hAnsi="宋体"/>
                <w:szCs w:val="21"/>
              </w:rPr>
            </w:pPr>
            <w:r>
              <w:rPr>
                <w:rFonts w:hint="eastAsia" w:ascii="宋体" w:hAnsi="宋体"/>
                <w:szCs w:val="21"/>
              </w:rPr>
              <w:t>功能点</w:t>
            </w:r>
          </w:p>
        </w:tc>
      </w:tr>
      <w:tr w14:paraId="21253348">
        <w:tblPrEx>
          <w:tblCellMar>
            <w:top w:w="0" w:type="dxa"/>
            <w:left w:w="108" w:type="dxa"/>
            <w:bottom w:w="0" w:type="dxa"/>
            <w:right w:w="108" w:type="dxa"/>
          </w:tblCellMar>
        </w:tblPrEx>
        <w:trPr>
          <w:trHeight w:val="90" w:hRule="atLeast"/>
        </w:trPr>
        <w:tc>
          <w:tcPr>
            <w:tcW w:w="5000" w:type="pct"/>
            <w:gridSpan w:val="3"/>
            <w:tcBorders>
              <w:top w:val="nil"/>
              <w:left w:val="single" w:color="auto" w:sz="4" w:space="0"/>
              <w:bottom w:val="single" w:color="auto" w:sz="4" w:space="0"/>
              <w:right w:val="single" w:color="auto" w:sz="4" w:space="0"/>
            </w:tcBorders>
            <w:vAlign w:val="center"/>
          </w:tcPr>
          <w:p w14:paraId="0C945375">
            <w:pPr>
              <w:widowControl/>
              <w:rPr>
                <w:rFonts w:ascii="宋体" w:hAnsi="宋体"/>
                <w:szCs w:val="21"/>
              </w:rPr>
            </w:pPr>
            <w:r>
              <w:rPr>
                <w:rFonts w:hint="eastAsia" w:ascii="宋体" w:hAnsi="宋体"/>
                <w:szCs w:val="21"/>
              </w:rPr>
              <w:t>一、智能编码功能</w:t>
            </w:r>
          </w:p>
        </w:tc>
      </w:tr>
      <w:tr w14:paraId="00C68CB9">
        <w:tblPrEx>
          <w:tblCellMar>
            <w:top w:w="0" w:type="dxa"/>
            <w:left w:w="108" w:type="dxa"/>
            <w:bottom w:w="0" w:type="dxa"/>
            <w:right w:w="108" w:type="dxa"/>
          </w:tblCellMar>
        </w:tblPrEx>
        <w:trPr>
          <w:trHeight w:val="1523" w:hRule="atLeast"/>
        </w:trPr>
        <w:tc>
          <w:tcPr>
            <w:tcW w:w="363" w:type="pct"/>
            <w:tcBorders>
              <w:top w:val="nil"/>
              <w:left w:val="single" w:color="auto" w:sz="4" w:space="0"/>
              <w:bottom w:val="single" w:color="auto" w:sz="4" w:space="0"/>
              <w:right w:val="single" w:color="auto" w:sz="4" w:space="0"/>
            </w:tcBorders>
            <w:vAlign w:val="center"/>
          </w:tcPr>
          <w:p w14:paraId="7727FE1B">
            <w:pPr>
              <w:widowControl/>
              <w:jc w:val="center"/>
              <w:rPr>
                <w:rFonts w:ascii="宋体" w:hAnsi="宋体"/>
                <w:szCs w:val="21"/>
              </w:rPr>
            </w:pPr>
            <w:r>
              <w:rPr>
                <w:rFonts w:hint="eastAsia" w:ascii="宋体" w:hAnsi="宋体"/>
                <w:szCs w:val="21"/>
              </w:rPr>
              <w:t>1</w:t>
            </w:r>
          </w:p>
        </w:tc>
        <w:tc>
          <w:tcPr>
            <w:tcW w:w="993" w:type="pct"/>
            <w:tcBorders>
              <w:top w:val="nil"/>
              <w:left w:val="nil"/>
              <w:bottom w:val="single" w:color="auto" w:sz="4" w:space="0"/>
              <w:right w:val="single" w:color="auto" w:sz="4" w:space="0"/>
            </w:tcBorders>
            <w:vAlign w:val="center"/>
          </w:tcPr>
          <w:p w14:paraId="507B299D">
            <w:pPr>
              <w:widowControl/>
              <w:rPr>
                <w:rFonts w:ascii="宋体" w:hAnsi="宋体"/>
                <w:szCs w:val="21"/>
              </w:rPr>
            </w:pPr>
            <w:r>
              <w:rPr>
                <w:rFonts w:hint="eastAsia" w:ascii="宋体" w:hAnsi="宋体"/>
                <w:szCs w:val="21"/>
              </w:rPr>
              <w:t>编码辅助功能</w:t>
            </w:r>
          </w:p>
        </w:tc>
        <w:tc>
          <w:tcPr>
            <w:tcW w:w="3642" w:type="pct"/>
            <w:tcBorders>
              <w:top w:val="nil"/>
              <w:left w:val="nil"/>
              <w:bottom w:val="single" w:color="auto" w:sz="4" w:space="0"/>
              <w:right w:val="single" w:color="auto" w:sz="4" w:space="0"/>
            </w:tcBorders>
            <w:vAlign w:val="center"/>
          </w:tcPr>
          <w:p w14:paraId="7E7F8783">
            <w:pPr>
              <w:widowControl/>
              <w:rPr>
                <w:rFonts w:ascii="宋体" w:hAnsi="宋体"/>
                <w:szCs w:val="21"/>
              </w:rPr>
            </w:pPr>
            <w:r>
              <w:rPr>
                <w:rFonts w:hint="eastAsia" w:ascii="宋体" w:hAnsi="宋体"/>
                <w:szCs w:val="21"/>
              </w:rPr>
              <w:t>1、辅助编码员进行病案首页/医保结算清单填报；</w:t>
            </w:r>
          </w:p>
          <w:p w14:paraId="4A93DEF3">
            <w:pPr>
              <w:widowControl/>
              <w:rPr>
                <w:rFonts w:ascii="宋体" w:hAnsi="宋体"/>
                <w:szCs w:val="21"/>
              </w:rPr>
            </w:pPr>
            <w:r>
              <w:rPr>
                <w:rFonts w:hint="eastAsia" w:ascii="宋体" w:hAnsi="宋体"/>
                <w:szCs w:val="21"/>
              </w:rPr>
              <w:t>2、病案基本信息校验和判断提示，并可一键修复；</w:t>
            </w:r>
          </w:p>
          <w:p w14:paraId="096BDB82">
            <w:pPr>
              <w:widowControl/>
              <w:rPr>
                <w:rFonts w:ascii="宋体" w:hAnsi="宋体"/>
                <w:szCs w:val="21"/>
              </w:rPr>
            </w:pPr>
            <w:r>
              <w:rPr>
                <w:rFonts w:hint="eastAsia" w:ascii="宋体" w:hAnsi="宋体"/>
                <w:szCs w:val="21"/>
              </w:rPr>
              <w:t>3、多系统数据同屏概览，包括病历校验、病程记录、手麻信息、处方信息及检验检查信息等；</w:t>
            </w:r>
          </w:p>
          <w:p w14:paraId="044AF47E">
            <w:pPr>
              <w:widowControl/>
              <w:rPr>
                <w:rFonts w:ascii="宋体" w:hAnsi="宋体"/>
                <w:szCs w:val="21"/>
              </w:rPr>
            </w:pPr>
            <w:r>
              <w:rPr>
                <w:rFonts w:hint="eastAsia" w:ascii="宋体" w:hAnsi="宋体"/>
                <w:szCs w:val="21"/>
              </w:rPr>
              <w:t>4、编码员角色对病案首页的变更修改的操作有详细记录并且医生工作站有提醒。</w:t>
            </w:r>
          </w:p>
        </w:tc>
      </w:tr>
      <w:tr w14:paraId="07A6878B">
        <w:tblPrEx>
          <w:tblCellMar>
            <w:top w:w="0" w:type="dxa"/>
            <w:left w:w="108" w:type="dxa"/>
            <w:bottom w:w="0" w:type="dxa"/>
            <w:right w:w="108" w:type="dxa"/>
          </w:tblCellMar>
        </w:tblPrEx>
        <w:trPr>
          <w:trHeight w:val="1220" w:hRule="atLeast"/>
        </w:trPr>
        <w:tc>
          <w:tcPr>
            <w:tcW w:w="363" w:type="pct"/>
            <w:tcBorders>
              <w:top w:val="nil"/>
              <w:left w:val="single" w:color="auto" w:sz="4" w:space="0"/>
              <w:bottom w:val="single" w:color="auto" w:sz="4" w:space="0"/>
              <w:right w:val="single" w:color="auto" w:sz="4" w:space="0"/>
            </w:tcBorders>
            <w:vAlign w:val="center"/>
          </w:tcPr>
          <w:p w14:paraId="12699ED8">
            <w:pPr>
              <w:widowControl/>
              <w:jc w:val="center"/>
              <w:rPr>
                <w:rFonts w:ascii="宋体" w:hAnsi="宋体"/>
                <w:szCs w:val="21"/>
              </w:rPr>
            </w:pPr>
            <w:r>
              <w:rPr>
                <w:rFonts w:hint="eastAsia" w:ascii="宋体" w:hAnsi="宋体"/>
                <w:szCs w:val="21"/>
              </w:rPr>
              <w:t>2</w:t>
            </w:r>
          </w:p>
        </w:tc>
        <w:tc>
          <w:tcPr>
            <w:tcW w:w="993" w:type="pct"/>
            <w:tcBorders>
              <w:top w:val="nil"/>
              <w:left w:val="nil"/>
              <w:bottom w:val="single" w:color="auto" w:sz="4" w:space="0"/>
              <w:right w:val="single" w:color="auto" w:sz="4" w:space="0"/>
            </w:tcBorders>
            <w:vAlign w:val="center"/>
          </w:tcPr>
          <w:p w14:paraId="2C4EC894">
            <w:pPr>
              <w:widowControl/>
              <w:rPr>
                <w:rFonts w:ascii="宋体" w:hAnsi="宋体"/>
                <w:szCs w:val="21"/>
              </w:rPr>
            </w:pPr>
            <w:r>
              <w:rPr>
                <w:rFonts w:hint="eastAsia" w:ascii="宋体" w:hAnsi="宋体"/>
                <w:szCs w:val="21"/>
              </w:rPr>
              <w:t>编码知识包</w:t>
            </w:r>
          </w:p>
        </w:tc>
        <w:tc>
          <w:tcPr>
            <w:tcW w:w="3642" w:type="pct"/>
            <w:tcBorders>
              <w:top w:val="nil"/>
              <w:left w:val="nil"/>
              <w:bottom w:val="single" w:color="auto" w:sz="4" w:space="0"/>
              <w:right w:val="single" w:color="auto" w:sz="4" w:space="0"/>
            </w:tcBorders>
            <w:vAlign w:val="center"/>
          </w:tcPr>
          <w:p w14:paraId="10650156">
            <w:pPr>
              <w:widowControl/>
              <w:rPr>
                <w:rFonts w:ascii="宋体" w:hAnsi="宋体"/>
                <w:szCs w:val="21"/>
              </w:rPr>
            </w:pPr>
            <w:r>
              <w:rPr>
                <w:rFonts w:hint="eastAsia" w:ascii="宋体" w:hAnsi="宋体"/>
                <w:szCs w:val="21"/>
              </w:rPr>
              <w:t>编码知识包内置编码规则，主要大类包括：</w:t>
            </w:r>
          </w:p>
          <w:p w14:paraId="4CB28370">
            <w:pPr>
              <w:widowControl/>
              <w:rPr>
                <w:rFonts w:ascii="宋体" w:hAnsi="宋体"/>
                <w:szCs w:val="21"/>
              </w:rPr>
            </w:pPr>
            <w:r>
              <w:rPr>
                <w:rFonts w:hint="eastAsia" w:ascii="宋体" w:hAnsi="宋体"/>
                <w:szCs w:val="21"/>
              </w:rPr>
              <w:t>1）病案完整性规则；</w:t>
            </w:r>
          </w:p>
          <w:p w14:paraId="610E32CC">
            <w:pPr>
              <w:widowControl/>
              <w:rPr>
                <w:rFonts w:ascii="宋体" w:hAnsi="宋体"/>
                <w:szCs w:val="21"/>
              </w:rPr>
            </w:pPr>
            <w:r>
              <w:rPr>
                <w:rFonts w:hint="eastAsia" w:ascii="宋体" w:hAnsi="宋体"/>
                <w:szCs w:val="21"/>
              </w:rPr>
              <w:t>2）病案合理性规则；</w:t>
            </w:r>
          </w:p>
          <w:p w14:paraId="095AABEE">
            <w:pPr>
              <w:widowControl/>
              <w:rPr>
                <w:rFonts w:ascii="宋体" w:hAnsi="宋体"/>
                <w:szCs w:val="21"/>
              </w:rPr>
            </w:pPr>
            <w:r>
              <w:rPr>
                <w:rFonts w:hint="eastAsia" w:ascii="宋体" w:hAnsi="宋体"/>
                <w:szCs w:val="21"/>
              </w:rPr>
              <w:t>3）病案规范性规则。</w:t>
            </w:r>
          </w:p>
        </w:tc>
      </w:tr>
      <w:tr w14:paraId="4C6F66FD">
        <w:tblPrEx>
          <w:tblCellMar>
            <w:top w:w="0" w:type="dxa"/>
            <w:left w:w="108" w:type="dxa"/>
            <w:bottom w:w="0" w:type="dxa"/>
            <w:right w:w="108" w:type="dxa"/>
          </w:tblCellMar>
        </w:tblPrEx>
        <w:trPr>
          <w:trHeight w:val="939" w:hRule="atLeast"/>
        </w:trPr>
        <w:tc>
          <w:tcPr>
            <w:tcW w:w="363" w:type="pct"/>
            <w:tcBorders>
              <w:top w:val="nil"/>
              <w:left w:val="single" w:color="auto" w:sz="4" w:space="0"/>
              <w:bottom w:val="single" w:color="auto" w:sz="4" w:space="0"/>
              <w:right w:val="single" w:color="auto" w:sz="4" w:space="0"/>
            </w:tcBorders>
            <w:vAlign w:val="center"/>
          </w:tcPr>
          <w:p w14:paraId="60AD1533">
            <w:pPr>
              <w:widowControl/>
              <w:jc w:val="center"/>
              <w:rPr>
                <w:rFonts w:ascii="宋体" w:hAnsi="宋体"/>
                <w:szCs w:val="21"/>
              </w:rPr>
            </w:pPr>
            <w:r>
              <w:rPr>
                <w:rFonts w:hint="eastAsia" w:ascii="宋体" w:hAnsi="宋体"/>
                <w:szCs w:val="21"/>
              </w:rPr>
              <w:t>3</w:t>
            </w:r>
          </w:p>
        </w:tc>
        <w:tc>
          <w:tcPr>
            <w:tcW w:w="993" w:type="pct"/>
            <w:tcBorders>
              <w:top w:val="nil"/>
              <w:left w:val="nil"/>
              <w:bottom w:val="single" w:color="auto" w:sz="4" w:space="0"/>
              <w:right w:val="single" w:color="auto" w:sz="4" w:space="0"/>
            </w:tcBorders>
            <w:vAlign w:val="center"/>
          </w:tcPr>
          <w:p w14:paraId="3AB1D991">
            <w:pPr>
              <w:widowControl/>
              <w:rPr>
                <w:rFonts w:ascii="宋体" w:hAnsi="宋体"/>
                <w:szCs w:val="21"/>
              </w:rPr>
            </w:pPr>
            <w:r>
              <w:rPr>
                <w:rFonts w:hint="eastAsia" w:ascii="宋体" w:hAnsi="宋体"/>
                <w:szCs w:val="21"/>
              </w:rPr>
              <w:t>智能编码</w:t>
            </w:r>
          </w:p>
        </w:tc>
        <w:tc>
          <w:tcPr>
            <w:tcW w:w="3642" w:type="pct"/>
            <w:tcBorders>
              <w:top w:val="nil"/>
              <w:left w:val="nil"/>
              <w:bottom w:val="single" w:color="auto" w:sz="4" w:space="0"/>
              <w:right w:val="single" w:color="auto" w:sz="4" w:space="0"/>
            </w:tcBorders>
            <w:vAlign w:val="center"/>
          </w:tcPr>
          <w:p w14:paraId="55719C29">
            <w:pPr>
              <w:widowControl/>
              <w:rPr>
                <w:rFonts w:ascii="宋体" w:hAnsi="宋体"/>
                <w:szCs w:val="21"/>
              </w:rPr>
            </w:pPr>
            <w:r>
              <w:rPr>
                <w:rFonts w:hint="eastAsia" w:ascii="宋体" w:hAnsi="宋体"/>
                <w:szCs w:val="21"/>
              </w:rPr>
              <w:t>1、根据病案首页的诊断和手术信息会提供最优排列方式；</w:t>
            </w:r>
          </w:p>
          <w:p w14:paraId="45ED372E">
            <w:pPr>
              <w:widowControl/>
              <w:rPr>
                <w:rFonts w:ascii="宋体" w:hAnsi="宋体"/>
                <w:szCs w:val="21"/>
              </w:rPr>
            </w:pPr>
            <w:r>
              <w:rPr>
                <w:rFonts w:hint="eastAsia" w:ascii="宋体" w:hAnsi="宋体"/>
                <w:szCs w:val="21"/>
              </w:rPr>
              <w:t>2、匹配当地医保中心的分组规则，提供预分组功能；</w:t>
            </w:r>
          </w:p>
          <w:p w14:paraId="44A97D65">
            <w:pPr>
              <w:widowControl/>
              <w:rPr>
                <w:rFonts w:ascii="宋体" w:hAnsi="宋体"/>
                <w:szCs w:val="21"/>
              </w:rPr>
            </w:pPr>
            <w:r>
              <w:rPr>
                <w:rFonts w:hint="eastAsia" w:ascii="宋体" w:hAnsi="宋体"/>
                <w:szCs w:val="21"/>
              </w:rPr>
              <w:t>3、可对具体的收费项目配置模板，对诊断和手术进行智能提取；</w:t>
            </w:r>
          </w:p>
        </w:tc>
      </w:tr>
      <w:tr w14:paraId="6424C64D">
        <w:tblPrEx>
          <w:tblCellMar>
            <w:top w:w="0" w:type="dxa"/>
            <w:left w:w="108" w:type="dxa"/>
            <w:bottom w:w="0" w:type="dxa"/>
            <w:right w:w="108" w:type="dxa"/>
          </w:tblCellMar>
        </w:tblPrEx>
        <w:trPr>
          <w:trHeight w:val="646" w:hRule="atLeast"/>
        </w:trPr>
        <w:tc>
          <w:tcPr>
            <w:tcW w:w="363" w:type="pct"/>
            <w:tcBorders>
              <w:top w:val="nil"/>
              <w:left w:val="single" w:color="auto" w:sz="4" w:space="0"/>
              <w:bottom w:val="single" w:color="auto" w:sz="4" w:space="0"/>
              <w:right w:val="single" w:color="auto" w:sz="4" w:space="0"/>
            </w:tcBorders>
            <w:vAlign w:val="center"/>
          </w:tcPr>
          <w:p w14:paraId="04A6BFB8">
            <w:pPr>
              <w:widowControl/>
              <w:jc w:val="center"/>
              <w:rPr>
                <w:rFonts w:ascii="宋体" w:hAnsi="宋体"/>
                <w:szCs w:val="21"/>
              </w:rPr>
            </w:pPr>
            <w:r>
              <w:rPr>
                <w:rFonts w:hint="eastAsia" w:ascii="宋体" w:hAnsi="宋体"/>
                <w:szCs w:val="21"/>
              </w:rPr>
              <w:t>4</w:t>
            </w:r>
          </w:p>
        </w:tc>
        <w:tc>
          <w:tcPr>
            <w:tcW w:w="993" w:type="pct"/>
            <w:tcBorders>
              <w:top w:val="nil"/>
              <w:left w:val="nil"/>
              <w:bottom w:val="single" w:color="auto" w:sz="4" w:space="0"/>
              <w:right w:val="single" w:color="auto" w:sz="4" w:space="0"/>
            </w:tcBorders>
            <w:vAlign w:val="center"/>
          </w:tcPr>
          <w:p w14:paraId="18A38E2F">
            <w:pPr>
              <w:widowControl/>
              <w:rPr>
                <w:rFonts w:ascii="宋体" w:hAnsi="宋体"/>
                <w:szCs w:val="21"/>
              </w:rPr>
            </w:pPr>
            <w:r>
              <w:rPr>
                <w:rFonts w:hint="eastAsia" w:ascii="宋体" w:hAnsi="宋体"/>
                <w:szCs w:val="21"/>
              </w:rPr>
              <w:t>病案分发</w:t>
            </w:r>
          </w:p>
        </w:tc>
        <w:tc>
          <w:tcPr>
            <w:tcW w:w="3642" w:type="pct"/>
            <w:tcBorders>
              <w:top w:val="nil"/>
              <w:left w:val="nil"/>
              <w:bottom w:val="single" w:color="auto" w:sz="4" w:space="0"/>
              <w:right w:val="single" w:color="auto" w:sz="4" w:space="0"/>
            </w:tcBorders>
            <w:vAlign w:val="center"/>
          </w:tcPr>
          <w:p w14:paraId="484359FD">
            <w:pPr>
              <w:widowControl/>
              <w:rPr>
                <w:rFonts w:ascii="宋体" w:hAnsi="宋体"/>
                <w:szCs w:val="21"/>
              </w:rPr>
            </w:pPr>
            <w:r>
              <w:rPr>
                <w:rFonts w:hint="eastAsia" w:ascii="宋体" w:hAnsi="宋体"/>
                <w:szCs w:val="21"/>
              </w:rPr>
              <w:t>可根据医院编码员能力和医院业务需求，对院内病案信息进行分配，可按照人员数量和编码水平进行选择行分发。</w:t>
            </w:r>
          </w:p>
        </w:tc>
      </w:tr>
      <w:tr w14:paraId="76D7E053">
        <w:tblPrEx>
          <w:tblCellMar>
            <w:top w:w="0" w:type="dxa"/>
            <w:left w:w="108" w:type="dxa"/>
            <w:bottom w:w="0" w:type="dxa"/>
            <w:right w:w="108" w:type="dxa"/>
          </w:tblCellMar>
        </w:tblPrEx>
        <w:trPr>
          <w:trHeight w:val="1173" w:hRule="atLeast"/>
        </w:trPr>
        <w:tc>
          <w:tcPr>
            <w:tcW w:w="363" w:type="pct"/>
            <w:tcBorders>
              <w:top w:val="nil"/>
              <w:left w:val="single" w:color="auto" w:sz="4" w:space="0"/>
              <w:bottom w:val="single" w:color="auto" w:sz="4" w:space="0"/>
              <w:right w:val="single" w:color="auto" w:sz="4" w:space="0"/>
            </w:tcBorders>
            <w:vAlign w:val="center"/>
          </w:tcPr>
          <w:p w14:paraId="09B5A4E7">
            <w:pPr>
              <w:widowControl/>
              <w:jc w:val="center"/>
              <w:rPr>
                <w:rFonts w:ascii="宋体" w:hAnsi="宋体"/>
                <w:szCs w:val="21"/>
              </w:rPr>
            </w:pPr>
            <w:r>
              <w:rPr>
                <w:rFonts w:hint="eastAsia" w:ascii="宋体" w:hAnsi="宋体"/>
                <w:szCs w:val="21"/>
              </w:rPr>
              <w:t>5</w:t>
            </w:r>
          </w:p>
        </w:tc>
        <w:tc>
          <w:tcPr>
            <w:tcW w:w="993" w:type="pct"/>
            <w:tcBorders>
              <w:top w:val="nil"/>
              <w:left w:val="nil"/>
              <w:bottom w:val="single" w:color="auto" w:sz="4" w:space="0"/>
              <w:right w:val="single" w:color="auto" w:sz="4" w:space="0"/>
            </w:tcBorders>
            <w:vAlign w:val="center"/>
          </w:tcPr>
          <w:p w14:paraId="6B1032E9">
            <w:pPr>
              <w:widowControl/>
              <w:rPr>
                <w:rFonts w:ascii="宋体" w:hAnsi="宋体"/>
                <w:szCs w:val="21"/>
              </w:rPr>
            </w:pPr>
            <w:r>
              <w:rPr>
                <w:rFonts w:hint="eastAsia" w:ascii="宋体" w:hAnsi="宋体"/>
                <w:szCs w:val="21"/>
              </w:rPr>
              <w:t>预警提醒</w:t>
            </w:r>
          </w:p>
        </w:tc>
        <w:tc>
          <w:tcPr>
            <w:tcW w:w="3642" w:type="pct"/>
            <w:tcBorders>
              <w:top w:val="nil"/>
              <w:left w:val="nil"/>
              <w:bottom w:val="single" w:color="auto" w:sz="4" w:space="0"/>
              <w:right w:val="single" w:color="auto" w:sz="4" w:space="0"/>
            </w:tcBorders>
            <w:vAlign w:val="center"/>
          </w:tcPr>
          <w:p w14:paraId="7551EEFA">
            <w:pPr>
              <w:widowControl/>
              <w:rPr>
                <w:rFonts w:ascii="宋体" w:hAnsi="宋体"/>
                <w:szCs w:val="21"/>
              </w:rPr>
            </w:pPr>
            <w:r>
              <w:rPr>
                <w:rFonts w:hint="eastAsia" w:ascii="宋体" w:hAnsi="宋体"/>
                <w:szCs w:val="21"/>
              </w:rPr>
              <w:t>1、DRG分组预测提醒与预警，包括费用预警、病历首页质控预警、不合理入院预警等，预警条件支持自定义；</w:t>
            </w:r>
          </w:p>
          <w:p w14:paraId="5C1C3F42">
            <w:pPr>
              <w:widowControl/>
              <w:rPr>
                <w:rFonts w:ascii="宋体" w:hAnsi="宋体"/>
                <w:szCs w:val="21"/>
              </w:rPr>
            </w:pPr>
            <w:r>
              <w:rPr>
                <w:rFonts w:hint="eastAsia" w:ascii="宋体" w:hAnsi="宋体"/>
                <w:szCs w:val="21"/>
              </w:rPr>
              <w:t>2、支持查看费用明细；</w:t>
            </w:r>
          </w:p>
          <w:p w14:paraId="7D7208A0">
            <w:pPr>
              <w:widowControl/>
              <w:rPr>
                <w:rFonts w:ascii="宋体" w:hAnsi="宋体"/>
                <w:szCs w:val="21"/>
              </w:rPr>
            </w:pPr>
            <w:r>
              <w:rPr>
                <w:rFonts w:hint="eastAsia" w:ascii="宋体" w:hAnsi="宋体"/>
                <w:szCs w:val="21"/>
              </w:rPr>
              <w:t>3、支持15天再入院病例提示，可查看上一次住院的DRG分组与诊断/手术信息。</w:t>
            </w:r>
          </w:p>
        </w:tc>
      </w:tr>
      <w:tr w14:paraId="19D03120">
        <w:tblPrEx>
          <w:tblCellMar>
            <w:top w:w="0" w:type="dxa"/>
            <w:left w:w="108" w:type="dxa"/>
            <w:bottom w:w="0" w:type="dxa"/>
            <w:right w:w="108" w:type="dxa"/>
          </w:tblCellMar>
        </w:tblPrEx>
        <w:trPr>
          <w:trHeight w:val="437" w:hRule="atLeast"/>
        </w:trPr>
        <w:tc>
          <w:tcPr>
            <w:tcW w:w="363" w:type="pct"/>
            <w:tcBorders>
              <w:top w:val="nil"/>
              <w:left w:val="single" w:color="auto" w:sz="4" w:space="0"/>
              <w:bottom w:val="single" w:color="auto" w:sz="4" w:space="0"/>
              <w:right w:val="single" w:color="auto" w:sz="4" w:space="0"/>
            </w:tcBorders>
            <w:vAlign w:val="center"/>
          </w:tcPr>
          <w:p w14:paraId="70C6B5C4">
            <w:pPr>
              <w:widowControl/>
              <w:jc w:val="center"/>
              <w:rPr>
                <w:rFonts w:ascii="宋体" w:hAnsi="宋体"/>
                <w:szCs w:val="21"/>
              </w:rPr>
            </w:pPr>
            <w:r>
              <w:rPr>
                <w:rFonts w:hint="eastAsia" w:ascii="宋体" w:hAnsi="宋体"/>
                <w:szCs w:val="21"/>
              </w:rPr>
              <w:t>6</w:t>
            </w:r>
          </w:p>
        </w:tc>
        <w:tc>
          <w:tcPr>
            <w:tcW w:w="993" w:type="pct"/>
            <w:tcBorders>
              <w:top w:val="nil"/>
              <w:left w:val="nil"/>
              <w:bottom w:val="single" w:color="auto" w:sz="4" w:space="0"/>
              <w:right w:val="single" w:color="auto" w:sz="4" w:space="0"/>
            </w:tcBorders>
            <w:vAlign w:val="center"/>
          </w:tcPr>
          <w:p w14:paraId="288CF5FF">
            <w:pPr>
              <w:widowControl/>
              <w:rPr>
                <w:rFonts w:ascii="宋体" w:hAnsi="宋体"/>
                <w:szCs w:val="21"/>
              </w:rPr>
            </w:pPr>
            <w:r>
              <w:rPr>
                <w:rFonts w:hint="eastAsia" w:ascii="宋体" w:hAnsi="宋体"/>
                <w:szCs w:val="21"/>
              </w:rPr>
              <w:t>调整病案分配</w:t>
            </w:r>
          </w:p>
        </w:tc>
        <w:tc>
          <w:tcPr>
            <w:tcW w:w="3642" w:type="pct"/>
            <w:tcBorders>
              <w:top w:val="nil"/>
              <w:left w:val="nil"/>
              <w:bottom w:val="single" w:color="auto" w:sz="4" w:space="0"/>
              <w:right w:val="single" w:color="auto" w:sz="4" w:space="0"/>
            </w:tcBorders>
            <w:vAlign w:val="center"/>
          </w:tcPr>
          <w:p w14:paraId="4F51B135">
            <w:pPr>
              <w:widowControl/>
              <w:rPr>
                <w:rFonts w:ascii="宋体" w:hAnsi="宋体"/>
                <w:szCs w:val="21"/>
              </w:rPr>
            </w:pPr>
            <w:r>
              <w:rPr>
                <w:rFonts w:hint="eastAsia" w:ascii="宋体" w:hAnsi="宋体"/>
                <w:szCs w:val="21"/>
              </w:rPr>
              <w:t>病案管理员已经分配的病案，进行编码员更换。</w:t>
            </w:r>
          </w:p>
        </w:tc>
      </w:tr>
      <w:tr w14:paraId="614B40F3">
        <w:tblPrEx>
          <w:tblCellMar>
            <w:top w:w="0" w:type="dxa"/>
            <w:left w:w="108" w:type="dxa"/>
            <w:bottom w:w="0" w:type="dxa"/>
            <w:right w:w="108" w:type="dxa"/>
          </w:tblCellMar>
        </w:tblPrEx>
        <w:trPr>
          <w:trHeight w:val="313" w:hRule="atLeast"/>
        </w:trPr>
        <w:tc>
          <w:tcPr>
            <w:tcW w:w="363" w:type="pct"/>
            <w:tcBorders>
              <w:top w:val="nil"/>
              <w:left w:val="single" w:color="auto" w:sz="4" w:space="0"/>
              <w:bottom w:val="single" w:color="auto" w:sz="4" w:space="0"/>
              <w:right w:val="single" w:color="auto" w:sz="4" w:space="0"/>
            </w:tcBorders>
            <w:vAlign w:val="center"/>
          </w:tcPr>
          <w:p w14:paraId="431BDA40">
            <w:pPr>
              <w:widowControl/>
              <w:jc w:val="center"/>
              <w:rPr>
                <w:rFonts w:ascii="宋体" w:hAnsi="宋体"/>
                <w:szCs w:val="21"/>
              </w:rPr>
            </w:pPr>
            <w:r>
              <w:rPr>
                <w:rFonts w:hint="eastAsia" w:ascii="宋体" w:hAnsi="宋体"/>
                <w:szCs w:val="21"/>
              </w:rPr>
              <w:t>7</w:t>
            </w:r>
          </w:p>
        </w:tc>
        <w:tc>
          <w:tcPr>
            <w:tcW w:w="993" w:type="pct"/>
            <w:tcBorders>
              <w:top w:val="nil"/>
              <w:left w:val="nil"/>
              <w:bottom w:val="single" w:color="auto" w:sz="4" w:space="0"/>
              <w:right w:val="single" w:color="auto" w:sz="4" w:space="0"/>
            </w:tcBorders>
            <w:vAlign w:val="center"/>
          </w:tcPr>
          <w:p w14:paraId="7691AC35">
            <w:pPr>
              <w:widowControl/>
              <w:rPr>
                <w:rFonts w:ascii="宋体" w:hAnsi="宋体"/>
                <w:szCs w:val="21"/>
              </w:rPr>
            </w:pPr>
            <w:r>
              <w:rPr>
                <w:rFonts w:hint="eastAsia" w:ascii="宋体" w:hAnsi="宋体"/>
                <w:szCs w:val="21"/>
              </w:rPr>
              <w:t>编码员管理</w:t>
            </w:r>
          </w:p>
        </w:tc>
        <w:tc>
          <w:tcPr>
            <w:tcW w:w="3642" w:type="pct"/>
            <w:tcBorders>
              <w:top w:val="nil"/>
              <w:left w:val="nil"/>
              <w:bottom w:val="single" w:color="auto" w:sz="4" w:space="0"/>
              <w:right w:val="single" w:color="auto" w:sz="4" w:space="0"/>
            </w:tcBorders>
            <w:vAlign w:val="center"/>
          </w:tcPr>
          <w:p w14:paraId="01160228">
            <w:pPr>
              <w:widowControl/>
              <w:rPr>
                <w:rFonts w:ascii="宋体" w:hAnsi="宋体"/>
                <w:szCs w:val="21"/>
              </w:rPr>
            </w:pPr>
            <w:r>
              <w:rPr>
                <w:rFonts w:hint="eastAsia" w:ascii="宋体" w:hAnsi="宋体"/>
                <w:szCs w:val="21"/>
              </w:rPr>
              <w:t>可调整编码人员对应的编码科室及工作状态。</w:t>
            </w:r>
          </w:p>
        </w:tc>
      </w:tr>
      <w:tr w14:paraId="57290EB2">
        <w:tblPrEx>
          <w:tblCellMar>
            <w:top w:w="0" w:type="dxa"/>
            <w:left w:w="108" w:type="dxa"/>
            <w:bottom w:w="0" w:type="dxa"/>
            <w:right w:w="108" w:type="dxa"/>
          </w:tblCellMar>
        </w:tblPrEx>
        <w:trPr>
          <w:trHeight w:val="313"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5658A596">
            <w:pPr>
              <w:widowControl/>
              <w:rPr>
                <w:rFonts w:ascii="宋体" w:hAnsi="宋体"/>
                <w:szCs w:val="21"/>
              </w:rPr>
            </w:pPr>
            <w:r>
              <w:rPr>
                <w:rFonts w:hint="eastAsia" w:ascii="宋体" w:hAnsi="宋体"/>
                <w:szCs w:val="21"/>
              </w:rPr>
              <w:t>二、盈亏分析功能</w:t>
            </w:r>
          </w:p>
        </w:tc>
      </w:tr>
      <w:tr w14:paraId="0E3226A6">
        <w:tblPrEx>
          <w:tblCellMar>
            <w:top w:w="0" w:type="dxa"/>
            <w:left w:w="108" w:type="dxa"/>
            <w:bottom w:w="0" w:type="dxa"/>
            <w:right w:w="108" w:type="dxa"/>
          </w:tblCellMar>
        </w:tblPrEx>
        <w:trPr>
          <w:trHeight w:val="2430" w:hRule="atLeast"/>
        </w:trPr>
        <w:tc>
          <w:tcPr>
            <w:tcW w:w="363" w:type="pct"/>
            <w:tcBorders>
              <w:top w:val="single" w:color="auto" w:sz="4" w:space="0"/>
              <w:left w:val="single" w:color="auto" w:sz="4" w:space="0"/>
              <w:bottom w:val="single" w:color="auto" w:sz="4" w:space="0"/>
              <w:right w:val="single" w:color="auto" w:sz="4" w:space="0"/>
            </w:tcBorders>
            <w:vAlign w:val="center"/>
          </w:tcPr>
          <w:p w14:paraId="726DE3A8">
            <w:pPr>
              <w:widowControl/>
              <w:jc w:val="center"/>
              <w:rPr>
                <w:rFonts w:ascii="宋体" w:hAnsi="宋体"/>
                <w:szCs w:val="21"/>
              </w:rPr>
            </w:pPr>
            <w:r>
              <w:rPr>
                <w:rFonts w:hint="eastAsia" w:ascii="宋体" w:hAnsi="宋体"/>
                <w:szCs w:val="21"/>
              </w:rPr>
              <w:t>1</w:t>
            </w:r>
          </w:p>
        </w:tc>
        <w:tc>
          <w:tcPr>
            <w:tcW w:w="993" w:type="pct"/>
            <w:tcBorders>
              <w:top w:val="single" w:color="auto" w:sz="4" w:space="0"/>
              <w:left w:val="nil"/>
              <w:bottom w:val="single" w:color="auto" w:sz="4" w:space="0"/>
              <w:right w:val="nil"/>
            </w:tcBorders>
            <w:vAlign w:val="center"/>
          </w:tcPr>
          <w:p w14:paraId="3F7E2A2F">
            <w:pPr>
              <w:widowControl/>
              <w:jc w:val="left"/>
              <w:rPr>
                <w:rFonts w:ascii="宋体" w:hAnsi="宋体"/>
                <w:szCs w:val="21"/>
              </w:rPr>
            </w:pPr>
            <w:r>
              <w:rPr>
                <w:rFonts w:hint="eastAsia" w:ascii="宋体" w:hAnsi="宋体"/>
                <w:szCs w:val="21"/>
              </w:rPr>
              <w:t>未月结病案预算分析</w:t>
            </w:r>
          </w:p>
        </w:tc>
        <w:tc>
          <w:tcPr>
            <w:tcW w:w="3642" w:type="pct"/>
            <w:tcBorders>
              <w:top w:val="single" w:color="auto" w:sz="4" w:space="0"/>
              <w:left w:val="single" w:color="auto" w:sz="4" w:space="0"/>
              <w:bottom w:val="single" w:color="auto" w:sz="4" w:space="0"/>
              <w:right w:val="single" w:color="auto" w:sz="4" w:space="0"/>
            </w:tcBorders>
            <w:vAlign w:val="center"/>
          </w:tcPr>
          <w:p w14:paraId="64FB153C">
            <w:pPr>
              <w:widowControl/>
              <w:jc w:val="left"/>
              <w:rPr>
                <w:rFonts w:ascii="宋体" w:hAnsi="宋体"/>
                <w:szCs w:val="21"/>
              </w:rPr>
            </w:pPr>
            <w:r>
              <w:rPr>
                <w:rFonts w:hint="eastAsia" w:ascii="宋体" w:hAnsi="宋体"/>
                <w:szCs w:val="21"/>
              </w:rPr>
              <w:t xml:space="preserve">对当前医保未月结的病案根据医保结算清单或病案首页信息进行盈亏预测，能将病案按高编、低编、未入组及正常病案进行分类，并可逐一下钻至单一病案。 </w:t>
            </w:r>
          </w:p>
          <w:p w14:paraId="40CA4F87">
            <w:pPr>
              <w:widowControl/>
              <w:jc w:val="left"/>
              <w:rPr>
                <w:rFonts w:ascii="宋体" w:hAnsi="宋体"/>
                <w:szCs w:val="21"/>
              </w:rPr>
            </w:pPr>
            <w:r>
              <w:rPr>
                <w:rFonts w:hint="eastAsia" w:ascii="宋体" w:hAnsi="宋体"/>
                <w:szCs w:val="21"/>
              </w:rPr>
              <w:t>功能主要包括：</w:t>
            </w:r>
          </w:p>
          <w:p w14:paraId="7F635B1F">
            <w:pPr>
              <w:widowControl/>
              <w:jc w:val="left"/>
              <w:rPr>
                <w:rFonts w:ascii="宋体" w:hAnsi="宋体"/>
                <w:szCs w:val="21"/>
              </w:rPr>
            </w:pPr>
            <w:r>
              <w:rPr>
                <w:rFonts w:hint="eastAsia" w:ascii="宋体" w:hAnsi="宋体"/>
                <w:szCs w:val="21"/>
              </w:rPr>
              <w:t>1）对四类病案进行总体分析，包括总病例数、总费用、市标准费用、医院垫付金额、医保拟支付金额、垫付差额息，并按科室展示病案分布情况；</w:t>
            </w:r>
          </w:p>
          <w:p w14:paraId="352FDDA0">
            <w:pPr>
              <w:widowControl/>
              <w:jc w:val="left"/>
              <w:rPr>
                <w:rFonts w:ascii="宋体" w:hAnsi="宋体"/>
                <w:szCs w:val="21"/>
              </w:rPr>
            </w:pPr>
            <w:r>
              <w:rPr>
                <w:rFonts w:hint="eastAsia" w:ascii="宋体" w:hAnsi="宋体"/>
                <w:szCs w:val="21"/>
              </w:rPr>
              <w:t>2）从出院科室下钻到病案明细，包括患者姓名、主管医生、病案号、主诊断、DRG预分组信息、费用偏差；</w:t>
            </w:r>
          </w:p>
          <w:p w14:paraId="06672A0B">
            <w:pPr>
              <w:widowControl/>
              <w:jc w:val="left"/>
              <w:rPr>
                <w:rFonts w:ascii="宋体" w:hAnsi="宋体"/>
                <w:szCs w:val="21"/>
              </w:rPr>
            </w:pPr>
            <w:r>
              <w:rPr>
                <w:rFonts w:hint="eastAsia" w:ascii="宋体" w:hAnsi="宋体"/>
                <w:szCs w:val="21"/>
              </w:rPr>
              <w:t>3）最终可下钻到单个电子病案入组分析功能。</w:t>
            </w:r>
          </w:p>
        </w:tc>
      </w:tr>
      <w:tr w14:paraId="34BA63E4">
        <w:tblPrEx>
          <w:tblCellMar>
            <w:top w:w="0" w:type="dxa"/>
            <w:left w:w="108" w:type="dxa"/>
            <w:bottom w:w="0" w:type="dxa"/>
            <w:right w:w="108" w:type="dxa"/>
          </w:tblCellMar>
        </w:tblPrEx>
        <w:trPr>
          <w:trHeight w:val="1722" w:hRule="atLeast"/>
        </w:trPr>
        <w:tc>
          <w:tcPr>
            <w:tcW w:w="363" w:type="pct"/>
            <w:tcBorders>
              <w:top w:val="single" w:color="auto" w:sz="4" w:space="0"/>
              <w:left w:val="single" w:color="auto" w:sz="4" w:space="0"/>
              <w:bottom w:val="single" w:color="auto" w:sz="4" w:space="0"/>
              <w:right w:val="single" w:color="auto" w:sz="4" w:space="0"/>
            </w:tcBorders>
            <w:vAlign w:val="center"/>
          </w:tcPr>
          <w:p w14:paraId="2D139C2E">
            <w:pPr>
              <w:widowControl/>
              <w:jc w:val="center"/>
              <w:rPr>
                <w:rFonts w:ascii="宋体" w:hAnsi="宋体"/>
                <w:szCs w:val="21"/>
              </w:rPr>
            </w:pPr>
            <w:r>
              <w:rPr>
                <w:rFonts w:hint="eastAsia" w:ascii="宋体" w:hAnsi="宋体"/>
                <w:szCs w:val="21"/>
              </w:rPr>
              <w:t>2</w:t>
            </w:r>
          </w:p>
        </w:tc>
        <w:tc>
          <w:tcPr>
            <w:tcW w:w="993" w:type="pct"/>
            <w:tcBorders>
              <w:top w:val="single" w:color="auto" w:sz="4" w:space="0"/>
              <w:left w:val="single" w:color="auto" w:sz="4" w:space="0"/>
              <w:bottom w:val="single" w:color="auto" w:sz="4" w:space="0"/>
              <w:right w:val="single" w:color="auto" w:sz="4" w:space="0"/>
            </w:tcBorders>
            <w:vAlign w:val="center"/>
          </w:tcPr>
          <w:p w14:paraId="43743954">
            <w:pPr>
              <w:widowControl/>
              <w:rPr>
                <w:rFonts w:ascii="宋体" w:hAnsi="宋体"/>
                <w:szCs w:val="21"/>
              </w:rPr>
            </w:pPr>
            <w:r>
              <w:rPr>
                <w:rFonts w:hint="eastAsia" w:ascii="宋体" w:hAnsi="宋体"/>
                <w:szCs w:val="21"/>
              </w:rPr>
              <w:t>病案入组分析功能</w:t>
            </w:r>
          </w:p>
        </w:tc>
        <w:tc>
          <w:tcPr>
            <w:tcW w:w="3642" w:type="pct"/>
            <w:tcBorders>
              <w:top w:val="single" w:color="auto" w:sz="4" w:space="0"/>
              <w:left w:val="single" w:color="auto" w:sz="4" w:space="0"/>
              <w:bottom w:val="single" w:color="auto" w:sz="4" w:space="0"/>
              <w:right w:val="single" w:color="auto" w:sz="4" w:space="0"/>
            </w:tcBorders>
            <w:vAlign w:val="center"/>
          </w:tcPr>
          <w:p w14:paraId="2612A723">
            <w:pPr>
              <w:widowControl/>
              <w:rPr>
                <w:rFonts w:ascii="宋体" w:hAnsi="宋体"/>
                <w:szCs w:val="21"/>
              </w:rPr>
            </w:pPr>
            <w:r>
              <w:rPr>
                <w:rFonts w:hint="eastAsia" w:ascii="宋体" w:hAnsi="宋体"/>
                <w:szCs w:val="21"/>
              </w:rPr>
              <w:t>对存在偏差的病案进行原因分析，并判断出病案可能出错的环节，是编码不准确或是政策性亏损：</w:t>
            </w:r>
          </w:p>
          <w:p w14:paraId="70405579">
            <w:pPr>
              <w:widowControl/>
              <w:rPr>
                <w:rFonts w:ascii="宋体" w:hAnsi="宋体"/>
                <w:szCs w:val="21"/>
              </w:rPr>
            </w:pPr>
            <w:r>
              <w:rPr>
                <w:rFonts w:hint="eastAsia" w:ascii="宋体" w:hAnsi="宋体"/>
                <w:szCs w:val="21"/>
              </w:rPr>
              <w:t>主要包括：</w:t>
            </w:r>
          </w:p>
          <w:p w14:paraId="669A8002">
            <w:pPr>
              <w:widowControl/>
              <w:rPr>
                <w:rFonts w:ascii="宋体" w:hAnsi="宋体"/>
                <w:szCs w:val="21"/>
              </w:rPr>
            </w:pPr>
            <w:r>
              <w:rPr>
                <w:rFonts w:hint="eastAsia" w:ascii="宋体" w:hAnsi="宋体"/>
                <w:szCs w:val="21"/>
              </w:rPr>
              <w:t>1）按照费用六分类后，与标准值进行比较，判断是否由治疗手段差异过大引起的费用差异；</w:t>
            </w:r>
          </w:p>
          <w:p w14:paraId="0F993446">
            <w:pPr>
              <w:widowControl/>
              <w:rPr>
                <w:rFonts w:ascii="宋体" w:hAnsi="宋体"/>
                <w:szCs w:val="21"/>
              </w:rPr>
            </w:pPr>
            <w:r>
              <w:rPr>
                <w:rFonts w:hint="eastAsia" w:ascii="宋体" w:hAnsi="宋体"/>
                <w:szCs w:val="21"/>
              </w:rPr>
              <w:t>2）根据费用区间及处方相似性进行编码和分组推荐。</w:t>
            </w:r>
          </w:p>
        </w:tc>
      </w:tr>
      <w:tr w14:paraId="2A9CD0AB">
        <w:tblPrEx>
          <w:tblCellMar>
            <w:top w:w="0" w:type="dxa"/>
            <w:left w:w="108" w:type="dxa"/>
            <w:bottom w:w="0" w:type="dxa"/>
            <w:right w:w="108" w:type="dxa"/>
          </w:tblCellMar>
        </w:tblPrEx>
        <w:trPr>
          <w:trHeight w:val="3338" w:hRule="atLeast"/>
        </w:trPr>
        <w:tc>
          <w:tcPr>
            <w:tcW w:w="363" w:type="pct"/>
            <w:tcBorders>
              <w:top w:val="single" w:color="auto" w:sz="4" w:space="0"/>
              <w:left w:val="single" w:color="auto" w:sz="4" w:space="0"/>
              <w:bottom w:val="single" w:color="auto" w:sz="4" w:space="0"/>
              <w:right w:val="single" w:color="auto" w:sz="4" w:space="0"/>
            </w:tcBorders>
            <w:vAlign w:val="center"/>
          </w:tcPr>
          <w:p w14:paraId="6A8E9D45">
            <w:pPr>
              <w:widowControl/>
              <w:jc w:val="center"/>
              <w:rPr>
                <w:rFonts w:ascii="宋体" w:hAnsi="宋体"/>
                <w:szCs w:val="21"/>
              </w:rPr>
            </w:pPr>
            <w:r>
              <w:rPr>
                <w:rFonts w:hint="eastAsia" w:ascii="宋体" w:hAnsi="宋体"/>
                <w:szCs w:val="21"/>
              </w:rPr>
              <w:t>3</w:t>
            </w:r>
          </w:p>
        </w:tc>
        <w:tc>
          <w:tcPr>
            <w:tcW w:w="993" w:type="pct"/>
            <w:tcBorders>
              <w:top w:val="single" w:color="auto" w:sz="4" w:space="0"/>
              <w:left w:val="single" w:color="auto" w:sz="4" w:space="0"/>
              <w:bottom w:val="single" w:color="auto" w:sz="4" w:space="0"/>
              <w:right w:val="single" w:color="auto" w:sz="4" w:space="0"/>
            </w:tcBorders>
            <w:vAlign w:val="center"/>
          </w:tcPr>
          <w:p w14:paraId="17EA82DA">
            <w:pPr>
              <w:widowControl/>
              <w:jc w:val="left"/>
              <w:rPr>
                <w:rFonts w:ascii="宋体" w:hAnsi="宋体"/>
                <w:szCs w:val="21"/>
              </w:rPr>
            </w:pPr>
            <w:r>
              <w:rPr>
                <w:rFonts w:hint="eastAsia" w:ascii="宋体" w:hAnsi="宋体"/>
                <w:szCs w:val="21"/>
              </w:rPr>
              <w:t>已月结科室盈亏分析</w:t>
            </w:r>
          </w:p>
        </w:tc>
        <w:tc>
          <w:tcPr>
            <w:tcW w:w="3642" w:type="pct"/>
            <w:tcBorders>
              <w:top w:val="single" w:color="auto" w:sz="4" w:space="0"/>
              <w:left w:val="single" w:color="auto" w:sz="4" w:space="0"/>
              <w:bottom w:val="single" w:color="auto" w:sz="4" w:space="0"/>
              <w:right w:val="single" w:color="auto" w:sz="4" w:space="0"/>
            </w:tcBorders>
            <w:vAlign w:val="center"/>
          </w:tcPr>
          <w:p w14:paraId="386DDD5F">
            <w:pPr>
              <w:widowControl/>
              <w:rPr>
                <w:rFonts w:ascii="宋体" w:hAnsi="宋体"/>
                <w:szCs w:val="21"/>
              </w:rPr>
            </w:pPr>
            <w:r>
              <w:rPr>
                <w:rFonts w:hint="eastAsia" w:ascii="宋体" w:hAnsi="宋体"/>
                <w:szCs w:val="21"/>
              </w:rPr>
              <w:t>多维度对已月结的医保病案进行盈亏分析，提供科室排序及按科室下钻分析，通过此功能可逐步追踪医院盈亏出在哪些科室、哪些医生及具体病例。</w:t>
            </w:r>
          </w:p>
          <w:p w14:paraId="40949C24">
            <w:pPr>
              <w:widowControl/>
              <w:rPr>
                <w:rFonts w:ascii="宋体" w:hAnsi="宋体"/>
                <w:szCs w:val="21"/>
              </w:rPr>
            </w:pPr>
            <w:r>
              <w:rPr>
                <w:rFonts w:hint="eastAsia" w:ascii="宋体" w:hAnsi="宋体"/>
                <w:szCs w:val="21"/>
              </w:rPr>
              <w:t>主要功能包括：</w:t>
            </w:r>
          </w:p>
          <w:p w14:paraId="0232A177">
            <w:pPr>
              <w:widowControl/>
              <w:rPr>
                <w:rFonts w:ascii="宋体" w:hAnsi="宋体"/>
                <w:szCs w:val="21"/>
              </w:rPr>
            </w:pPr>
            <w:r>
              <w:rPr>
                <w:rFonts w:hint="eastAsia" w:ascii="宋体" w:hAnsi="宋体"/>
                <w:szCs w:val="21"/>
              </w:rPr>
              <w:t>1）汇总展示医院对应月份或自定义时间段的总病案数、DRG病组数、支用比、盈亏金额、入组病例数、例均住院日；</w:t>
            </w:r>
          </w:p>
          <w:p w14:paraId="7480B083">
            <w:pPr>
              <w:widowControl/>
              <w:rPr>
                <w:rFonts w:ascii="宋体" w:hAnsi="宋体"/>
                <w:szCs w:val="21"/>
              </w:rPr>
            </w:pPr>
            <w:r>
              <w:rPr>
                <w:rFonts w:hint="eastAsia" w:ascii="宋体" w:hAnsi="宋体"/>
                <w:szCs w:val="21"/>
              </w:rPr>
              <w:t>2）查询各科室的医院垫资、医保支付、盈亏金额、支用比、入组例数、DRG病组数信息，并可按指定项目排序；</w:t>
            </w:r>
          </w:p>
          <w:p w14:paraId="3C70AF60">
            <w:pPr>
              <w:widowControl/>
              <w:rPr>
                <w:rFonts w:ascii="宋体" w:hAnsi="宋体"/>
                <w:szCs w:val="21"/>
              </w:rPr>
            </w:pPr>
            <w:r>
              <w:rPr>
                <w:rFonts w:hint="eastAsia" w:ascii="宋体" w:hAnsi="宋体"/>
                <w:szCs w:val="21"/>
              </w:rPr>
              <w:t>3）可选择某一科室进行详细分析；</w:t>
            </w:r>
          </w:p>
          <w:p w14:paraId="59053A8A">
            <w:pPr>
              <w:widowControl/>
              <w:rPr>
                <w:rFonts w:ascii="宋体" w:hAnsi="宋体"/>
                <w:szCs w:val="21"/>
              </w:rPr>
            </w:pPr>
            <w:r>
              <w:rPr>
                <w:rFonts w:hint="eastAsia" w:ascii="宋体" w:hAnsi="宋体"/>
                <w:szCs w:val="21"/>
              </w:rPr>
              <w:t>4）对科室整体情况进行评价，包括总权重、CMI、例均费用、例均住院日的趋势图；科室内DRG病组列表及各病组的盈亏情况；</w:t>
            </w:r>
          </w:p>
          <w:p w14:paraId="6009E9FA">
            <w:pPr>
              <w:widowControl/>
              <w:rPr>
                <w:rFonts w:ascii="宋体" w:hAnsi="宋体"/>
                <w:szCs w:val="21"/>
              </w:rPr>
            </w:pPr>
            <w:r>
              <w:rPr>
                <w:rFonts w:hint="eastAsia" w:ascii="宋体" w:hAnsi="宋体"/>
                <w:szCs w:val="21"/>
              </w:rPr>
              <w:t>5）最终可下钻到单个电子病案分析功能。</w:t>
            </w:r>
          </w:p>
        </w:tc>
      </w:tr>
      <w:tr w14:paraId="0EA54926">
        <w:tblPrEx>
          <w:tblCellMar>
            <w:top w:w="0" w:type="dxa"/>
            <w:left w:w="108" w:type="dxa"/>
            <w:bottom w:w="0" w:type="dxa"/>
            <w:right w:w="108" w:type="dxa"/>
          </w:tblCellMar>
        </w:tblPrEx>
        <w:trPr>
          <w:trHeight w:val="2430" w:hRule="atLeast"/>
        </w:trPr>
        <w:tc>
          <w:tcPr>
            <w:tcW w:w="363" w:type="pct"/>
            <w:tcBorders>
              <w:top w:val="nil"/>
              <w:left w:val="single" w:color="auto" w:sz="4" w:space="0"/>
              <w:bottom w:val="single" w:color="auto" w:sz="4" w:space="0"/>
              <w:right w:val="single" w:color="auto" w:sz="4" w:space="0"/>
            </w:tcBorders>
            <w:vAlign w:val="center"/>
          </w:tcPr>
          <w:p w14:paraId="11458E2B">
            <w:pPr>
              <w:widowControl/>
              <w:jc w:val="center"/>
              <w:rPr>
                <w:rFonts w:ascii="宋体" w:hAnsi="宋体"/>
                <w:szCs w:val="21"/>
              </w:rPr>
            </w:pPr>
            <w:r>
              <w:rPr>
                <w:rFonts w:hint="eastAsia" w:ascii="宋体" w:hAnsi="宋体"/>
                <w:szCs w:val="21"/>
              </w:rPr>
              <w:t>4</w:t>
            </w:r>
          </w:p>
        </w:tc>
        <w:tc>
          <w:tcPr>
            <w:tcW w:w="993" w:type="pct"/>
            <w:tcBorders>
              <w:top w:val="single" w:color="auto" w:sz="4" w:space="0"/>
              <w:left w:val="nil"/>
              <w:bottom w:val="single" w:color="auto" w:sz="4" w:space="0"/>
              <w:right w:val="single" w:color="auto" w:sz="4" w:space="0"/>
            </w:tcBorders>
            <w:vAlign w:val="center"/>
          </w:tcPr>
          <w:p w14:paraId="4A635D20">
            <w:pPr>
              <w:widowControl/>
              <w:rPr>
                <w:rFonts w:ascii="宋体" w:hAnsi="宋体"/>
                <w:szCs w:val="21"/>
              </w:rPr>
            </w:pPr>
            <w:r>
              <w:rPr>
                <w:rFonts w:hint="eastAsia" w:ascii="宋体" w:hAnsi="宋体"/>
                <w:szCs w:val="21"/>
              </w:rPr>
              <w:t>科室-病组分析</w:t>
            </w:r>
          </w:p>
        </w:tc>
        <w:tc>
          <w:tcPr>
            <w:tcW w:w="3642" w:type="pct"/>
            <w:tcBorders>
              <w:top w:val="single" w:color="auto" w:sz="4" w:space="0"/>
              <w:left w:val="nil"/>
              <w:bottom w:val="single" w:color="auto" w:sz="4" w:space="0"/>
              <w:right w:val="single" w:color="auto" w:sz="4" w:space="0"/>
            </w:tcBorders>
            <w:vAlign w:val="center"/>
          </w:tcPr>
          <w:p w14:paraId="1C467F3E">
            <w:pPr>
              <w:widowControl/>
              <w:rPr>
                <w:rFonts w:ascii="宋体" w:hAnsi="宋体"/>
                <w:szCs w:val="21"/>
              </w:rPr>
            </w:pPr>
            <w:r>
              <w:rPr>
                <w:rFonts w:hint="eastAsia" w:ascii="宋体" w:hAnsi="宋体"/>
                <w:szCs w:val="21"/>
              </w:rPr>
              <w:t>多维度对指定的科室进行DRG病组情况分析，包括下面内容：</w:t>
            </w:r>
          </w:p>
          <w:p w14:paraId="65906BCF">
            <w:pPr>
              <w:widowControl/>
              <w:rPr>
                <w:rFonts w:ascii="宋体" w:hAnsi="宋体"/>
                <w:szCs w:val="21"/>
              </w:rPr>
            </w:pPr>
            <w:r>
              <w:rPr>
                <w:rFonts w:hint="eastAsia" w:ascii="宋体" w:hAnsi="宋体"/>
                <w:szCs w:val="21"/>
              </w:rPr>
              <w:t>1）科室下DRG总体情况分析；</w:t>
            </w:r>
          </w:p>
          <w:p w14:paraId="5FCFEE14">
            <w:pPr>
              <w:widowControl/>
              <w:rPr>
                <w:rFonts w:ascii="宋体" w:hAnsi="宋体"/>
                <w:szCs w:val="21"/>
              </w:rPr>
            </w:pPr>
            <w:r>
              <w:rPr>
                <w:rFonts w:hint="eastAsia" w:ascii="宋体" w:hAnsi="宋体"/>
                <w:szCs w:val="21"/>
              </w:rPr>
              <w:t>2）科室下本年度或自定义时间段DRG指标走势分析，包括病案数、总权重、CMI、平均住院日、例均费用；</w:t>
            </w:r>
          </w:p>
          <w:p w14:paraId="582B7E89">
            <w:pPr>
              <w:widowControl/>
              <w:rPr>
                <w:rFonts w:ascii="宋体" w:hAnsi="宋体"/>
                <w:szCs w:val="21"/>
              </w:rPr>
            </w:pPr>
            <w:r>
              <w:rPr>
                <w:rFonts w:hint="eastAsia" w:ascii="宋体" w:hAnsi="宋体"/>
                <w:szCs w:val="21"/>
              </w:rPr>
              <w:t>3）科室包含的DRG病组明细，可分析出该科室主要治疗哪些DRG病组，可病组-医生-患者分级下钻分析；</w:t>
            </w:r>
          </w:p>
          <w:p w14:paraId="0FDB4821">
            <w:pPr>
              <w:widowControl/>
              <w:rPr>
                <w:rFonts w:ascii="宋体" w:hAnsi="宋体"/>
                <w:szCs w:val="21"/>
              </w:rPr>
            </w:pPr>
            <w:r>
              <w:rPr>
                <w:rFonts w:hint="eastAsia" w:ascii="宋体" w:hAnsi="宋体"/>
                <w:szCs w:val="21"/>
              </w:rPr>
              <w:t>4）指定某个病组后，可按费用六分类对比本科室、本院其他科室、全市标准进行对照分析。</w:t>
            </w:r>
          </w:p>
        </w:tc>
      </w:tr>
      <w:tr w14:paraId="6BCA0417">
        <w:tblPrEx>
          <w:tblCellMar>
            <w:top w:w="0" w:type="dxa"/>
            <w:left w:w="108" w:type="dxa"/>
            <w:bottom w:w="0" w:type="dxa"/>
            <w:right w:w="108" w:type="dxa"/>
          </w:tblCellMar>
        </w:tblPrEx>
        <w:trPr>
          <w:trHeight w:val="90" w:hRule="atLeast"/>
        </w:trPr>
        <w:tc>
          <w:tcPr>
            <w:tcW w:w="363" w:type="pct"/>
            <w:tcBorders>
              <w:top w:val="nil"/>
              <w:left w:val="single" w:color="auto" w:sz="4" w:space="0"/>
              <w:bottom w:val="single" w:color="auto" w:sz="4" w:space="0"/>
              <w:right w:val="single" w:color="auto" w:sz="4" w:space="0"/>
            </w:tcBorders>
            <w:vAlign w:val="center"/>
          </w:tcPr>
          <w:p w14:paraId="5E8853DC">
            <w:pPr>
              <w:widowControl/>
              <w:jc w:val="center"/>
              <w:rPr>
                <w:rFonts w:ascii="宋体" w:hAnsi="宋体"/>
                <w:szCs w:val="21"/>
              </w:rPr>
            </w:pPr>
            <w:r>
              <w:rPr>
                <w:rFonts w:hint="eastAsia" w:ascii="宋体" w:hAnsi="宋体"/>
                <w:szCs w:val="21"/>
              </w:rPr>
              <w:t>5</w:t>
            </w:r>
          </w:p>
        </w:tc>
        <w:tc>
          <w:tcPr>
            <w:tcW w:w="993" w:type="pct"/>
            <w:tcBorders>
              <w:top w:val="nil"/>
              <w:left w:val="nil"/>
              <w:bottom w:val="single" w:color="auto" w:sz="4" w:space="0"/>
              <w:right w:val="single" w:color="auto" w:sz="4" w:space="0"/>
            </w:tcBorders>
            <w:vAlign w:val="center"/>
          </w:tcPr>
          <w:p w14:paraId="2907F508">
            <w:pPr>
              <w:widowControl/>
              <w:rPr>
                <w:rFonts w:ascii="宋体" w:hAnsi="宋体"/>
                <w:szCs w:val="21"/>
              </w:rPr>
            </w:pPr>
            <w:r>
              <w:rPr>
                <w:rFonts w:hint="eastAsia" w:ascii="宋体" w:hAnsi="宋体"/>
                <w:szCs w:val="21"/>
              </w:rPr>
              <w:t>全院DRG组分析</w:t>
            </w:r>
          </w:p>
        </w:tc>
        <w:tc>
          <w:tcPr>
            <w:tcW w:w="3642" w:type="pct"/>
            <w:tcBorders>
              <w:top w:val="nil"/>
              <w:left w:val="nil"/>
              <w:bottom w:val="nil"/>
              <w:right w:val="single" w:color="auto" w:sz="4" w:space="0"/>
            </w:tcBorders>
          </w:tcPr>
          <w:p w14:paraId="1812E5EA">
            <w:pPr>
              <w:widowControl/>
              <w:jc w:val="left"/>
              <w:rPr>
                <w:rFonts w:ascii="宋体" w:hAnsi="宋体"/>
                <w:szCs w:val="21"/>
              </w:rPr>
            </w:pPr>
            <w:r>
              <w:rPr>
                <w:rFonts w:hint="eastAsia" w:ascii="宋体" w:hAnsi="宋体"/>
                <w:szCs w:val="21"/>
              </w:rPr>
              <w:t>多维度对病案按DRG分组维度进型分析，支持按MDC大类进行选择分析。此功能里分析医院的学科建设情况，优势病组、劣势病组及对应科室情况，</w:t>
            </w:r>
          </w:p>
          <w:p w14:paraId="03C0B0AE">
            <w:pPr>
              <w:widowControl/>
              <w:jc w:val="left"/>
              <w:rPr>
                <w:rFonts w:ascii="宋体" w:hAnsi="宋体"/>
                <w:szCs w:val="21"/>
              </w:rPr>
            </w:pPr>
            <w:r>
              <w:rPr>
                <w:rFonts w:hint="eastAsia" w:ascii="宋体" w:hAnsi="宋体"/>
                <w:szCs w:val="21"/>
              </w:rPr>
              <w:t>主要包括：</w:t>
            </w:r>
          </w:p>
          <w:p w14:paraId="5A37D1E2">
            <w:pPr>
              <w:widowControl/>
              <w:jc w:val="left"/>
              <w:rPr>
                <w:rFonts w:ascii="宋体" w:hAnsi="宋体"/>
                <w:szCs w:val="21"/>
              </w:rPr>
            </w:pPr>
            <w:r>
              <w:rPr>
                <w:rFonts w:hint="eastAsia" w:ascii="宋体" w:hAnsi="宋体"/>
                <w:szCs w:val="21"/>
              </w:rPr>
              <w:t>1）查询各DRG组的病种成本、医院垫资、医保支付、盈亏金额、支用比、病案数、科室数等信息，并可按指定项目排序；</w:t>
            </w:r>
          </w:p>
          <w:p w14:paraId="706A444D">
            <w:pPr>
              <w:widowControl/>
              <w:jc w:val="left"/>
              <w:rPr>
                <w:rFonts w:ascii="宋体" w:hAnsi="宋体"/>
                <w:szCs w:val="21"/>
              </w:rPr>
            </w:pPr>
            <w:r>
              <w:rPr>
                <w:rFonts w:hint="eastAsia" w:ascii="宋体" w:hAnsi="宋体"/>
                <w:szCs w:val="21"/>
              </w:rPr>
              <w:t>2）可选择某一病组进行下钻详细分析。</w:t>
            </w:r>
          </w:p>
        </w:tc>
      </w:tr>
      <w:tr w14:paraId="2484DE41">
        <w:tblPrEx>
          <w:tblCellMar>
            <w:top w:w="0" w:type="dxa"/>
            <w:left w:w="108" w:type="dxa"/>
            <w:bottom w:w="0" w:type="dxa"/>
            <w:right w:w="108" w:type="dxa"/>
          </w:tblCellMar>
        </w:tblPrEx>
        <w:trPr>
          <w:trHeight w:val="1928" w:hRule="atLeast"/>
        </w:trPr>
        <w:tc>
          <w:tcPr>
            <w:tcW w:w="363" w:type="pct"/>
            <w:tcBorders>
              <w:top w:val="nil"/>
              <w:left w:val="single" w:color="auto" w:sz="4" w:space="0"/>
              <w:bottom w:val="single" w:color="auto" w:sz="4" w:space="0"/>
              <w:right w:val="single" w:color="auto" w:sz="4" w:space="0"/>
            </w:tcBorders>
            <w:vAlign w:val="center"/>
          </w:tcPr>
          <w:p w14:paraId="18032431">
            <w:pPr>
              <w:widowControl/>
              <w:jc w:val="center"/>
              <w:rPr>
                <w:rFonts w:ascii="宋体" w:hAnsi="宋体"/>
                <w:szCs w:val="21"/>
              </w:rPr>
            </w:pPr>
            <w:r>
              <w:rPr>
                <w:rFonts w:hint="eastAsia" w:ascii="宋体" w:hAnsi="宋体"/>
                <w:szCs w:val="21"/>
              </w:rPr>
              <w:t>6</w:t>
            </w:r>
          </w:p>
        </w:tc>
        <w:tc>
          <w:tcPr>
            <w:tcW w:w="993" w:type="pct"/>
            <w:tcBorders>
              <w:top w:val="nil"/>
              <w:left w:val="nil"/>
              <w:bottom w:val="single" w:color="auto" w:sz="4" w:space="0"/>
              <w:right w:val="single" w:color="auto" w:sz="4" w:space="0"/>
            </w:tcBorders>
            <w:vAlign w:val="center"/>
          </w:tcPr>
          <w:p w14:paraId="2817B33B">
            <w:pPr>
              <w:widowControl/>
              <w:rPr>
                <w:rFonts w:ascii="宋体" w:hAnsi="宋体"/>
                <w:szCs w:val="21"/>
              </w:rPr>
            </w:pPr>
            <w:r>
              <w:rPr>
                <w:rFonts w:hint="eastAsia" w:ascii="宋体" w:hAnsi="宋体"/>
                <w:szCs w:val="21"/>
              </w:rPr>
              <w:t>病组-科室分析</w:t>
            </w:r>
          </w:p>
        </w:tc>
        <w:tc>
          <w:tcPr>
            <w:tcW w:w="3642" w:type="pct"/>
            <w:tcBorders>
              <w:top w:val="single" w:color="auto" w:sz="4" w:space="0"/>
              <w:left w:val="nil"/>
              <w:bottom w:val="single" w:color="auto" w:sz="4" w:space="0"/>
              <w:right w:val="single" w:color="auto" w:sz="4" w:space="0"/>
            </w:tcBorders>
            <w:vAlign w:val="center"/>
          </w:tcPr>
          <w:p w14:paraId="3A790A57">
            <w:pPr>
              <w:widowControl/>
              <w:rPr>
                <w:rFonts w:ascii="宋体" w:hAnsi="宋体"/>
                <w:szCs w:val="21"/>
              </w:rPr>
            </w:pPr>
            <w:r>
              <w:rPr>
                <w:rFonts w:hint="eastAsia" w:ascii="宋体" w:hAnsi="宋体"/>
                <w:szCs w:val="21"/>
              </w:rPr>
              <w:t>多维度对指定DRG病案进行详细分析，包括下面内容：</w:t>
            </w:r>
          </w:p>
          <w:p w14:paraId="1363621C">
            <w:pPr>
              <w:widowControl/>
              <w:rPr>
                <w:rFonts w:ascii="宋体" w:hAnsi="宋体"/>
                <w:szCs w:val="21"/>
              </w:rPr>
            </w:pPr>
            <w:r>
              <w:rPr>
                <w:rFonts w:hint="eastAsia" w:ascii="宋体" w:hAnsi="宋体"/>
                <w:szCs w:val="21"/>
              </w:rPr>
              <w:t>1）该DRG总体情况分析；</w:t>
            </w:r>
          </w:p>
          <w:p w14:paraId="2B4E6896">
            <w:pPr>
              <w:widowControl/>
              <w:rPr>
                <w:rFonts w:ascii="宋体" w:hAnsi="宋体"/>
                <w:szCs w:val="21"/>
              </w:rPr>
            </w:pPr>
            <w:r>
              <w:rPr>
                <w:rFonts w:hint="eastAsia" w:ascii="宋体" w:hAnsi="宋体"/>
                <w:szCs w:val="21"/>
              </w:rPr>
              <w:t>2）该DRG组本年度或自定义时间段指标走势分析，包括病案数、总权重、平均住院日、例均费用等；</w:t>
            </w:r>
          </w:p>
          <w:p w14:paraId="22625CF5">
            <w:pPr>
              <w:widowControl/>
              <w:rPr>
                <w:rFonts w:ascii="宋体" w:hAnsi="宋体"/>
                <w:szCs w:val="21"/>
              </w:rPr>
            </w:pPr>
            <w:r>
              <w:rPr>
                <w:rFonts w:hint="eastAsia" w:ascii="宋体" w:hAnsi="宋体"/>
                <w:szCs w:val="21"/>
              </w:rPr>
              <w:t>3）对该DRG病组所在科室进行查询分析，可科室-医生-患者分级下钻分析；</w:t>
            </w:r>
          </w:p>
          <w:p w14:paraId="186C1FEB">
            <w:pPr>
              <w:widowControl/>
              <w:rPr>
                <w:rFonts w:ascii="宋体" w:hAnsi="宋体"/>
                <w:szCs w:val="21"/>
              </w:rPr>
            </w:pPr>
            <w:r>
              <w:rPr>
                <w:rFonts w:hint="eastAsia" w:ascii="宋体" w:hAnsi="宋体"/>
                <w:szCs w:val="21"/>
              </w:rPr>
              <w:t>指定某个科室后，可按费用六分类对比本科室、本院其他科室、标准进行对照分析。</w:t>
            </w:r>
          </w:p>
        </w:tc>
      </w:tr>
      <w:tr w14:paraId="34A2A93A">
        <w:tblPrEx>
          <w:tblCellMar>
            <w:top w:w="0" w:type="dxa"/>
            <w:left w:w="108" w:type="dxa"/>
            <w:bottom w:w="0" w:type="dxa"/>
            <w:right w:w="108" w:type="dxa"/>
          </w:tblCellMar>
        </w:tblPrEx>
        <w:trPr>
          <w:trHeight w:val="646" w:hRule="atLeast"/>
        </w:trPr>
        <w:tc>
          <w:tcPr>
            <w:tcW w:w="363" w:type="pct"/>
            <w:tcBorders>
              <w:top w:val="nil"/>
              <w:left w:val="single" w:color="auto" w:sz="4" w:space="0"/>
              <w:bottom w:val="single" w:color="auto" w:sz="4" w:space="0"/>
              <w:right w:val="single" w:color="auto" w:sz="4" w:space="0"/>
            </w:tcBorders>
            <w:vAlign w:val="center"/>
          </w:tcPr>
          <w:p w14:paraId="7E482227">
            <w:pPr>
              <w:widowControl/>
              <w:jc w:val="center"/>
              <w:rPr>
                <w:rFonts w:ascii="宋体" w:hAnsi="宋体"/>
                <w:szCs w:val="21"/>
              </w:rPr>
            </w:pPr>
            <w:r>
              <w:rPr>
                <w:rFonts w:hint="eastAsia" w:ascii="宋体" w:hAnsi="宋体"/>
                <w:szCs w:val="21"/>
              </w:rPr>
              <w:t>7</w:t>
            </w:r>
          </w:p>
        </w:tc>
        <w:tc>
          <w:tcPr>
            <w:tcW w:w="993" w:type="pct"/>
            <w:tcBorders>
              <w:top w:val="nil"/>
              <w:left w:val="nil"/>
              <w:bottom w:val="single" w:color="auto" w:sz="4" w:space="0"/>
              <w:right w:val="single" w:color="auto" w:sz="4" w:space="0"/>
            </w:tcBorders>
            <w:vAlign w:val="center"/>
          </w:tcPr>
          <w:p w14:paraId="092A25B7">
            <w:pPr>
              <w:widowControl/>
              <w:rPr>
                <w:rFonts w:ascii="宋体" w:hAnsi="宋体"/>
                <w:szCs w:val="21"/>
              </w:rPr>
            </w:pPr>
            <w:r>
              <w:rPr>
                <w:rFonts w:hint="eastAsia" w:ascii="宋体" w:hAnsi="宋体"/>
                <w:szCs w:val="21"/>
              </w:rPr>
              <w:t>标准表维护</w:t>
            </w:r>
          </w:p>
        </w:tc>
        <w:tc>
          <w:tcPr>
            <w:tcW w:w="3642" w:type="pct"/>
            <w:tcBorders>
              <w:top w:val="nil"/>
              <w:left w:val="nil"/>
              <w:bottom w:val="single" w:color="auto" w:sz="4" w:space="0"/>
              <w:right w:val="single" w:color="auto" w:sz="4" w:space="0"/>
            </w:tcBorders>
            <w:vAlign w:val="center"/>
          </w:tcPr>
          <w:p w14:paraId="27C8C0BF">
            <w:pPr>
              <w:widowControl/>
              <w:rPr>
                <w:rFonts w:ascii="宋体" w:hAnsi="宋体"/>
                <w:szCs w:val="21"/>
              </w:rPr>
            </w:pPr>
            <w:r>
              <w:rPr>
                <w:rFonts w:hint="eastAsia" w:ascii="宋体" w:hAnsi="宋体"/>
                <w:szCs w:val="21"/>
              </w:rPr>
              <w:t>将DRG组的各项信息进行标准值设定，包括各病组的权重、平均费用、六分类占比及平均住院日进行维护，并用于整个系统的对比分析。</w:t>
            </w:r>
          </w:p>
        </w:tc>
      </w:tr>
      <w:tr w14:paraId="507E9CFD">
        <w:tblPrEx>
          <w:tblCellMar>
            <w:top w:w="0" w:type="dxa"/>
            <w:left w:w="108" w:type="dxa"/>
            <w:bottom w:w="0" w:type="dxa"/>
            <w:right w:w="108" w:type="dxa"/>
          </w:tblCellMar>
        </w:tblPrEx>
        <w:trPr>
          <w:trHeight w:val="1066" w:hRule="atLeast"/>
        </w:trPr>
        <w:tc>
          <w:tcPr>
            <w:tcW w:w="363" w:type="pct"/>
            <w:tcBorders>
              <w:top w:val="single" w:color="auto" w:sz="4" w:space="0"/>
              <w:left w:val="single" w:color="auto" w:sz="4" w:space="0"/>
              <w:bottom w:val="single" w:color="auto" w:sz="4" w:space="0"/>
              <w:right w:val="single" w:color="auto" w:sz="4" w:space="0"/>
            </w:tcBorders>
            <w:vAlign w:val="center"/>
          </w:tcPr>
          <w:p w14:paraId="18A014F4">
            <w:pPr>
              <w:widowControl/>
              <w:jc w:val="center"/>
              <w:rPr>
                <w:rFonts w:ascii="宋体" w:hAnsi="宋体"/>
                <w:szCs w:val="21"/>
              </w:rPr>
            </w:pPr>
            <w:r>
              <w:rPr>
                <w:rFonts w:hint="eastAsia" w:ascii="宋体" w:hAnsi="宋体"/>
                <w:szCs w:val="21"/>
              </w:rPr>
              <w:t>8</w:t>
            </w:r>
          </w:p>
        </w:tc>
        <w:tc>
          <w:tcPr>
            <w:tcW w:w="993" w:type="pct"/>
            <w:tcBorders>
              <w:top w:val="single" w:color="auto" w:sz="4" w:space="0"/>
              <w:left w:val="single" w:color="auto" w:sz="4" w:space="0"/>
              <w:bottom w:val="single" w:color="auto" w:sz="4" w:space="0"/>
              <w:right w:val="single" w:color="auto" w:sz="4" w:space="0"/>
            </w:tcBorders>
            <w:vAlign w:val="center"/>
          </w:tcPr>
          <w:p w14:paraId="69BEE21A">
            <w:pPr>
              <w:widowControl/>
              <w:rPr>
                <w:rFonts w:ascii="宋体" w:hAnsi="宋体"/>
                <w:szCs w:val="21"/>
              </w:rPr>
            </w:pPr>
            <w:r>
              <w:rPr>
                <w:rFonts w:hint="eastAsia" w:ascii="宋体" w:hAnsi="宋体"/>
                <w:szCs w:val="21"/>
              </w:rPr>
              <w:t>科室发展评价</w:t>
            </w:r>
          </w:p>
        </w:tc>
        <w:tc>
          <w:tcPr>
            <w:tcW w:w="3642" w:type="pct"/>
            <w:tcBorders>
              <w:top w:val="single" w:color="auto" w:sz="4" w:space="0"/>
              <w:left w:val="single" w:color="auto" w:sz="4" w:space="0"/>
              <w:bottom w:val="single" w:color="auto" w:sz="4" w:space="0"/>
              <w:right w:val="single" w:color="auto" w:sz="4" w:space="0"/>
            </w:tcBorders>
            <w:vAlign w:val="center"/>
          </w:tcPr>
          <w:p w14:paraId="4D49634B">
            <w:pPr>
              <w:widowControl/>
              <w:rPr>
                <w:rFonts w:ascii="宋体" w:hAnsi="宋体"/>
                <w:szCs w:val="21"/>
              </w:rPr>
            </w:pPr>
            <w:r>
              <w:rPr>
                <w:rFonts w:hint="eastAsia" w:ascii="宋体" w:hAnsi="宋体"/>
                <w:szCs w:val="21"/>
              </w:rPr>
              <w:t>根据病案占比、盈亏金额等信息，中位数值为配置参数，以不同离散系数为主的科学计算条件下，将医院科室发展方向进行规划为：可扩张，可发展，可降本，可提高四部分以及每个科室各自详情展示，为医院科室发展提供抓手。</w:t>
            </w:r>
          </w:p>
        </w:tc>
      </w:tr>
      <w:tr w14:paraId="73CA79B0">
        <w:tblPrEx>
          <w:tblCellMar>
            <w:top w:w="0" w:type="dxa"/>
            <w:left w:w="108" w:type="dxa"/>
            <w:bottom w:w="0" w:type="dxa"/>
            <w:right w:w="108" w:type="dxa"/>
          </w:tblCellMar>
        </w:tblPrEx>
        <w:trPr>
          <w:trHeight w:val="313" w:hRule="atLeast"/>
        </w:trPr>
        <w:tc>
          <w:tcPr>
            <w:tcW w:w="363" w:type="pct"/>
            <w:tcBorders>
              <w:top w:val="single" w:color="auto" w:sz="4" w:space="0"/>
              <w:left w:val="single" w:color="auto" w:sz="4" w:space="0"/>
              <w:bottom w:val="single" w:color="auto" w:sz="4" w:space="0"/>
              <w:right w:val="single" w:color="auto" w:sz="4" w:space="0"/>
            </w:tcBorders>
            <w:vAlign w:val="center"/>
          </w:tcPr>
          <w:p w14:paraId="78F54EEE">
            <w:pPr>
              <w:widowControl/>
              <w:jc w:val="center"/>
              <w:rPr>
                <w:rFonts w:ascii="宋体" w:hAnsi="宋体"/>
                <w:szCs w:val="21"/>
              </w:rPr>
            </w:pPr>
            <w:r>
              <w:rPr>
                <w:rFonts w:hint="eastAsia" w:ascii="宋体" w:hAnsi="宋体"/>
                <w:szCs w:val="21"/>
              </w:rPr>
              <w:t>9</w:t>
            </w:r>
          </w:p>
        </w:tc>
        <w:tc>
          <w:tcPr>
            <w:tcW w:w="993" w:type="pct"/>
            <w:tcBorders>
              <w:top w:val="single" w:color="auto" w:sz="4" w:space="0"/>
              <w:left w:val="nil"/>
              <w:bottom w:val="single" w:color="auto" w:sz="4" w:space="0"/>
              <w:right w:val="single" w:color="auto" w:sz="4" w:space="0"/>
            </w:tcBorders>
            <w:vAlign w:val="center"/>
          </w:tcPr>
          <w:p w14:paraId="2FED306F">
            <w:pPr>
              <w:widowControl/>
              <w:rPr>
                <w:rFonts w:ascii="宋体" w:hAnsi="宋体"/>
                <w:szCs w:val="21"/>
              </w:rPr>
            </w:pPr>
            <w:r>
              <w:rPr>
                <w:rFonts w:hint="eastAsia" w:ascii="宋体" w:hAnsi="宋体"/>
                <w:szCs w:val="21"/>
              </w:rPr>
              <w:t>病案分组</w:t>
            </w:r>
          </w:p>
        </w:tc>
        <w:tc>
          <w:tcPr>
            <w:tcW w:w="3642" w:type="pct"/>
            <w:tcBorders>
              <w:top w:val="single" w:color="auto" w:sz="4" w:space="0"/>
              <w:left w:val="nil"/>
              <w:bottom w:val="single" w:color="auto" w:sz="4" w:space="0"/>
              <w:right w:val="single" w:color="auto" w:sz="4" w:space="0"/>
            </w:tcBorders>
            <w:vAlign w:val="center"/>
          </w:tcPr>
          <w:p w14:paraId="6689E400">
            <w:pPr>
              <w:widowControl/>
              <w:rPr>
                <w:rFonts w:ascii="宋体" w:hAnsi="宋体"/>
                <w:szCs w:val="21"/>
              </w:rPr>
            </w:pPr>
            <w:r>
              <w:rPr>
                <w:rFonts w:hint="eastAsia" w:ascii="宋体" w:hAnsi="宋体"/>
                <w:szCs w:val="21"/>
              </w:rPr>
              <w:t>基于内置的分组方案，对现有病例进行分组</w:t>
            </w:r>
          </w:p>
        </w:tc>
      </w:tr>
      <w:tr w14:paraId="6DC4B3CF">
        <w:tblPrEx>
          <w:tblCellMar>
            <w:top w:w="0" w:type="dxa"/>
            <w:left w:w="108" w:type="dxa"/>
            <w:bottom w:w="0" w:type="dxa"/>
            <w:right w:w="108" w:type="dxa"/>
          </w:tblCellMar>
        </w:tblPrEx>
        <w:trPr>
          <w:trHeight w:val="90" w:hRule="atLeast"/>
        </w:trPr>
        <w:tc>
          <w:tcPr>
            <w:tcW w:w="363" w:type="pct"/>
            <w:tcBorders>
              <w:top w:val="nil"/>
              <w:left w:val="single" w:color="auto" w:sz="4" w:space="0"/>
              <w:bottom w:val="single" w:color="auto" w:sz="4" w:space="0"/>
              <w:right w:val="single" w:color="auto" w:sz="4" w:space="0"/>
            </w:tcBorders>
            <w:vAlign w:val="center"/>
          </w:tcPr>
          <w:p w14:paraId="040F5257">
            <w:pPr>
              <w:widowControl/>
              <w:jc w:val="center"/>
              <w:rPr>
                <w:rFonts w:ascii="宋体" w:hAnsi="宋体"/>
                <w:szCs w:val="21"/>
              </w:rPr>
            </w:pPr>
            <w:r>
              <w:rPr>
                <w:rFonts w:hint="eastAsia" w:ascii="宋体" w:hAnsi="宋体"/>
                <w:szCs w:val="21"/>
              </w:rPr>
              <w:t>10</w:t>
            </w:r>
          </w:p>
        </w:tc>
        <w:tc>
          <w:tcPr>
            <w:tcW w:w="993" w:type="pct"/>
            <w:tcBorders>
              <w:top w:val="nil"/>
              <w:left w:val="nil"/>
              <w:bottom w:val="single" w:color="auto" w:sz="4" w:space="0"/>
              <w:right w:val="single" w:color="auto" w:sz="4" w:space="0"/>
            </w:tcBorders>
            <w:vAlign w:val="center"/>
          </w:tcPr>
          <w:p w14:paraId="01CA3DD3">
            <w:pPr>
              <w:widowControl/>
              <w:rPr>
                <w:rFonts w:ascii="宋体" w:hAnsi="宋体"/>
                <w:szCs w:val="21"/>
              </w:rPr>
            </w:pPr>
            <w:r>
              <w:rPr>
                <w:rFonts w:hint="eastAsia" w:ascii="宋体" w:hAnsi="宋体"/>
                <w:szCs w:val="21"/>
              </w:rPr>
              <w:t>分组器知识包</w:t>
            </w:r>
          </w:p>
        </w:tc>
        <w:tc>
          <w:tcPr>
            <w:tcW w:w="3642" w:type="pct"/>
            <w:tcBorders>
              <w:top w:val="nil"/>
              <w:left w:val="nil"/>
              <w:bottom w:val="single" w:color="auto" w:sz="4" w:space="0"/>
              <w:right w:val="single" w:color="auto" w:sz="4" w:space="0"/>
            </w:tcBorders>
            <w:vAlign w:val="center"/>
          </w:tcPr>
          <w:p w14:paraId="4CD6B230">
            <w:pPr>
              <w:widowControl/>
              <w:rPr>
                <w:rFonts w:ascii="宋体" w:hAnsi="宋体"/>
                <w:szCs w:val="21"/>
              </w:rPr>
            </w:pPr>
            <w:r>
              <w:rPr>
                <w:rFonts w:hint="eastAsia" w:ascii="宋体" w:hAnsi="宋体"/>
                <w:szCs w:val="21"/>
              </w:rPr>
              <w:t>内置符合当地CHS-DRG基本版的分组方案，月入组偏差率小于百分之三。</w:t>
            </w:r>
          </w:p>
        </w:tc>
      </w:tr>
      <w:tr w14:paraId="3422AC75">
        <w:tblPrEx>
          <w:tblCellMar>
            <w:top w:w="0" w:type="dxa"/>
            <w:left w:w="108" w:type="dxa"/>
            <w:bottom w:w="0" w:type="dxa"/>
            <w:right w:w="108" w:type="dxa"/>
          </w:tblCellMar>
        </w:tblPrEx>
        <w:trPr>
          <w:trHeight w:val="313"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180AEB7F">
            <w:pPr>
              <w:widowControl/>
              <w:rPr>
                <w:rFonts w:ascii="宋体" w:hAnsi="宋体"/>
                <w:szCs w:val="21"/>
              </w:rPr>
            </w:pPr>
            <w:r>
              <w:rPr>
                <w:rFonts w:hint="eastAsia" w:ascii="宋体" w:hAnsi="宋体"/>
                <w:szCs w:val="21"/>
              </w:rPr>
              <w:t>三、绩效分析功能</w:t>
            </w:r>
          </w:p>
        </w:tc>
      </w:tr>
      <w:tr w14:paraId="5A194DA1">
        <w:tblPrEx>
          <w:tblCellMar>
            <w:top w:w="0" w:type="dxa"/>
            <w:left w:w="108" w:type="dxa"/>
            <w:bottom w:w="0" w:type="dxa"/>
            <w:right w:w="108" w:type="dxa"/>
          </w:tblCellMar>
        </w:tblPrEx>
        <w:trPr>
          <w:trHeight w:val="90" w:hRule="atLeast"/>
        </w:trPr>
        <w:tc>
          <w:tcPr>
            <w:tcW w:w="363" w:type="pct"/>
            <w:tcBorders>
              <w:top w:val="single" w:color="auto" w:sz="4" w:space="0"/>
              <w:left w:val="single" w:color="auto" w:sz="4" w:space="0"/>
              <w:bottom w:val="single" w:color="auto" w:sz="4" w:space="0"/>
              <w:right w:val="single" w:color="auto" w:sz="4" w:space="0"/>
            </w:tcBorders>
            <w:vAlign w:val="center"/>
          </w:tcPr>
          <w:p w14:paraId="5B18833C">
            <w:pPr>
              <w:widowControl/>
              <w:jc w:val="center"/>
              <w:rPr>
                <w:rFonts w:ascii="宋体" w:hAnsi="宋体"/>
                <w:szCs w:val="21"/>
              </w:rPr>
            </w:pPr>
            <w:r>
              <w:rPr>
                <w:rFonts w:hint="eastAsia" w:ascii="宋体" w:hAnsi="宋体"/>
                <w:szCs w:val="21"/>
              </w:rPr>
              <w:t>1</w:t>
            </w:r>
          </w:p>
        </w:tc>
        <w:tc>
          <w:tcPr>
            <w:tcW w:w="993" w:type="pct"/>
            <w:tcBorders>
              <w:top w:val="single" w:color="auto" w:sz="4" w:space="0"/>
              <w:left w:val="single" w:color="auto" w:sz="4" w:space="0"/>
              <w:bottom w:val="single" w:color="auto" w:sz="4" w:space="0"/>
              <w:right w:val="single" w:color="auto" w:sz="4" w:space="0"/>
            </w:tcBorders>
            <w:vAlign w:val="center"/>
          </w:tcPr>
          <w:p w14:paraId="21CA3528">
            <w:pPr>
              <w:widowControl/>
              <w:rPr>
                <w:rFonts w:ascii="宋体" w:hAnsi="宋体"/>
                <w:szCs w:val="21"/>
              </w:rPr>
            </w:pPr>
            <w:r>
              <w:rPr>
                <w:rFonts w:hint="eastAsia" w:ascii="宋体" w:hAnsi="宋体"/>
                <w:szCs w:val="21"/>
              </w:rPr>
              <w:t>综合绩效管理</w:t>
            </w:r>
          </w:p>
        </w:tc>
        <w:tc>
          <w:tcPr>
            <w:tcW w:w="3642" w:type="pct"/>
            <w:tcBorders>
              <w:top w:val="single" w:color="auto" w:sz="4" w:space="0"/>
              <w:left w:val="single" w:color="auto" w:sz="4" w:space="0"/>
              <w:bottom w:val="single" w:color="auto" w:sz="4" w:space="0"/>
              <w:right w:val="single" w:color="auto" w:sz="4" w:space="0"/>
            </w:tcBorders>
            <w:vAlign w:val="center"/>
          </w:tcPr>
          <w:p w14:paraId="5C71D645">
            <w:pPr>
              <w:widowControl/>
              <w:rPr>
                <w:rFonts w:ascii="宋体" w:hAnsi="宋体"/>
                <w:szCs w:val="21"/>
              </w:rPr>
            </w:pPr>
            <w:r>
              <w:rPr>
                <w:rFonts w:hint="eastAsia" w:ascii="宋体" w:hAnsi="宋体"/>
                <w:szCs w:val="21"/>
              </w:rPr>
              <w:t>对各科室进行总体绩效评价。</w:t>
            </w:r>
          </w:p>
          <w:p w14:paraId="60A29AAD">
            <w:pPr>
              <w:widowControl/>
              <w:rPr>
                <w:rFonts w:ascii="宋体" w:hAnsi="宋体"/>
                <w:szCs w:val="21"/>
              </w:rPr>
            </w:pPr>
            <w:r>
              <w:rPr>
                <w:rFonts w:hint="eastAsia" w:ascii="宋体" w:hAnsi="宋体"/>
                <w:szCs w:val="21"/>
              </w:rPr>
              <w:t>1）将全院科室信息按照DRG的综合指标占比进行排名。可以根据不同情况对各项指标的权重进行配置比重，便可从综合评定确定科室的综合排名。</w:t>
            </w:r>
          </w:p>
          <w:p w14:paraId="55DA53BC">
            <w:pPr>
              <w:widowControl/>
              <w:rPr>
                <w:rFonts w:ascii="宋体" w:hAnsi="宋体"/>
                <w:szCs w:val="21"/>
              </w:rPr>
            </w:pPr>
            <w:r>
              <w:rPr>
                <w:rFonts w:hint="eastAsia" w:ascii="宋体" w:hAnsi="宋体"/>
                <w:szCs w:val="21"/>
              </w:rPr>
              <w:t>2）采用TOPSIS计算方法，对当前的总权重，DRG组数，CMI，时间消耗指数，费用消耗指数，低风险死亡率6项指标，对科室的综合能力进行分析判断。</w:t>
            </w:r>
          </w:p>
        </w:tc>
      </w:tr>
      <w:tr w14:paraId="2EB72968">
        <w:tblPrEx>
          <w:tblCellMar>
            <w:top w:w="0" w:type="dxa"/>
            <w:left w:w="108" w:type="dxa"/>
            <w:bottom w:w="0" w:type="dxa"/>
            <w:right w:w="108" w:type="dxa"/>
          </w:tblCellMar>
        </w:tblPrEx>
        <w:trPr>
          <w:trHeight w:val="918" w:hRule="atLeast"/>
        </w:trPr>
        <w:tc>
          <w:tcPr>
            <w:tcW w:w="363" w:type="pct"/>
            <w:tcBorders>
              <w:top w:val="single" w:color="auto" w:sz="4" w:space="0"/>
              <w:left w:val="single" w:color="auto" w:sz="4" w:space="0"/>
              <w:bottom w:val="single" w:color="auto" w:sz="4" w:space="0"/>
              <w:right w:val="single" w:color="auto" w:sz="4" w:space="0"/>
            </w:tcBorders>
            <w:vAlign w:val="center"/>
          </w:tcPr>
          <w:p w14:paraId="46A8E77B">
            <w:pPr>
              <w:widowControl/>
              <w:jc w:val="center"/>
              <w:rPr>
                <w:rFonts w:ascii="宋体" w:hAnsi="宋体"/>
                <w:szCs w:val="21"/>
              </w:rPr>
            </w:pPr>
            <w:r>
              <w:rPr>
                <w:rFonts w:hint="eastAsia" w:ascii="宋体" w:hAnsi="宋体"/>
                <w:szCs w:val="21"/>
              </w:rPr>
              <w:t>2</w:t>
            </w:r>
          </w:p>
        </w:tc>
        <w:tc>
          <w:tcPr>
            <w:tcW w:w="993" w:type="pct"/>
            <w:tcBorders>
              <w:top w:val="single" w:color="auto" w:sz="4" w:space="0"/>
              <w:left w:val="nil"/>
              <w:bottom w:val="single" w:color="auto" w:sz="4" w:space="0"/>
              <w:right w:val="single" w:color="auto" w:sz="4" w:space="0"/>
            </w:tcBorders>
            <w:vAlign w:val="center"/>
          </w:tcPr>
          <w:p w14:paraId="0F0B05BD">
            <w:pPr>
              <w:widowControl/>
              <w:rPr>
                <w:rFonts w:ascii="宋体" w:hAnsi="宋体"/>
                <w:szCs w:val="21"/>
              </w:rPr>
            </w:pPr>
            <w:r>
              <w:rPr>
                <w:rFonts w:hint="eastAsia" w:ascii="宋体" w:hAnsi="宋体"/>
                <w:szCs w:val="21"/>
              </w:rPr>
              <w:t>医院能力指标分析</w:t>
            </w:r>
          </w:p>
        </w:tc>
        <w:tc>
          <w:tcPr>
            <w:tcW w:w="3642" w:type="pct"/>
            <w:tcBorders>
              <w:top w:val="single" w:color="auto" w:sz="4" w:space="0"/>
              <w:left w:val="nil"/>
              <w:bottom w:val="single" w:color="auto" w:sz="4" w:space="0"/>
              <w:right w:val="single" w:color="auto" w:sz="4" w:space="0"/>
            </w:tcBorders>
            <w:vAlign w:val="center"/>
          </w:tcPr>
          <w:p w14:paraId="51A97F08">
            <w:pPr>
              <w:widowControl/>
              <w:rPr>
                <w:rFonts w:ascii="宋体" w:hAnsi="宋体"/>
                <w:szCs w:val="21"/>
              </w:rPr>
            </w:pPr>
            <w:r>
              <w:rPr>
                <w:rFonts w:hint="eastAsia" w:ascii="宋体" w:hAnsi="宋体"/>
                <w:szCs w:val="21"/>
              </w:rPr>
              <w:t>1）从能力维度对医院各科室进行绩效评价。</w:t>
            </w:r>
          </w:p>
          <w:p w14:paraId="296ABD4A">
            <w:pPr>
              <w:widowControl/>
              <w:rPr>
                <w:rFonts w:ascii="宋体" w:hAnsi="宋体"/>
                <w:szCs w:val="21"/>
              </w:rPr>
            </w:pPr>
            <w:r>
              <w:rPr>
                <w:rFonts w:hint="eastAsia" w:ascii="宋体" w:hAnsi="宋体"/>
                <w:szCs w:val="21"/>
              </w:rPr>
              <w:t>评价维度包括：总权重，DRG组数和CMI指数，对各维度进行科室排名，并可与历史数据进行同比和环比的数据分析。</w:t>
            </w:r>
          </w:p>
        </w:tc>
      </w:tr>
      <w:tr w14:paraId="7EAE6755">
        <w:tblPrEx>
          <w:tblCellMar>
            <w:top w:w="0" w:type="dxa"/>
            <w:left w:w="108" w:type="dxa"/>
            <w:bottom w:w="0" w:type="dxa"/>
            <w:right w:w="108" w:type="dxa"/>
          </w:tblCellMar>
        </w:tblPrEx>
        <w:trPr>
          <w:trHeight w:val="918" w:hRule="atLeast"/>
        </w:trPr>
        <w:tc>
          <w:tcPr>
            <w:tcW w:w="363" w:type="pct"/>
            <w:tcBorders>
              <w:top w:val="nil"/>
              <w:left w:val="single" w:color="auto" w:sz="4" w:space="0"/>
              <w:bottom w:val="single" w:color="auto" w:sz="4" w:space="0"/>
              <w:right w:val="single" w:color="auto" w:sz="4" w:space="0"/>
            </w:tcBorders>
            <w:vAlign w:val="center"/>
          </w:tcPr>
          <w:p w14:paraId="59CAAB3D">
            <w:pPr>
              <w:widowControl/>
              <w:jc w:val="center"/>
              <w:rPr>
                <w:rFonts w:ascii="宋体" w:hAnsi="宋体"/>
                <w:szCs w:val="21"/>
              </w:rPr>
            </w:pPr>
            <w:r>
              <w:rPr>
                <w:rFonts w:hint="eastAsia" w:ascii="宋体" w:hAnsi="宋体"/>
                <w:szCs w:val="21"/>
              </w:rPr>
              <w:t>3</w:t>
            </w:r>
          </w:p>
        </w:tc>
        <w:tc>
          <w:tcPr>
            <w:tcW w:w="993" w:type="pct"/>
            <w:tcBorders>
              <w:top w:val="nil"/>
              <w:left w:val="nil"/>
              <w:bottom w:val="single" w:color="auto" w:sz="4" w:space="0"/>
              <w:right w:val="single" w:color="auto" w:sz="4" w:space="0"/>
            </w:tcBorders>
            <w:vAlign w:val="center"/>
          </w:tcPr>
          <w:p w14:paraId="0C9DDBC8">
            <w:pPr>
              <w:widowControl/>
              <w:rPr>
                <w:rFonts w:ascii="宋体" w:hAnsi="宋体"/>
                <w:szCs w:val="21"/>
              </w:rPr>
            </w:pPr>
            <w:r>
              <w:rPr>
                <w:rFonts w:hint="eastAsia" w:ascii="宋体" w:hAnsi="宋体"/>
                <w:szCs w:val="21"/>
              </w:rPr>
              <w:t>医院效率指标分析</w:t>
            </w:r>
          </w:p>
        </w:tc>
        <w:tc>
          <w:tcPr>
            <w:tcW w:w="3642" w:type="pct"/>
            <w:tcBorders>
              <w:top w:val="nil"/>
              <w:left w:val="nil"/>
              <w:bottom w:val="single" w:color="auto" w:sz="4" w:space="0"/>
              <w:right w:val="single" w:color="auto" w:sz="4" w:space="0"/>
            </w:tcBorders>
            <w:vAlign w:val="center"/>
          </w:tcPr>
          <w:p w14:paraId="0BA4036F">
            <w:pPr>
              <w:widowControl/>
              <w:rPr>
                <w:rFonts w:ascii="宋体" w:hAnsi="宋体"/>
                <w:szCs w:val="21"/>
              </w:rPr>
            </w:pPr>
            <w:r>
              <w:rPr>
                <w:rFonts w:hint="eastAsia" w:ascii="宋体" w:hAnsi="宋体"/>
                <w:szCs w:val="21"/>
              </w:rPr>
              <w:t>1）从效率维度对医院各科室进行绩效评价。</w:t>
            </w:r>
          </w:p>
          <w:p w14:paraId="4D14AC50">
            <w:pPr>
              <w:widowControl/>
              <w:rPr>
                <w:rFonts w:ascii="宋体" w:hAnsi="宋体"/>
                <w:szCs w:val="21"/>
              </w:rPr>
            </w:pPr>
            <w:r>
              <w:rPr>
                <w:rFonts w:hint="eastAsia" w:ascii="宋体" w:hAnsi="宋体"/>
                <w:szCs w:val="21"/>
              </w:rPr>
              <w:t>评价维度包括：时间消耗指数，费用消耗指数，对各维度进行科室排名，并可与历史数据进行同比和环比的数据分析。</w:t>
            </w:r>
          </w:p>
        </w:tc>
      </w:tr>
      <w:tr w14:paraId="118AB6C2">
        <w:tblPrEx>
          <w:tblCellMar>
            <w:top w:w="0" w:type="dxa"/>
            <w:left w:w="108" w:type="dxa"/>
            <w:bottom w:w="0" w:type="dxa"/>
            <w:right w:w="108" w:type="dxa"/>
          </w:tblCellMar>
        </w:tblPrEx>
        <w:trPr>
          <w:trHeight w:val="1220" w:hRule="atLeast"/>
        </w:trPr>
        <w:tc>
          <w:tcPr>
            <w:tcW w:w="363" w:type="pct"/>
            <w:tcBorders>
              <w:top w:val="nil"/>
              <w:left w:val="single" w:color="auto" w:sz="4" w:space="0"/>
              <w:bottom w:val="single" w:color="auto" w:sz="4" w:space="0"/>
              <w:right w:val="single" w:color="auto" w:sz="4" w:space="0"/>
            </w:tcBorders>
            <w:vAlign w:val="center"/>
          </w:tcPr>
          <w:p w14:paraId="128746A2">
            <w:pPr>
              <w:widowControl/>
              <w:jc w:val="center"/>
              <w:rPr>
                <w:rFonts w:ascii="宋体" w:hAnsi="宋体"/>
                <w:szCs w:val="21"/>
              </w:rPr>
            </w:pPr>
            <w:r>
              <w:rPr>
                <w:rFonts w:hint="eastAsia" w:ascii="宋体" w:hAnsi="宋体"/>
                <w:szCs w:val="21"/>
              </w:rPr>
              <w:t>4</w:t>
            </w:r>
          </w:p>
        </w:tc>
        <w:tc>
          <w:tcPr>
            <w:tcW w:w="993" w:type="pct"/>
            <w:tcBorders>
              <w:top w:val="nil"/>
              <w:left w:val="nil"/>
              <w:bottom w:val="single" w:color="auto" w:sz="4" w:space="0"/>
              <w:right w:val="single" w:color="auto" w:sz="4" w:space="0"/>
            </w:tcBorders>
            <w:vAlign w:val="center"/>
          </w:tcPr>
          <w:p w14:paraId="3D57CDA7">
            <w:pPr>
              <w:widowControl/>
              <w:rPr>
                <w:rFonts w:ascii="宋体" w:hAnsi="宋体"/>
                <w:szCs w:val="21"/>
              </w:rPr>
            </w:pPr>
            <w:r>
              <w:rPr>
                <w:rFonts w:hint="eastAsia" w:ascii="宋体" w:hAnsi="宋体"/>
                <w:szCs w:val="21"/>
              </w:rPr>
              <w:t>医院质量指标分析</w:t>
            </w:r>
          </w:p>
        </w:tc>
        <w:tc>
          <w:tcPr>
            <w:tcW w:w="3642" w:type="pct"/>
            <w:tcBorders>
              <w:top w:val="nil"/>
              <w:left w:val="nil"/>
              <w:bottom w:val="single" w:color="auto" w:sz="4" w:space="0"/>
              <w:right w:val="single" w:color="auto" w:sz="4" w:space="0"/>
            </w:tcBorders>
            <w:vAlign w:val="center"/>
          </w:tcPr>
          <w:p w14:paraId="39B81D85">
            <w:pPr>
              <w:widowControl/>
              <w:rPr>
                <w:rFonts w:ascii="宋体" w:hAnsi="宋体"/>
                <w:szCs w:val="21"/>
              </w:rPr>
            </w:pPr>
            <w:r>
              <w:rPr>
                <w:rFonts w:hint="eastAsia" w:ascii="宋体" w:hAnsi="宋体"/>
                <w:szCs w:val="21"/>
              </w:rPr>
              <w:t>1）从质量维度对医院各科室进行绩效评价；</w:t>
            </w:r>
          </w:p>
          <w:p w14:paraId="2514965C">
            <w:pPr>
              <w:widowControl/>
              <w:rPr>
                <w:rFonts w:ascii="宋体" w:hAnsi="宋体"/>
                <w:szCs w:val="21"/>
              </w:rPr>
            </w:pPr>
            <w:r>
              <w:rPr>
                <w:rFonts w:hint="eastAsia" w:ascii="宋体" w:hAnsi="宋体"/>
                <w:szCs w:val="21"/>
              </w:rPr>
              <w:t>2）将风险等级进行总体分析，包括：无风险，低风险，中风险，中高风险和高风险五部分，可选择不同风险等级查询出对应风险情况的科室、死亡率及死亡病例数，并可查看死亡病例的具体信息。</w:t>
            </w:r>
          </w:p>
        </w:tc>
      </w:tr>
      <w:tr w14:paraId="6D6C17AE">
        <w:tblPrEx>
          <w:tblCellMar>
            <w:top w:w="0" w:type="dxa"/>
            <w:left w:w="108" w:type="dxa"/>
            <w:bottom w:w="0" w:type="dxa"/>
            <w:right w:w="108" w:type="dxa"/>
          </w:tblCellMar>
        </w:tblPrEx>
        <w:trPr>
          <w:trHeight w:val="704" w:hRule="atLeast"/>
        </w:trPr>
        <w:tc>
          <w:tcPr>
            <w:tcW w:w="363" w:type="pct"/>
            <w:tcBorders>
              <w:top w:val="nil"/>
              <w:left w:val="single" w:color="auto" w:sz="4" w:space="0"/>
              <w:bottom w:val="single" w:color="auto" w:sz="4" w:space="0"/>
              <w:right w:val="single" w:color="auto" w:sz="4" w:space="0"/>
            </w:tcBorders>
            <w:vAlign w:val="center"/>
          </w:tcPr>
          <w:p w14:paraId="2E09634F">
            <w:pPr>
              <w:widowControl/>
              <w:jc w:val="center"/>
              <w:rPr>
                <w:rFonts w:ascii="宋体" w:hAnsi="宋体"/>
                <w:szCs w:val="21"/>
              </w:rPr>
            </w:pPr>
            <w:r>
              <w:rPr>
                <w:rFonts w:hint="eastAsia" w:ascii="宋体" w:hAnsi="宋体"/>
                <w:szCs w:val="21"/>
              </w:rPr>
              <w:t>5</w:t>
            </w:r>
          </w:p>
        </w:tc>
        <w:tc>
          <w:tcPr>
            <w:tcW w:w="993" w:type="pct"/>
            <w:tcBorders>
              <w:top w:val="nil"/>
              <w:left w:val="nil"/>
              <w:bottom w:val="single" w:color="auto" w:sz="4" w:space="0"/>
              <w:right w:val="single" w:color="auto" w:sz="4" w:space="0"/>
            </w:tcBorders>
            <w:vAlign w:val="center"/>
          </w:tcPr>
          <w:p w14:paraId="337AB0AB">
            <w:pPr>
              <w:widowControl/>
              <w:rPr>
                <w:rFonts w:ascii="宋体" w:hAnsi="宋体"/>
                <w:szCs w:val="21"/>
              </w:rPr>
            </w:pPr>
            <w:r>
              <w:rPr>
                <w:rFonts w:hint="eastAsia" w:ascii="宋体" w:hAnsi="宋体"/>
                <w:szCs w:val="21"/>
              </w:rPr>
              <w:t>运营分析报告</w:t>
            </w:r>
          </w:p>
        </w:tc>
        <w:tc>
          <w:tcPr>
            <w:tcW w:w="3642" w:type="pct"/>
            <w:tcBorders>
              <w:top w:val="nil"/>
              <w:left w:val="nil"/>
              <w:bottom w:val="single" w:color="auto" w:sz="4" w:space="0"/>
              <w:right w:val="single" w:color="auto" w:sz="4" w:space="0"/>
            </w:tcBorders>
            <w:vAlign w:val="center"/>
          </w:tcPr>
          <w:p w14:paraId="76BFF621">
            <w:pPr>
              <w:widowControl/>
              <w:rPr>
                <w:rFonts w:ascii="宋体" w:hAnsi="宋体"/>
                <w:szCs w:val="21"/>
              </w:rPr>
            </w:pPr>
            <w:r>
              <w:rPr>
                <w:rFonts w:hint="eastAsia" w:ascii="宋体" w:hAnsi="宋体"/>
                <w:szCs w:val="21"/>
              </w:rPr>
              <w:t>为医院提供按月度的运营分析报告，内容包括：DRGs分析、科室分析及医院运营建议等。</w:t>
            </w:r>
          </w:p>
        </w:tc>
      </w:tr>
      <w:tr w14:paraId="1E8AE34F">
        <w:tblPrEx>
          <w:tblCellMar>
            <w:top w:w="0" w:type="dxa"/>
            <w:left w:w="108" w:type="dxa"/>
            <w:bottom w:w="0" w:type="dxa"/>
            <w:right w:w="108" w:type="dxa"/>
          </w:tblCellMar>
        </w:tblPrEx>
        <w:trPr>
          <w:trHeight w:val="313" w:hRule="atLeast"/>
        </w:trPr>
        <w:tc>
          <w:tcPr>
            <w:tcW w:w="5000" w:type="pct"/>
            <w:gridSpan w:val="3"/>
            <w:tcBorders>
              <w:top w:val="nil"/>
              <w:left w:val="single" w:color="auto" w:sz="4" w:space="0"/>
              <w:bottom w:val="single" w:color="auto" w:sz="4" w:space="0"/>
              <w:right w:val="single" w:color="auto" w:sz="4" w:space="0"/>
            </w:tcBorders>
            <w:vAlign w:val="center"/>
          </w:tcPr>
          <w:p w14:paraId="45396497">
            <w:pPr>
              <w:widowControl/>
              <w:rPr>
                <w:rFonts w:ascii="宋体" w:hAnsi="宋体"/>
                <w:szCs w:val="21"/>
              </w:rPr>
            </w:pPr>
            <w:r>
              <w:rPr>
                <w:rFonts w:hint="eastAsia" w:ascii="宋体" w:hAnsi="宋体"/>
                <w:szCs w:val="21"/>
              </w:rPr>
              <w:t>四、监控审核功能</w:t>
            </w:r>
          </w:p>
        </w:tc>
      </w:tr>
      <w:tr w14:paraId="14042875">
        <w:tblPrEx>
          <w:tblCellMar>
            <w:top w:w="0" w:type="dxa"/>
            <w:left w:w="108" w:type="dxa"/>
            <w:bottom w:w="0" w:type="dxa"/>
            <w:right w:w="108" w:type="dxa"/>
          </w:tblCellMar>
        </w:tblPrEx>
        <w:trPr>
          <w:trHeight w:val="615" w:hRule="atLeast"/>
        </w:trPr>
        <w:tc>
          <w:tcPr>
            <w:tcW w:w="363" w:type="pct"/>
            <w:tcBorders>
              <w:top w:val="nil"/>
              <w:left w:val="single" w:color="auto" w:sz="4" w:space="0"/>
              <w:bottom w:val="single" w:color="auto" w:sz="4" w:space="0"/>
              <w:right w:val="single" w:color="auto" w:sz="4" w:space="0"/>
            </w:tcBorders>
            <w:vAlign w:val="center"/>
          </w:tcPr>
          <w:p w14:paraId="7E0C5F70">
            <w:pPr>
              <w:widowControl/>
              <w:jc w:val="center"/>
              <w:rPr>
                <w:rFonts w:ascii="宋体" w:hAnsi="宋体"/>
                <w:szCs w:val="21"/>
              </w:rPr>
            </w:pPr>
            <w:r>
              <w:rPr>
                <w:rFonts w:hint="eastAsia" w:ascii="宋体" w:hAnsi="宋体"/>
                <w:szCs w:val="21"/>
              </w:rPr>
              <w:t>1</w:t>
            </w:r>
          </w:p>
        </w:tc>
        <w:tc>
          <w:tcPr>
            <w:tcW w:w="993" w:type="pct"/>
            <w:tcBorders>
              <w:top w:val="nil"/>
              <w:left w:val="nil"/>
              <w:bottom w:val="single" w:color="auto" w:sz="4" w:space="0"/>
              <w:right w:val="single" w:color="auto" w:sz="4" w:space="0"/>
            </w:tcBorders>
            <w:vAlign w:val="center"/>
          </w:tcPr>
          <w:p w14:paraId="3B8FB948">
            <w:pPr>
              <w:widowControl/>
              <w:rPr>
                <w:rFonts w:ascii="宋体" w:hAnsi="宋体"/>
                <w:szCs w:val="21"/>
              </w:rPr>
            </w:pPr>
            <w:r>
              <w:rPr>
                <w:rFonts w:hint="eastAsia" w:ascii="宋体" w:hAnsi="宋体"/>
                <w:szCs w:val="21"/>
              </w:rPr>
              <w:t>规则库查看</w:t>
            </w:r>
          </w:p>
        </w:tc>
        <w:tc>
          <w:tcPr>
            <w:tcW w:w="3642" w:type="pct"/>
            <w:tcBorders>
              <w:top w:val="nil"/>
              <w:left w:val="nil"/>
              <w:bottom w:val="single" w:color="auto" w:sz="4" w:space="0"/>
              <w:right w:val="single" w:color="auto" w:sz="4" w:space="0"/>
            </w:tcBorders>
            <w:vAlign w:val="center"/>
          </w:tcPr>
          <w:p w14:paraId="5ABC1A50">
            <w:pPr>
              <w:widowControl/>
              <w:rPr>
                <w:rFonts w:ascii="宋体" w:hAnsi="宋体"/>
                <w:szCs w:val="21"/>
              </w:rPr>
            </w:pPr>
            <w:r>
              <w:rPr>
                <w:rFonts w:hint="eastAsia" w:ascii="宋体" w:hAnsi="宋体"/>
                <w:szCs w:val="21"/>
              </w:rPr>
              <w:t>查看本系统支持的医保和DRG规则库，包括规则名称，规则编码，监控类型，解释说明。</w:t>
            </w:r>
          </w:p>
        </w:tc>
      </w:tr>
      <w:tr w14:paraId="0614223F">
        <w:tblPrEx>
          <w:tblCellMar>
            <w:top w:w="0" w:type="dxa"/>
            <w:left w:w="108" w:type="dxa"/>
            <w:bottom w:w="0" w:type="dxa"/>
            <w:right w:w="108" w:type="dxa"/>
          </w:tblCellMar>
        </w:tblPrEx>
        <w:trPr>
          <w:trHeight w:val="646" w:hRule="atLeast"/>
        </w:trPr>
        <w:tc>
          <w:tcPr>
            <w:tcW w:w="363" w:type="pct"/>
            <w:tcBorders>
              <w:top w:val="nil"/>
              <w:left w:val="single" w:color="auto" w:sz="4" w:space="0"/>
              <w:bottom w:val="single" w:color="auto" w:sz="4" w:space="0"/>
              <w:right w:val="single" w:color="auto" w:sz="4" w:space="0"/>
            </w:tcBorders>
            <w:vAlign w:val="center"/>
          </w:tcPr>
          <w:p w14:paraId="4D2DF9A0">
            <w:pPr>
              <w:widowControl/>
              <w:jc w:val="center"/>
              <w:rPr>
                <w:rFonts w:ascii="宋体" w:hAnsi="宋体"/>
                <w:szCs w:val="21"/>
              </w:rPr>
            </w:pPr>
            <w:r>
              <w:rPr>
                <w:rFonts w:hint="eastAsia" w:ascii="宋体" w:hAnsi="宋体"/>
                <w:szCs w:val="21"/>
              </w:rPr>
              <w:t>2</w:t>
            </w:r>
          </w:p>
        </w:tc>
        <w:tc>
          <w:tcPr>
            <w:tcW w:w="993" w:type="pct"/>
            <w:tcBorders>
              <w:top w:val="nil"/>
              <w:left w:val="nil"/>
              <w:bottom w:val="single" w:color="auto" w:sz="4" w:space="0"/>
              <w:right w:val="single" w:color="auto" w:sz="4" w:space="0"/>
            </w:tcBorders>
            <w:vAlign w:val="center"/>
          </w:tcPr>
          <w:p w14:paraId="2F16E271">
            <w:pPr>
              <w:widowControl/>
              <w:rPr>
                <w:rFonts w:ascii="宋体" w:hAnsi="宋体"/>
                <w:szCs w:val="21"/>
              </w:rPr>
            </w:pPr>
            <w:r>
              <w:rPr>
                <w:rFonts w:hint="eastAsia" w:ascii="宋体" w:hAnsi="宋体"/>
                <w:szCs w:val="21"/>
              </w:rPr>
              <w:t>知识库维护</w:t>
            </w:r>
          </w:p>
        </w:tc>
        <w:tc>
          <w:tcPr>
            <w:tcW w:w="3642" w:type="pct"/>
            <w:tcBorders>
              <w:top w:val="nil"/>
              <w:left w:val="nil"/>
              <w:bottom w:val="single" w:color="auto" w:sz="4" w:space="0"/>
              <w:right w:val="single" w:color="auto" w:sz="4" w:space="0"/>
            </w:tcBorders>
            <w:vAlign w:val="center"/>
          </w:tcPr>
          <w:p w14:paraId="0BAC438F">
            <w:pPr>
              <w:widowControl/>
              <w:rPr>
                <w:rFonts w:ascii="宋体" w:hAnsi="宋体"/>
                <w:szCs w:val="21"/>
              </w:rPr>
            </w:pPr>
            <w:r>
              <w:rPr>
                <w:rFonts w:hint="eastAsia" w:ascii="宋体" w:hAnsi="宋体"/>
                <w:szCs w:val="21"/>
              </w:rPr>
              <w:t>可以维护医保和DRG规则库规则依赖的知识库数据，不同规则依赖的知识库不同，可以维护的是药品、诊疗项目、病种等。</w:t>
            </w:r>
          </w:p>
        </w:tc>
      </w:tr>
      <w:tr w14:paraId="766F26C6">
        <w:tblPrEx>
          <w:tblCellMar>
            <w:top w:w="0" w:type="dxa"/>
            <w:left w:w="108" w:type="dxa"/>
            <w:bottom w:w="0" w:type="dxa"/>
            <w:right w:w="108" w:type="dxa"/>
          </w:tblCellMar>
        </w:tblPrEx>
        <w:trPr>
          <w:trHeight w:val="705" w:hRule="atLeast"/>
        </w:trPr>
        <w:tc>
          <w:tcPr>
            <w:tcW w:w="363" w:type="pct"/>
            <w:tcBorders>
              <w:top w:val="nil"/>
              <w:left w:val="single" w:color="auto" w:sz="4" w:space="0"/>
              <w:bottom w:val="single" w:color="auto" w:sz="4" w:space="0"/>
              <w:right w:val="single" w:color="auto" w:sz="4" w:space="0"/>
            </w:tcBorders>
            <w:vAlign w:val="center"/>
          </w:tcPr>
          <w:p w14:paraId="675E8A0F">
            <w:pPr>
              <w:widowControl/>
              <w:jc w:val="center"/>
              <w:rPr>
                <w:rFonts w:ascii="宋体" w:hAnsi="宋体"/>
                <w:szCs w:val="21"/>
              </w:rPr>
            </w:pPr>
            <w:r>
              <w:rPr>
                <w:rFonts w:hint="eastAsia" w:ascii="宋体" w:hAnsi="宋体"/>
                <w:szCs w:val="21"/>
              </w:rPr>
              <w:t>3</w:t>
            </w:r>
          </w:p>
        </w:tc>
        <w:tc>
          <w:tcPr>
            <w:tcW w:w="993" w:type="pct"/>
            <w:tcBorders>
              <w:top w:val="nil"/>
              <w:left w:val="nil"/>
              <w:bottom w:val="single" w:color="auto" w:sz="4" w:space="0"/>
              <w:right w:val="single" w:color="auto" w:sz="4" w:space="0"/>
            </w:tcBorders>
            <w:vAlign w:val="center"/>
          </w:tcPr>
          <w:p w14:paraId="7A34C8FD">
            <w:pPr>
              <w:widowControl/>
              <w:rPr>
                <w:rFonts w:ascii="宋体" w:hAnsi="宋体"/>
                <w:szCs w:val="21"/>
              </w:rPr>
            </w:pPr>
            <w:r>
              <w:rPr>
                <w:rFonts w:hint="eastAsia" w:ascii="宋体" w:hAnsi="宋体"/>
                <w:szCs w:val="21"/>
              </w:rPr>
              <w:t>规则实例配置</w:t>
            </w:r>
          </w:p>
        </w:tc>
        <w:tc>
          <w:tcPr>
            <w:tcW w:w="3642" w:type="pct"/>
            <w:tcBorders>
              <w:top w:val="nil"/>
              <w:left w:val="nil"/>
              <w:bottom w:val="single" w:color="auto" w:sz="4" w:space="0"/>
              <w:right w:val="single" w:color="auto" w:sz="4" w:space="0"/>
            </w:tcBorders>
            <w:vAlign w:val="center"/>
          </w:tcPr>
          <w:p w14:paraId="000E9AF5">
            <w:pPr>
              <w:widowControl/>
              <w:rPr>
                <w:rFonts w:ascii="宋体" w:hAnsi="宋体"/>
                <w:szCs w:val="21"/>
              </w:rPr>
            </w:pPr>
            <w:r>
              <w:rPr>
                <w:rFonts w:hint="eastAsia" w:ascii="宋体" w:hAnsi="宋体"/>
                <w:szCs w:val="21"/>
              </w:rPr>
              <w:t>1）配置本院上线使用的规则方案，从规则库中选取规则，配合场景，组成规则实例；</w:t>
            </w:r>
          </w:p>
          <w:p w14:paraId="7E126EF7">
            <w:pPr>
              <w:widowControl/>
              <w:rPr>
                <w:rFonts w:ascii="宋体" w:hAnsi="宋体"/>
                <w:szCs w:val="21"/>
              </w:rPr>
            </w:pPr>
            <w:r>
              <w:rPr>
                <w:rFonts w:hint="eastAsia" w:ascii="宋体" w:hAnsi="宋体"/>
                <w:szCs w:val="21"/>
              </w:rPr>
              <w:t>2）支持手工修改规则实例的启停。</w:t>
            </w:r>
          </w:p>
        </w:tc>
      </w:tr>
      <w:tr w14:paraId="64F717B3">
        <w:tblPrEx>
          <w:tblCellMar>
            <w:top w:w="0" w:type="dxa"/>
            <w:left w:w="108" w:type="dxa"/>
            <w:bottom w:w="0" w:type="dxa"/>
            <w:right w:w="108" w:type="dxa"/>
          </w:tblCellMar>
        </w:tblPrEx>
        <w:trPr>
          <w:trHeight w:val="918" w:hRule="atLeast"/>
        </w:trPr>
        <w:tc>
          <w:tcPr>
            <w:tcW w:w="363" w:type="pct"/>
            <w:tcBorders>
              <w:top w:val="nil"/>
              <w:left w:val="single" w:color="auto" w:sz="4" w:space="0"/>
              <w:bottom w:val="single" w:color="auto" w:sz="4" w:space="0"/>
              <w:right w:val="single" w:color="auto" w:sz="4" w:space="0"/>
            </w:tcBorders>
            <w:vAlign w:val="center"/>
          </w:tcPr>
          <w:p w14:paraId="40632CFE">
            <w:pPr>
              <w:widowControl/>
              <w:jc w:val="center"/>
              <w:rPr>
                <w:rFonts w:ascii="宋体" w:hAnsi="宋体"/>
                <w:szCs w:val="21"/>
              </w:rPr>
            </w:pPr>
            <w:r>
              <w:rPr>
                <w:rFonts w:hint="eastAsia" w:ascii="宋体" w:hAnsi="宋体"/>
                <w:szCs w:val="21"/>
              </w:rPr>
              <w:t>4</w:t>
            </w:r>
          </w:p>
        </w:tc>
        <w:tc>
          <w:tcPr>
            <w:tcW w:w="993" w:type="pct"/>
            <w:tcBorders>
              <w:top w:val="nil"/>
              <w:left w:val="nil"/>
              <w:bottom w:val="single" w:color="auto" w:sz="4" w:space="0"/>
              <w:right w:val="single" w:color="auto" w:sz="4" w:space="0"/>
            </w:tcBorders>
            <w:vAlign w:val="center"/>
          </w:tcPr>
          <w:p w14:paraId="1CFF74C2">
            <w:pPr>
              <w:widowControl/>
              <w:rPr>
                <w:rFonts w:ascii="宋体" w:hAnsi="宋体"/>
                <w:szCs w:val="21"/>
              </w:rPr>
            </w:pPr>
            <w:r>
              <w:rPr>
                <w:rFonts w:hint="eastAsia" w:ascii="宋体" w:hAnsi="宋体"/>
                <w:szCs w:val="21"/>
              </w:rPr>
              <w:t>诊间提醒</w:t>
            </w:r>
          </w:p>
        </w:tc>
        <w:tc>
          <w:tcPr>
            <w:tcW w:w="3642" w:type="pct"/>
            <w:tcBorders>
              <w:top w:val="nil"/>
              <w:left w:val="nil"/>
              <w:bottom w:val="single" w:color="auto" w:sz="4" w:space="0"/>
              <w:right w:val="single" w:color="auto" w:sz="4" w:space="0"/>
            </w:tcBorders>
            <w:vAlign w:val="center"/>
          </w:tcPr>
          <w:p w14:paraId="49346E41">
            <w:pPr>
              <w:widowControl/>
              <w:rPr>
                <w:rFonts w:ascii="宋体" w:hAnsi="宋体"/>
                <w:szCs w:val="21"/>
              </w:rPr>
            </w:pPr>
            <w:r>
              <w:rPr>
                <w:rFonts w:hint="eastAsia" w:ascii="宋体" w:hAnsi="宋体"/>
                <w:szCs w:val="21"/>
              </w:rPr>
              <w:t>系统提供接口供HIS系统调用，在医生工作站、护士工作站下医嘱时，调用我方系统，我方系统根据配置好的规则方案进行校验，对违反规则的疑点予以提示，由医生、护士选择走医保还是自费。</w:t>
            </w:r>
          </w:p>
        </w:tc>
      </w:tr>
      <w:tr w14:paraId="7F86174F">
        <w:tblPrEx>
          <w:tblCellMar>
            <w:top w:w="0" w:type="dxa"/>
            <w:left w:w="108" w:type="dxa"/>
            <w:bottom w:w="0" w:type="dxa"/>
            <w:right w:w="108" w:type="dxa"/>
          </w:tblCellMar>
        </w:tblPrEx>
        <w:trPr>
          <w:trHeight w:val="2891" w:hRule="atLeast"/>
        </w:trPr>
        <w:tc>
          <w:tcPr>
            <w:tcW w:w="363" w:type="pct"/>
            <w:tcBorders>
              <w:top w:val="single" w:color="auto" w:sz="4" w:space="0"/>
              <w:left w:val="single" w:color="auto" w:sz="4" w:space="0"/>
              <w:bottom w:val="single" w:color="auto" w:sz="4" w:space="0"/>
              <w:right w:val="single" w:color="auto" w:sz="4" w:space="0"/>
            </w:tcBorders>
            <w:vAlign w:val="center"/>
          </w:tcPr>
          <w:p w14:paraId="0379923E">
            <w:pPr>
              <w:widowControl/>
              <w:jc w:val="center"/>
              <w:rPr>
                <w:rFonts w:ascii="宋体" w:hAnsi="宋体"/>
                <w:szCs w:val="21"/>
              </w:rPr>
            </w:pPr>
            <w:r>
              <w:rPr>
                <w:rFonts w:hint="eastAsia" w:ascii="宋体" w:hAnsi="宋体"/>
                <w:szCs w:val="21"/>
              </w:rPr>
              <w:t>5</w:t>
            </w:r>
          </w:p>
        </w:tc>
        <w:tc>
          <w:tcPr>
            <w:tcW w:w="993" w:type="pct"/>
            <w:tcBorders>
              <w:top w:val="single" w:color="auto" w:sz="4" w:space="0"/>
              <w:left w:val="single" w:color="auto" w:sz="4" w:space="0"/>
              <w:bottom w:val="single" w:color="auto" w:sz="4" w:space="0"/>
              <w:right w:val="single" w:color="auto" w:sz="4" w:space="0"/>
            </w:tcBorders>
            <w:vAlign w:val="center"/>
          </w:tcPr>
          <w:p w14:paraId="00BA7A94">
            <w:pPr>
              <w:widowControl/>
              <w:rPr>
                <w:rFonts w:ascii="宋体" w:hAnsi="宋体"/>
                <w:szCs w:val="21"/>
              </w:rPr>
            </w:pPr>
            <w:r>
              <w:rPr>
                <w:rFonts w:hint="eastAsia" w:ascii="宋体" w:hAnsi="宋体"/>
                <w:szCs w:val="21"/>
              </w:rPr>
              <w:t>在院疑点审核</w:t>
            </w:r>
          </w:p>
        </w:tc>
        <w:tc>
          <w:tcPr>
            <w:tcW w:w="3642" w:type="pct"/>
            <w:tcBorders>
              <w:top w:val="single" w:color="auto" w:sz="4" w:space="0"/>
              <w:left w:val="single" w:color="auto" w:sz="4" w:space="0"/>
              <w:bottom w:val="single" w:color="auto" w:sz="4" w:space="0"/>
              <w:right w:val="single" w:color="auto" w:sz="4" w:space="0"/>
            </w:tcBorders>
            <w:vAlign w:val="center"/>
          </w:tcPr>
          <w:p w14:paraId="55CD9EB9">
            <w:pPr>
              <w:widowControl/>
              <w:numPr>
                <w:ilvl w:val="0"/>
                <w:numId w:val="2"/>
              </w:numPr>
              <w:rPr>
                <w:rFonts w:ascii="宋体" w:hAnsi="宋体"/>
                <w:szCs w:val="21"/>
              </w:rPr>
            </w:pPr>
            <w:r>
              <w:rPr>
                <w:rFonts w:hint="eastAsia" w:ascii="宋体" w:hAnsi="宋体"/>
                <w:szCs w:val="21"/>
              </w:rPr>
              <w:t>系统每天晚上定时同步HIS系统的在院患者的就医数据，包括就诊、处方明细；</w:t>
            </w:r>
          </w:p>
          <w:p w14:paraId="2BED66F5">
            <w:pPr>
              <w:widowControl/>
              <w:rPr>
                <w:rFonts w:ascii="宋体" w:hAnsi="宋体"/>
                <w:szCs w:val="21"/>
              </w:rPr>
            </w:pPr>
            <w:r>
              <w:rPr>
                <w:rFonts w:hint="eastAsia" w:ascii="宋体" w:hAnsi="宋体"/>
                <w:szCs w:val="21"/>
              </w:rPr>
              <w:t>2）对抽取的在院数据进行疑点分析，筛选出当前在院全部就诊数据的疑点；</w:t>
            </w:r>
          </w:p>
          <w:p w14:paraId="74E82F2F">
            <w:pPr>
              <w:widowControl/>
              <w:rPr>
                <w:rFonts w:ascii="宋体" w:hAnsi="宋体"/>
                <w:szCs w:val="21"/>
              </w:rPr>
            </w:pPr>
            <w:r>
              <w:rPr>
                <w:rFonts w:hint="eastAsia" w:ascii="宋体" w:hAnsi="宋体"/>
                <w:szCs w:val="21"/>
              </w:rPr>
              <w:t>3）医生或医保科管理人员登录到本系统中可以查询截止到昨天晚上的可疑数据，包括疑点信息及疑点明细，让操作人员了解每次就诊信息的全部疑点，及疑点产生的原因；</w:t>
            </w:r>
          </w:p>
          <w:p w14:paraId="398B1EE1">
            <w:pPr>
              <w:widowControl/>
              <w:rPr>
                <w:rFonts w:ascii="宋体" w:hAnsi="宋体"/>
                <w:szCs w:val="21"/>
              </w:rPr>
            </w:pPr>
            <w:r>
              <w:rPr>
                <w:rFonts w:hint="eastAsia" w:ascii="宋体" w:hAnsi="宋体"/>
                <w:szCs w:val="21"/>
              </w:rPr>
              <w:t>4）疑点以一次就诊为单位，如果本次就诊有疑点，查询到这次就诊的全部疑点，选择其中一个疑点，系统会显示疑点产生的原因，如果是费用可疑，还会显示具体哪个费用有问题。</w:t>
            </w:r>
          </w:p>
          <w:p w14:paraId="16B5BC36">
            <w:pPr>
              <w:widowControl/>
              <w:rPr>
                <w:rFonts w:ascii="宋体" w:hAnsi="宋体"/>
                <w:szCs w:val="21"/>
              </w:rPr>
            </w:pPr>
            <w:r>
              <w:rPr>
                <w:rFonts w:hint="eastAsia" w:ascii="宋体" w:hAnsi="宋体"/>
                <w:szCs w:val="21"/>
              </w:rPr>
              <w:t>以上项目须提供功能截图并加盖公章。</w:t>
            </w:r>
          </w:p>
        </w:tc>
      </w:tr>
      <w:tr w14:paraId="78E2D853">
        <w:tblPrEx>
          <w:tblCellMar>
            <w:top w:w="0" w:type="dxa"/>
            <w:left w:w="108" w:type="dxa"/>
            <w:bottom w:w="0" w:type="dxa"/>
            <w:right w:w="108" w:type="dxa"/>
          </w:tblCellMar>
        </w:tblPrEx>
        <w:trPr>
          <w:trHeight w:val="918" w:hRule="atLeast"/>
        </w:trPr>
        <w:tc>
          <w:tcPr>
            <w:tcW w:w="363" w:type="pct"/>
            <w:tcBorders>
              <w:top w:val="single" w:color="auto" w:sz="4" w:space="0"/>
              <w:left w:val="single" w:color="auto" w:sz="4" w:space="0"/>
              <w:bottom w:val="single" w:color="auto" w:sz="4" w:space="0"/>
              <w:right w:val="single" w:color="auto" w:sz="4" w:space="0"/>
            </w:tcBorders>
            <w:vAlign w:val="center"/>
          </w:tcPr>
          <w:p w14:paraId="2D722EB4">
            <w:pPr>
              <w:widowControl/>
              <w:jc w:val="center"/>
              <w:rPr>
                <w:rFonts w:ascii="宋体" w:hAnsi="宋体"/>
                <w:szCs w:val="21"/>
              </w:rPr>
            </w:pPr>
            <w:r>
              <w:rPr>
                <w:rFonts w:hint="eastAsia" w:ascii="宋体" w:hAnsi="宋体"/>
                <w:szCs w:val="21"/>
              </w:rPr>
              <w:t>6</w:t>
            </w:r>
          </w:p>
        </w:tc>
        <w:tc>
          <w:tcPr>
            <w:tcW w:w="993" w:type="pct"/>
            <w:tcBorders>
              <w:top w:val="single" w:color="auto" w:sz="4" w:space="0"/>
              <w:left w:val="nil"/>
              <w:bottom w:val="single" w:color="auto" w:sz="4" w:space="0"/>
              <w:right w:val="single" w:color="auto" w:sz="4" w:space="0"/>
            </w:tcBorders>
            <w:vAlign w:val="center"/>
          </w:tcPr>
          <w:p w14:paraId="10153823">
            <w:pPr>
              <w:widowControl/>
              <w:rPr>
                <w:rFonts w:ascii="宋体" w:hAnsi="宋体"/>
                <w:szCs w:val="21"/>
              </w:rPr>
            </w:pPr>
            <w:r>
              <w:rPr>
                <w:rFonts w:hint="eastAsia" w:ascii="宋体" w:hAnsi="宋体"/>
                <w:szCs w:val="21"/>
              </w:rPr>
              <w:t>出院疑点审核</w:t>
            </w:r>
          </w:p>
        </w:tc>
        <w:tc>
          <w:tcPr>
            <w:tcW w:w="3642" w:type="pct"/>
            <w:tcBorders>
              <w:top w:val="single" w:color="auto" w:sz="4" w:space="0"/>
              <w:left w:val="nil"/>
              <w:bottom w:val="single" w:color="auto" w:sz="4" w:space="0"/>
              <w:right w:val="single" w:color="auto" w:sz="4" w:space="0"/>
            </w:tcBorders>
            <w:vAlign w:val="center"/>
          </w:tcPr>
          <w:p w14:paraId="3CC675C8">
            <w:pPr>
              <w:widowControl/>
              <w:rPr>
                <w:rFonts w:ascii="宋体" w:hAnsi="宋体"/>
                <w:szCs w:val="21"/>
              </w:rPr>
            </w:pPr>
            <w:r>
              <w:rPr>
                <w:rFonts w:hint="eastAsia" w:ascii="宋体" w:hAnsi="宋体"/>
                <w:szCs w:val="21"/>
              </w:rPr>
              <w:t>病人出院结算前，HIS将患者住院的全部费用信息上传至我方系统进行疑点筛查，如果存在疑点，由医保科审核人员对疑点进行审核，审核完成后，医生根据审核结果进行相应处理，然后办理出院。</w:t>
            </w:r>
          </w:p>
        </w:tc>
      </w:tr>
      <w:tr w14:paraId="3334A38F">
        <w:tblPrEx>
          <w:tblCellMar>
            <w:top w:w="0" w:type="dxa"/>
            <w:left w:w="108" w:type="dxa"/>
            <w:bottom w:w="0" w:type="dxa"/>
            <w:right w:w="108" w:type="dxa"/>
          </w:tblCellMar>
        </w:tblPrEx>
        <w:trPr>
          <w:trHeight w:val="249" w:hRule="atLeast"/>
        </w:trPr>
        <w:tc>
          <w:tcPr>
            <w:tcW w:w="363" w:type="pct"/>
            <w:tcBorders>
              <w:top w:val="nil"/>
              <w:left w:val="single" w:color="auto" w:sz="4" w:space="0"/>
              <w:bottom w:val="single" w:color="auto" w:sz="4" w:space="0"/>
              <w:right w:val="single" w:color="auto" w:sz="4" w:space="0"/>
            </w:tcBorders>
            <w:vAlign w:val="center"/>
          </w:tcPr>
          <w:p w14:paraId="542CECC4">
            <w:pPr>
              <w:widowControl/>
              <w:jc w:val="center"/>
              <w:rPr>
                <w:rFonts w:ascii="宋体" w:hAnsi="宋体"/>
                <w:szCs w:val="21"/>
              </w:rPr>
            </w:pPr>
            <w:r>
              <w:rPr>
                <w:rFonts w:hint="eastAsia" w:ascii="宋体" w:hAnsi="宋体"/>
                <w:szCs w:val="21"/>
              </w:rPr>
              <w:t>7</w:t>
            </w:r>
          </w:p>
        </w:tc>
        <w:tc>
          <w:tcPr>
            <w:tcW w:w="993" w:type="pct"/>
            <w:tcBorders>
              <w:top w:val="nil"/>
              <w:left w:val="nil"/>
              <w:bottom w:val="single" w:color="auto" w:sz="4" w:space="0"/>
              <w:right w:val="single" w:color="auto" w:sz="4" w:space="0"/>
            </w:tcBorders>
            <w:vAlign w:val="center"/>
          </w:tcPr>
          <w:p w14:paraId="3FC921BE">
            <w:pPr>
              <w:widowControl/>
              <w:rPr>
                <w:rFonts w:ascii="宋体" w:hAnsi="宋体"/>
                <w:szCs w:val="21"/>
              </w:rPr>
            </w:pPr>
            <w:r>
              <w:rPr>
                <w:rFonts w:hint="eastAsia" w:ascii="宋体" w:hAnsi="宋体"/>
                <w:szCs w:val="21"/>
              </w:rPr>
              <w:t>出院疑点分析</w:t>
            </w:r>
          </w:p>
        </w:tc>
        <w:tc>
          <w:tcPr>
            <w:tcW w:w="3642" w:type="pct"/>
            <w:tcBorders>
              <w:top w:val="nil"/>
              <w:left w:val="nil"/>
              <w:bottom w:val="single" w:color="auto" w:sz="4" w:space="0"/>
              <w:right w:val="single" w:color="auto" w:sz="4" w:space="0"/>
            </w:tcBorders>
            <w:vAlign w:val="center"/>
          </w:tcPr>
          <w:p w14:paraId="07ACD4CB">
            <w:pPr>
              <w:widowControl/>
              <w:numPr>
                <w:ilvl w:val="0"/>
                <w:numId w:val="3"/>
              </w:numPr>
            </w:pPr>
            <w:r>
              <w:rPr>
                <w:rFonts w:hint="eastAsia"/>
              </w:rPr>
              <w:t>针对出院审核筛选出的疑点进行分析，包括各疑点的数量、金额；</w:t>
            </w:r>
          </w:p>
          <w:p w14:paraId="2EBD4F85">
            <w:pPr>
              <w:widowControl/>
            </w:pPr>
            <w:r>
              <w:rPr>
                <w:rFonts w:hint="eastAsia"/>
              </w:rPr>
              <w:t>2）各科室的疑点排名；</w:t>
            </w:r>
          </w:p>
          <w:p w14:paraId="534E157E">
            <w:pPr>
              <w:widowControl/>
            </w:pPr>
            <w:r>
              <w:rPr>
                <w:rFonts w:hint="eastAsia"/>
              </w:rPr>
              <w:t>3）某科室下各医生的疑点情况。</w:t>
            </w:r>
          </w:p>
        </w:tc>
      </w:tr>
      <w:tr w14:paraId="5E334ED3">
        <w:tblPrEx>
          <w:tblCellMar>
            <w:top w:w="0" w:type="dxa"/>
            <w:left w:w="108" w:type="dxa"/>
            <w:bottom w:w="0" w:type="dxa"/>
            <w:right w:w="108" w:type="dxa"/>
          </w:tblCellMar>
        </w:tblPrEx>
        <w:trPr>
          <w:trHeight w:val="918" w:hRule="atLeast"/>
        </w:trPr>
        <w:tc>
          <w:tcPr>
            <w:tcW w:w="363" w:type="pct"/>
            <w:tcBorders>
              <w:top w:val="nil"/>
              <w:left w:val="single" w:color="auto" w:sz="4" w:space="0"/>
              <w:bottom w:val="single" w:color="auto" w:sz="4" w:space="0"/>
              <w:right w:val="single" w:color="auto" w:sz="4" w:space="0"/>
            </w:tcBorders>
            <w:vAlign w:val="center"/>
          </w:tcPr>
          <w:p w14:paraId="169AFDA8">
            <w:pPr>
              <w:widowControl/>
              <w:jc w:val="center"/>
              <w:rPr>
                <w:rFonts w:ascii="宋体" w:hAnsi="宋体"/>
                <w:szCs w:val="21"/>
              </w:rPr>
            </w:pPr>
            <w:r>
              <w:rPr>
                <w:rFonts w:hint="eastAsia" w:ascii="宋体" w:hAnsi="宋体"/>
                <w:szCs w:val="21"/>
              </w:rPr>
              <w:t>8</w:t>
            </w:r>
          </w:p>
        </w:tc>
        <w:tc>
          <w:tcPr>
            <w:tcW w:w="993" w:type="pct"/>
            <w:tcBorders>
              <w:top w:val="nil"/>
              <w:left w:val="nil"/>
              <w:bottom w:val="single" w:color="auto" w:sz="4" w:space="0"/>
              <w:right w:val="single" w:color="auto" w:sz="4" w:space="0"/>
            </w:tcBorders>
            <w:vAlign w:val="center"/>
          </w:tcPr>
          <w:p w14:paraId="22CD1828">
            <w:pPr>
              <w:widowControl/>
              <w:rPr>
                <w:rFonts w:ascii="宋体" w:hAnsi="宋体"/>
                <w:szCs w:val="21"/>
              </w:rPr>
            </w:pPr>
            <w:r>
              <w:rPr>
                <w:rFonts w:hint="eastAsia" w:ascii="宋体" w:hAnsi="宋体"/>
                <w:szCs w:val="21"/>
              </w:rPr>
              <w:t>历史疑点分析</w:t>
            </w:r>
          </w:p>
        </w:tc>
        <w:tc>
          <w:tcPr>
            <w:tcW w:w="3642" w:type="pct"/>
            <w:tcBorders>
              <w:top w:val="nil"/>
              <w:left w:val="nil"/>
              <w:bottom w:val="single" w:color="auto" w:sz="4" w:space="0"/>
              <w:right w:val="single" w:color="auto" w:sz="4" w:space="0"/>
            </w:tcBorders>
            <w:vAlign w:val="center"/>
          </w:tcPr>
          <w:p w14:paraId="54464661">
            <w:pPr>
              <w:widowControl/>
              <w:rPr>
                <w:rFonts w:ascii="宋体" w:hAnsi="宋体"/>
                <w:szCs w:val="21"/>
              </w:rPr>
            </w:pPr>
            <w:r>
              <w:rPr>
                <w:rFonts w:hint="eastAsia" w:ascii="宋体" w:hAnsi="宋体"/>
                <w:szCs w:val="21"/>
              </w:rPr>
              <w:t>1）分析历史出院结算患者的疑点情况；</w:t>
            </w:r>
          </w:p>
          <w:p w14:paraId="68E32947">
            <w:pPr>
              <w:widowControl/>
              <w:rPr>
                <w:rFonts w:ascii="宋体" w:hAnsi="宋体"/>
                <w:szCs w:val="21"/>
              </w:rPr>
            </w:pPr>
            <w:r>
              <w:rPr>
                <w:rFonts w:hint="eastAsia" w:ascii="宋体" w:hAnsi="宋体"/>
                <w:szCs w:val="21"/>
              </w:rPr>
              <w:t>2）可以展现各个疑点的情况，包括就诊可疑的及费用可疑的疑点；</w:t>
            </w:r>
          </w:p>
          <w:p w14:paraId="0C937870">
            <w:pPr>
              <w:widowControl/>
              <w:rPr>
                <w:rFonts w:ascii="宋体" w:hAnsi="宋体"/>
                <w:szCs w:val="21"/>
              </w:rPr>
            </w:pPr>
            <w:r>
              <w:rPr>
                <w:rFonts w:hint="eastAsia" w:ascii="宋体" w:hAnsi="宋体"/>
                <w:szCs w:val="21"/>
              </w:rPr>
              <w:t>3）展现疑点对应的病历信息。</w:t>
            </w:r>
          </w:p>
        </w:tc>
      </w:tr>
      <w:tr w14:paraId="1EDBC0FF">
        <w:tblPrEx>
          <w:tblCellMar>
            <w:top w:w="0" w:type="dxa"/>
            <w:left w:w="108" w:type="dxa"/>
            <w:bottom w:w="0" w:type="dxa"/>
            <w:right w:w="108" w:type="dxa"/>
          </w:tblCellMar>
        </w:tblPrEx>
        <w:trPr>
          <w:trHeight w:val="1688" w:hRule="atLeast"/>
        </w:trPr>
        <w:tc>
          <w:tcPr>
            <w:tcW w:w="363" w:type="pct"/>
            <w:tcBorders>
              <w:top w:val="nil"/>
              <w:left w:val="single" w:color="auto" w:sz="4" w:space="0"/>
              <w:bottom w:val="single" w:color="auto" w:sz="4" w:space="0"/>
              <w:right w:val="single" w:color="auto" w:sz="4" w:space="0"/>
            </w:tcBorders>
            <w:vAlign w:val="center"/>
          </w:tcPr>
          <w:p w14:paraId="369FF5BE">
            <w:pPr>
              <w:widowControl/>
              <w:jc w:val="center"/>
              <w:rPr>
                <w:rFonts w:ascii="宋体" w:hAnsi="宋体"/>
                <w:szCs w:val="21"/>
              </w:rPr>
            </w:pPr>
            <w:r>
              <w:rPr>
                <w:rFonts w:hint="eastAsia" w:ascii="宋体" w:hAnsi="宋体"/>
                <w:szCs w:val="21"/>
              </w:rPr>
              <w:t>9</w:t>
            </w:r>
          </w:p>
        </w:tc>
        <w:tc>
          <w:tcPr>
            <w:tcW w:w="993" w:type="pct"/>
            <w:tcBorders>
              <w:top w:val="nil"/>
              <w:left w:val="nil"/>
              <w:bottom w:val="single" w:color="auto" w:sz="4" w:space="0"/>
              <w:right w:val="single" w:color="auto" w:sz="4" w:space="0"/>
            </w:tcBorders>
            <w:vAlign w:val="center"/>
          </w:tcPr>
          <w:p w14:paraId="1B82B459">
            <w:pPr>
              <w:widowControl/>
              <w:rPr>
                <w:rFonts w:ascii="宋体" w:hAnsi="宋体"/>
                <w:szCs w:val="21"/>
              </w:rPr>
            </w:pPr>
            <w:r>
              <w:rPr>
                <w:rFonts w:hint="eastAsia" w:ascii="宋体" w:hAnsi="宋体"/>
                <w:szCs w:val="21"/>
              </w:rPr>
              <w:t>药品使用分析</w:t>
            </w:r>
          </w:p>
        </w:tc>
        <w:tc>
          <w:tcPr>
            <w:tcW w:w="3642" w:type="pct"/>
            <w:tcBorders>
              <w:top w:val="nil"/>
              <w:left w:val="nil"/>
              <w:bottom w:val="single" w:color="auto" w:sz="4" w:space="0"/>
              <w:right w:val="single" w:color="auto" w:sz="4" w:space="0"/>
            </w:tcBorders>
            <w:vAlign w:val="center"/>
          </w:tcPr>
          <w:p w14:paraId="1B4E40CB">
            <w:pPr>
              <w:widowControl/>
              <w:rPr>
                <w:rFonts w:ascii="宋体" w:hAnsi="宋体"/>
                <w:szCs w:val="21"/>
              </w:rPr>
            </w:pPr>
            <w:r>
              <w:rPr>
                <w:rFonts w:hint="eastAsia" w:ascii="宋体" w:hAnsi="宋体"/>
                <w:szCs w:val="21"/>
              </w:rPr>
              <w:t>1）根据药品使用情况进行排名，分析每个药品的使用的数量、金额、人次、人数；</w:t>
            </w:r>
          </w:p>
          <w:p w14:paraId="27BF2060">
            <w:pPr>
              <w:widowControl/>
              <w:rPr>
                <w:rFonts w:ascii="宋体" w:hAnsi="宋体"/>
                <w:szCs w:val="21"/>
              </w:rPr>
            </w:pPr>
            <w:r>
              <w:rPr>
                <w:rFonts w:hint="eastAsia" w:ascii="宋体" w:hAnsi="宋体"/>
                <w:szCs w:val="21"/>
              </w:rPr>
              <w:t>2）选择某一个药品后，可以分析该药品在各科室的使用情况，包括数量、金额、人次、人数；</w:t>
            </w:r>
          </w:p>
          <w:p w14:paraId="29BABA6E">
            <w:pPr>
              <w:widowControl/>
              <w:rPr>
                <w:rFonts w:ascii="宋体" w:hAnsi="宋体"/>
                <w:szCs w:val="21"/>
              </w:rPr>
            </w:pPr>
            <w:r>
              <w:rPr>
                <w:rFonts w:hint="eastAsia" w:ascii="宋体" w:hAnsi="宋体"/>
                <w:szCs w:val="21"/>
              </w:rPr>
              <w:t>3）可以分析到某一次就诊使用该药品的的数量、金额。</w:t>
            </w:r>
          </w:p>
        </w:tc>
      </w:tr>
      <w:tr w14:paraId="3101AAF8">
        <w:tblPrEx>
          <w:tblCellMar>
            <w:top w:w="0" w:type="dxa"/>
            <w:left w:w="108" w:type="dxa"/>
            <w:bottom w:w="0" w:type="dxa"/>
            <w:right w:w="108" w:type="dxa"/>
          </w:tblCellMar>
        </w:tblPrEx>
        <w:trPr>
          <w:trHeight w:val="1523" w:hRule="atLeast"/>
        </w:trPr>
        <w:tc>
          <w:tcPr>
            <w:tcW w:w="363" w:type="pct"/>
            <w:tcBorders>
              <w:top w:val="nil"/>
              <w:left w:val="single" w:color="auto" w:sz="4" w:space="0"/>
              <w:bottom w:val="single" w:color="auto" w:sz="4" w:space="0"/>
              <w:right w:val="single" w:color="auto" w:sz="4" w:space="0"/>
            </w:tcBorders>
            <w:vAlign w:val="center"/>
          </w:tcPr>
          <w:p w14:paraId="25BB8559">
            <w:pPr>
              <w:widowControl/>
              <w:jc w:val="center"/>
              <w:rPr>
                <w:rFonts w:ascii="宋体" w:hAnsi="宋体"/>
                <w:szCs w:val="21"/>
              </w:rPr>
            </w:pPr>
            <w:r>
              <w:rPr>
                <w:rFonts w:hint="eastAsia" w:ascii="宋体" w:hAnsi="宋体"/>
                <w:szCs w:val="21"/>
              </w:rPr>
              <w:t>10</w:t>
            </w:r>
          </w:p>
        </w:tc>
        <w:tc>
          <w:tcPr>
            <w:tcW w:w="993" w:type="pct"/>
            <w:tcBorders>
              <w:top w:val="nil"/>
              <w:left w:val="nil"/>
              <w:bottom w:val="single" w:color="auto" w:sz="4" w:space="0"/>
              <w:right w:val="single" w:color="auto" w:sz="4" w:space="0"/>
            </w:tcBorders>
            <w:vAlign w:val="center"/>
          </w:tcPr>
          <w:p w14:paraId="07A9DE37">
            <w:pPr>
              <w:widowControl/>
              <w:rPr>
                <w:rFonts w:ascii="宋体" w:hAnsi="宋体"/>
                <w:szCs w:val="21"/>
              </w:rPr>
            </w:pPr>
            <w:r>
              <w:rPr>
                <w:rFonts w:hint="eastAsia" w:ascii="宋体" w:hAnsi="宋体"/>
                <w:szCs w:val="21"/>
              </w:rPr>
              <w:t>诊疗项目（包含耗材）使用分析</w:t>
            </w:r>
          </w:p>
        </w:tc>
        <w:tc>
          <w:tcPr>
            <w:tcW w:w="3642" w:type="pct"/>
            <w:tcBorders>
              <w:top w:val="nil"/>
              <w:left w:val="nil"/>
              <w:bottom w:val="single" w:color="auto" w:sz="4" w:space="0"/>
              <w:right w:val="single" w:color="auto" w:sz="4" w:space="0"/>
            </w:tcBorders>
            <w:vAlign w:val="center"/>
          </w:tcPr>
          <w:p w14:paraId="2C46583F">
            <w:pPr>
              <w:widowControl/>
              <w:rPr>
                <w:rFonts w:ascii="宋体" w:hAnsi="宋体"/>
                <w:szCs w:val="21"/>
              </w:rPr>
            </w:pPr>
            <w:r>
              <w:rPr>
                <w:rFonts w:hint="eastAsia" w:ascii="宋体" w:hAnsi="宋体"/>
                <w:szCs w:val="21"/>
              </w:rPr>
              <w:t>1）根据诊疗项目（包含耗材）使用情况进行排名，分析每个诊疗项目（包含耗材）的使用的数量、金额、人次、人数；</w:t>
            </w:r>
          </w:p>
          <w:p w14:paraId="172BF79B">
            <w:pPr>
              <w:widowControl/>
              <w:rPr>
                <w:rFonts w:ascii="宋体" w:hAnsi="宋体"/>
                <w:szCs w:val="21"/>
              </w:rPr>
            </w:pPr>
            <w:r>
              <w:rPr>
                <w:rFonts w:hint="eastAsia" w:ascii="宋体" w:hAnsi="宋体"/>
                <w:szCs w:val="21"/>
              </w:rPr>
              <w:t>2）选择某一个诊疗项目（包含耗材）后，可以分析该项目在各科室的使用情况，包括数量、金额、人次、人数；</w:t>
            </w:r>
          </w:p>
          <w:p w14:paraId="0910F0F9">
            <w:pPr>
              <w:widowControl/>
              <w:rPr>
                <w:rFonts w:ascii="宋体" w:hAnsi="宋体"/>
                <w:szCs w:val="21"/>
              </w:rPr>
            </w:pPr>
            <w:r>
              <w:rPr>
                <w:rFonts w:hint="eastAsia" w:ascii="宋体" w:hAnsi="宋体"/>
                <w:szCs w:val="21"/>
              </w:rPr>
              <w:t>3）可以分析到某一次就诊使用该诊疗项目（包含耗材）的的数量、金额。</w:t>
            </w:r>
          </w:p>
        </w:tc>
      </w:tr>
      <w:tr w14:paraId="516B28D6">
        <w:tblPrEx>
          <w:tblCellMar>
            <w:top w:w="0" w:type="dxa"/>
            <w:left w:w="108" w:type="dxa"/>
            <w:bottom w:w="0" w:type="dxa"/>
            <w:right w:w="108" w:type="dxa"/>
          </w:tblCellMar>
        </w:tblPrEx>
        <w:trPr>
          <w:trHeight w:val="313"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57416780">
            <w:pPr>
              <w:widowControl/>
              <w:rPr>
                <w:rFonts w:ascii="宋体" w:hAnsi="宋体"/>
                <w:szCs w:val="21"/>
              </w:rPr>
            </w:pPr>
            <w:r>
              <w:rPr>
                <w:rFonts w:hint="eastAsia" w:ascii="宋体" w:hAnsi="宋体"/>
                <w:szCs w:val="21"/>
              </w:rPr>
              <w:t>五、系统管理功能</w:t>
            </w:r>
          </w:p>
        </w:tc>
      </w:tr>
      <w:tr w14:paraId="64C1F82A">
        <w:tblPrEx>
          <w:tblCellMar>
            <w:top w:w="0" w:type="dxa"/>
            <w:left w:w="108" w:type="dxa"/>
            <w:bottom w:w="0" w:type="dxa"/>
            <w:right w:w="108" w:type="dxa"/>
          </w:tblCellMar>
        </w:tblPrEx>
        <w:trPr>
          <w:trHeight w:val="918" w:hRule="atLeast"/>
        </w:trPr>
        <w:tc>
          <w:tcPr>
            <w:tcW w:w="363" w:type="pct"/>
            <w:tcBorders>
              <w:top w:val="nil"/>
              <w:left w:val="single" w:color="auto" w:sz="4" w:space="0"/>
              <w:bottom w:val="single" w:color="auto" w:sz="4" w:space="0"/>
              <w:right w:val="single" w:color="auto" w:sz="4" w:space="0"/>
            </w:tcBorders>
            <w:vAlign w:val="center"/>
          </w:tcPr>
          <w:p w14:paraId="1217C6A4">
            <w:pPr>
              <w:widowControl/>
              <w:jc w:val="center"/>
              <w:rPr>
                <w:rFonts w:ascii="宋体" w:hAnsi="宋体"/>
                <w:szCs w:val="21"/>
              </w:rPr>
            </w:pPr>
            <w:r>
              <w:rPr>
                <w:rFonts w:hint="eastAsia" w:ascii="宋体" w:hAnsi="宋体"/>
                <w:szCs w:val="21"/>
              </w:rPr>
              <w:t>1</w:t>
            </w:r>
          </w:p>
        </w:tc>
        <w:tc>
          <w:tcPr>
            <w:tcW w:w="993" w:type="pct"/>
            <w:tcBorders>
              <w:top w:val="nil"/>
              <w:left w:val="nil"/>
              <w:bottom w:val="single" w:color="auto" w:sz="4" w:space="0"/>
              <w:right w:val="single" w:color="auto" w:sz="4" w:space="0"/>
            </w:tcBorders>
            <w:vAlign w:val="center"/>
          </w:tcPr>
          <w:p w14:paraId="39DFD155">
            <w:pPr>
              <w:widowControl/>
              <w:rPr>
                <w:rFonts w:ascii="宋体" w:hAnsi="宋体"/>
                <w:szCs w:val="21"/>
              </w:rPr>
            </w:pPr>
            <w:r>
              <w:rPr>
                <w:rFonts w:hint="eastAsia" w:ascii="宋体" w:hAnsi="宋体"/>
                <w:szCs w:val="21"/>
              </w:rPr>
              <w:t>用户管理</w:t>
            </w:r>
          </w:p>
        </w:tc>
        <w:tc>
          <w:tcPr>
            <w:tcW w:w="3642" w:type="pct"/>
            <w:tcBorders>
              <w:top w:val="nil"/>
              <w:left w:val="nil"/>
              <w:bottom w:val="single" w:color="auto" w:sz="4" w:space="0"/>
              <w:right w:val="single" w:color="auto" w:sz="4" w:space="0"/>
            </w:tcBorders>
            <w:vAlign w:val="center"/>
          </w:tcPr>
          <w:p w14:paraId="5FB05B35">
            <w:pPr>
              <w:widowControl/>
              <w:rPr>
                <w:rFonts w:ascii="宋体" w:hAnsi="宋体"/>
                <w:szCs w:val="21"/>
              </w:rPr>
            </w:pPr>
            <w:r>
              <w:rPr>
                <w:rFonts w:hint="eastAsia" w:ascii="宋体" w:hAnsi="宋体"/>
                <w:szCs w:val="21"/>
              </w:rPr>
              <w:t>1）维护系统的操作员，根据医院的医师信息，系统会给相关医师及医保科等管理人员创建用户并授予不同的角色；</w:t>
            </w:r>
          </w:p>
          <w:p w14:paraId="139541FC">
            <w:pPr>
              <w:widowControl/>
              <w:rPr>
                <w:rFonts w:ascii="宋体" w:hAnsi="宋体"/>
                <w:szCs w:val="21"/>
              </w:rPr>
            </w:pPr>
            <w:r>
              <w:rPr>
                <w:rFonts w:hint="eastAsia" w:ascii="宋体" w:hAnsi="宋体"/>
                <w:szCs w:val="21"/>
              </w:rPr>
              <w:t>2）操作员登录到系统后可以自行修改密码。</w:t>
            </w:r>
          </w:p>
        </w:tc>
      </w:tr>
      <w:tr w14:paraId="4CC164F9">
        <w:tblPrEx>
          <w:tblCellMar>
            <w:top w:w="0" w:type="dxa"/>
            <w:left w:w="108" w:type="dxa"/>
            <w:bottom w:w="0" w:type="dxa"/>
            <w:right w:w="108" w:type="dxa"/>
          </w:tblCellMar>
        </w:tblPrEx>
        <w:trPr>
          <w:trHeight w:val="402" w:hRule="atLeast"/>
        </w:trPr>
        <w:tc>
          <w:tcPr>
            <w:tcW w:w="363" w:type="pct"/>
            <w:tcBorders>
              <w:top w:val="nil"/>
              <w:left w:val="single" w:color="auto" w:sz="4" w:space="0"/>
              <w:bottom w:val="single" w:color="auto" w:sz="4" w:space="0"/>
              <w:right w:val="single" w:color="auto" w:sz="4" w:space="0"/>
            </w:tcBorders>
            <w:vAlign w:val="center"/>
          </w:tcPr>
          <w:p w14:paraId="62FFF16B">
            <w:pPr>
              <w:widowControl/>
              <w:jc w:val="center"/>
              <w:rPr>
                <w:rFonts w:ascii="宋体" w:hAnsi="宋体"/>
                <w:szCs w:val="21"/>
              </w:rPr>
            </w:pPr>
            <w:r>
              <w:rPr>
                <w:rFonts w:hint="eastAsia" w:ascii="宋体" w:hAnsi="宋体"/>
                <w:szCs w:val="21"/>
              </w:rPr>
              <w:t>2</w:t>
            </w:r>
          </w:p>
        </w:tc>
        <w:tc>
          <w:tcPr>
            <w:tcW w:w="993" w:type="pct"/>
            <w:tcBorders>
              <w:top w:val="nil"/>
              <w:left w:val="nil"/>
              <w:bottom w:val="single" w:color="auto" w:sz="4" w:space="0"/>
              <w:right w:val="single" w:color="auto" w:sz="4" w:space="0"/>
            </w:tcBorders>
            <w:vAlign w:val="center"/>
          </w:tcPr>
          <w:p w14:paraId="29088789">
            <w:pPr>
              <w:widowControl/>
              <w:rPr>
                <w:rFonts w:ascii="宋体" w:hAnsi="宋体"/>
                <w:szCs w:val="21"/>
              </w:rPr>
            </w:pPr>
            <w:r>
              <w:rPr>
                <w:rFonts w:hint="eastAsia" w:ascii="宋体" w:hAnsi="宋体"/>
                <w:szCs w:val="21"/>
              </w:rPr>
              <w:t>角色管理</w:t>
            </w:r>
          </w:p>
        </w:tc>
        <w:tc>
          <w:tcPr>
            <w:tcW w:w="3642" w:type="pct"/>
            <w:tcBorders>
              <w:top w:val="nil"/>
              <w:left w:val="nil"/>
              <w:bottom w:val="single" w:color="auto" w:sz="4" w:space="0"/>
              <w:right w:val="single" w:color="auto" w:sz="4" w:space="0"/>
            </w:tcBorders>
            <w:vAlign w:val="center"/>
          </w:tcPr>
          <w:p w14:paraId="01206ACB">
            <w:pPr>
              <w:widowControl/>
              <w:rPr>
                <w:rFonts w:ascii="宋体" w:hAnsi="宋体"/>
                <w:szCs w:val="21"/>
              </w:rPr>
            </w:pPr>
            <w:r>
              <w:rPr>
                <w:rFonts w:hint="eastAsia" w:ascii="宋体" w:hAnsi="宋体"/>
                <w:szCs w:val="21"/>
              </w:rPr>
              <w:t>根据医院的不同人员角色的工作职责创建相关的角色，用于区分不用用户的权限。</w:t>
            </w:r>
          </w:p>
        </w:tc>
      </w:tr>
      <w:tr w14:paraId="04F307C4">
        <w:tblPrEx>
          <w:tblCellMar>
            <w:top w:w="0" w:type="dxa"/>
            <w:left w:w="108" w:type="dxa"/>
            <w:bottom w:w="0" w:type="dxa"/>
            <w:right w:w="108" w:type="dxa"/>
          </w:tblCellMar>
        </w:tblPrEx>
        <w:trPr>
          <w:trHeight w:val="300" w:hRule="atLeast"/>
        </w:trPr>
        <w:tc>
          <w:tcPr>
            <w:tcW w:w="363" w:type="pct"/>
            <w:tcBorders>
              <w:top w:val="nil"/>
              <w:left w:val="single" w:color="auto" w:sz="4" w:space="0"/>
              <w:bottom w:val="single" w:color="auto" w:sz="4" w:space="0"/>
              <w:right w:val="single" w:color="auto" w:sz="4" w:space="0"/>
            </w:tcBorders>
            <w:vAlign w:val="center"/>
          </w:tcPr>
          <w:p w14:paraId="6490D46E">
            <w:pPr>
              <w:widowControl/>
              <w:jc w:val="center"/>
              <w:rPr>
                <w:rFonts w:ascii="宋体" w:hAnsi="宋体"/>
                <w:szCs w:val="21"/>
              </w:rPr>
            </w:pPr>
            <w:r>
              <w:rPr>
                <w:rFonts w:hint="eastAsia" w:ascii="宋体" w:hAnsi="宋体"/>
                <w:szCs w:val="21"/>
              </w:rPr>
              <w:t>3</w:t>
            </w:r>
          </w:p>
        </w:tc>
        <w:tc>
          <w:tcPr>
            <w:tcW w:w="993" w:type="pct"/>
            <w:tcBorders>
              <w:top w:val="nil"/>
              <w:left w:val="nil"/>
              <w:bottom w:val="single" w:color="auto" w:sz="4" w:space="0"/>
              <w:right w:val="single" w:color="auto" w:sz="4" w:space="0"/>
            </w:tcBorders>
            <w:vAlign w:val="center"/>
          </w:tcPr>
          <w:p w14:paraId="7778D350">
            <w:pPr>
              <w:widowControl/>
              <w:rPr>
                <w:rFonts w:ascii="宋体" w:hAnsi="宋体"/>
                <w:szCs w:val="21"/>
              </w:rPr>
            </w:pPr>
            <w:r>
              <w:rPr>
                <w:rFonts w:hint="eastAsia" w:ascii="宋体" w:hAnsi="宋体"/>
                <w:szCs w:val="21"/>
              </w:rPr>
              <w:t>菜单管理</w:t>
            </w:r>
          </w:p>
        </w:tc>
        <w:tc>
          <w:tcPr>
            <w:tcW w:w="3642" w:type="pct"/>
            <w:tcBorders>
              <w:top w:val="nil"/>
              <w:left w:val="nil"/>
              <w:bottom w:val="single" w:color="auto" w:sz="4" w:space="0"/>
              <w:right w:val="single" w:color="auto" w:sz="4" w:space="0"/>
            </w:tcBorders>
            <w:vAlign w:val="center"/>
          </w:tcPr>
          <w:p w14:paraId="3A423325">
            <w:pPr>
              <w:widowControl/>
              <w:rPr>
                <w:rFonts w:ascii="宋体" w:hAnsi="宋体"/>
                <w:szCs w:val="21"/>
              </w:rPr>
            </w:pPr>
            <w:r>
              <w:rPr>
                <w:rFonts w:hint="eastAsia" w:ascii="宋体" w:hAnsi="宋体"/>
                <w:szCs w:val="21"/>
              </w:rPr>
              <w:t>对系统的菜单情况进行编辑管理，该功能一般只授权给超级管理员。</w:t>
            </w:r>
          </w:p>
        </w:tc>
      </w:tr>
      <w:tr w14:paraId="53168618">
        <w:tblPrEx>
          <w:tblCellMar>
            <w:top w:w="0" w:type="dxa"/>
            <w:left w:w="108" w:type="dxa"/>
            <w:bottom w:w="0" w:type="dxa"/>
            <w:right w:w="108" w:type="dxa"/>
          </w:tblCellMar>
        </w:tblPrEx>
        <w:trPr>
          <w:trHeight w:val="327" w:hRule="atLeast"/>
        </w:trPr>
        <w:tc>
          <w:tcPr>
            <w:tcW w:w="363" w:type="pct"/>
            <w:tcBorders>
              <w:top w:val="single" w:color="auto" w:sz="4" w:space="0"/>
              <w:left w:val="single" w:color="auto" w:sz="4" w:space="0"/>
              <w:bottom w:val="single" w:color="auto" w:sz="4" w:space="0"/>
              <w:right w:val="single" w:color="auto" w:sz="4" w:space="0"/>
            </w:tcBorders>
            <w:vAlign w:val="center"/>
          </w:tcPr>
          <w:p w14:paraId="3B6E9D67">
            <w:pPr>
              <w:widowControl/>
              <w:jc w:val="center"/>
              <w:rPr>
                <w:rFonts w:ascii="宋体" w:hAnsi="宋体"/>
                <w:szCs w:val="21"/>
              </w:rPr>
            </w:pPr>
            <w:r>
              <w:rPr>
                <w:rFonts w:hint="eastAsia" w:ascii="宋体" w:hAnsi="宋体"/>
                <w:szCs w:val="21"/>
              </w:rPr>
              <w:t>4</w:t>
            </w:r>
          </w:p>
        </w:tc>
        <w:tc>
          <w:tcPr>
            <w:tcW w:w="993" w:type="pct"/>
            <w:tcBorders>
              <w:top w:val="single" w:color="auto" w:sz="4" w:space="0"/>
              <w:left w:val="nil"/>
              <w:bottom w:val="single" w:color="auto" w:sz="4" w:space="0"/>
              <w:right w:val="single" w:color="auto" w:sz="4" w:space="0"/>
            </w:tcBorders>
            <w:vAlign w:val="center"/>
          </w:tcPr>
          <w:p w14:paraId="503311EE">
            <w:pPr>
              <w:widowControl/>
              <w:rPr>
                <w:rFonts w:ascii="宋体" w:hAnsi="宋体"/>
                <w:szCs w:val="21"/>
              </w:rPr>
            </w:pPr>
            <w:r>
              <w:rPr>
                <w:rFonts w:hint="eastAsia" w:ascii="宋体" w:hAnsi="宋体"/>
                <w:szCs w:val="21"/>
              </w:rPr>
              <w:t>系统参数管理</w:t>
            </w:r>
          </w:p>
        </w:tc>
        <w:tc>
          <w:tcPr>
            <w:tcW w:w="3642" w:type="pct"/>
            <w:tcBorders>
              <w:top w:val="single" w:color="auto" w:sz="4" w:space="0"/>
              <w:left w:val="nil"/>
              <w:bottom w:val="single" w:color="auto" w:sz="4" w:space="0"/>
              <w:right w:val="single" w:color="auto" w:sz="4" w:space="0"/>
            </w:tcBorders>
            <w:vAlign w:val="center"/>
          </w:tcPr>
          <w:p w14:paraId="439489AD">
            <w:pPr>
              <w:widowControl/>
              <w:rPr>
                <w:rFonts w:ascii="宋体" w:hAnsi="宋体"/>
                <w:szCs w:val="21"/>
              </w:rPr>
            </w:pPr>
            <w:r>
              <w:rPr>
                <w:rFonts w:hint="eastAsia" w:ascii="宋体" w:hAnsi="宋体"/>
                <w:szCs w:val="21"/>
              </w:rPr>
              <w:t>对系统常用参数进行设置。</w:t>
            </w:r>
          </w:p>
        </w:tc>
      </w:tr>
      <w:tr w14:paraId="22B3D4B9">
        <w:tblPrEx>
          <w:tblCellMar>
            <w:top w:w="0" w:type="dxa"/>
            <w:left w:w="108" w:type="dxa"/>
            <w:bottom w:w="0" w:type="dxa"/>
            <w:right w:w="108" w:type="dxa"/>
          </w:tblCellMar>
        </w:tblPrEx>
        <w:trPr>
          <w:trHeight w:val="313" w:hRule="atLeast"/>
        </w:trPr>
        <w:tc>
          <w:tcPr>
            <w:tcW w:w="363" w:type="pct"/>
            <w:tcBorders>
              <w:top w:val="single" w:color="auto" w:sz="4" w:space="0"/>
              <w:left w:val="single" w:color="auto" w:sz="4" w:space="0"/>
              <w:bottom w:val="single" w:color="auto" w:sz="4" w:space="0"/>
              <w:right w:val="single" w:color="auto" w:sz="4" w:space="0"/>
            </w:tcBorders>
            <w:vAlign w:val="center"/>
          </w:tcPr>
          <w:p w14:paraId="41CA0EA1">
            <w:pPr>
              <w:widowControl/>
              <w:jc w:val="center"/>
              <w:rPr>
                <w:rFonts w:ascii="宋体" w:hAnsi="宋体"/>
                <w:szCs w:val="21"/>
              </w:rPr>
            </w:pPr>
            <w:r>
              <w:rPr>
                <w:rFonts w:hint="eastAsia" w:ascii="宋体" w:hAnsi="宋体"/>
                <w:szCs w:val="21"/>
              </w:rPr>
              <w:t>5</w:t>
            </w:r>
          </w:p>
        </w:tc>
        <w:tc>
          <w:tcPr>
            <w:tcW w:w="993" w:type="pct"/>
            <w:tcBorders>
              <w:top w:val="single" w:color="auto" w:sz="4" w:space="0"/>
              <w:left w:val="nil"/>
              <w:bottom w:val="single" w:color="auto" w:sz="4" w:space="0"/>
              <w:right w:val="single" w:color="auto" w:sz="4" w:space="0"/>
            </w:tcBorders>
            <w:vAlign w:val="center"/>
          </w:tcPr>
          <w:p w14:paraId="566290F1">
            <w:pPr>
              <w:widowControl/>
              <w:rPr>
                <w:rFonts w:ascii="宋体" w:hAnsi="宋体"/>
                <w:szCs w:val="21"/>
              </w:rPr>
            </w:pPr>
            <w:r>
              <w:rPr>
                <w:rFonts w:hint="eastAsia" w:ascii="宋体" w:hAnsi="宋体"/>
                <w:szCs w:val="21"/>
              </w:rPr>
              <w:t>大屏展示</w:t>
            </w:r>
          </w:p>
        </w:tc>
        <w:tc>
          <w:tcPr>
            <w:tcW w:w="3642" w:type="pct"/>
            <w:tcBorders>
              <w:top w:val="single" w:color="auto" w:sz="4" w:space="0"/>
              <w:left w:val="nil"/>
              <w:bottom w:val="single" w:color="auto" w:sz="4" w:space="0"/>
              <w:right w:val="single" w:color="auto" w:sz="4" w:space="0"/>
            </w:tcBorders>
            <w:vAlign w:val="center"/>
          </w:tcPr>
          <w:p w14:paraId="5773DA0A">
            <w:pPr>
              <w:widowControl/>
              <w:rPr>
                <w:rFonts w:ascii="宋体" w:hAnsi="宋体"/>
                <w:szCs w:val="21"/>
              </w:rPr>
            </w:pPr>
            <w:r>
              <w:rPr>
                <w:rFonts w:hint="eastAsia" w:ascii="宋体" w:hAnsi="宋体"/>
                <w:szCs w:val="21"/>
              </w:rPr>
              <w:t>对分析统计的数据可以进行大屏展示。</w:t>
            </w:r>
          </w:p>
        </w:tc>
      </w:tr>
      <w:tr w14:paraId="038AD387">
        <w:tblPrEx>
          <w:tblCellMar>
            <w:top w:w="0" w:type="dxa"/>
            <w:left w:w="108" w:type="dxa"/>
            <w:bottom w:w="0" w:type="dxa"/>
            <w:right w:w="108" w:type="dxa"/>
          </w:tblCellMar>
        </w:tblPrEx>
        <w:trPr>
          <w:trHeight w:val="313" w:hRule="atLeast"/>
        </w:trPr>
        <w:tc>
          <w:tcPr>
            <w:tcW w:w="363" w:type="pct"/>
            <w:tcBorders>
              <w:top w:val="single" w:color="auto" w:sz="4" w:space="0"/>
              <w:left w:val="single" w:color="auto" w:sz="4" w:space="0"/>
              <w:bottom w:val="single" w:color="auto" w:sz="4" w:space="0"/>
              <w:right w:val="single" w:color="auto" w:sz="4" w:space="0"/>
            </w:tcBorders>
            <w:vAlign w:val="center"/>
          </w:tcPr>
          <w:p w14:paraId="18316553">
            <w:pPr>
              <w:widowControl/>
              <w:jc w:val="center"/>
              <w:rPr>
                <w:rFonts w:ascii="宋体" w:hAnsi="宋体"/>
                <w:szCs w:val="21"/>
              </w:rPr>
            </w:pPr>
            <w:r>
              <w:rPr>
                <w:rFonts w:hint="eastAsia" w:ascii="宋体" w:hAnsi="宋体"/>
                <w:szCs w:val="21"/>
              </w:rPr>
              <w:t>6</w:t>
            </w:r>
          </w:p>
        </w:tc>
        <w:tc>
          <w:tcPr>
            <w:tcW w:w="993" w:type="pct"/>
            <w:tcBorders>
              <w:top w:val="single" w:color="auto" w:sz="4" w:space="0"/>
              <w:left w:val="nil"/>
              <w:bottom w:val="single" w:color="auto" w:sz="4" w:space="0"/>
              <w:right w:val="single" w:color="auto" w:sz="4" w:space="0"/>
            </w:tcBorders>
            <w:vAlign w:val="center"/>
          </w:tcPr>
          <w:p w14:paraId="67FC1F84">
            <w:pPr>
              <w:widowControl/>
              <w:rPr>
                <w:rFonts w:ascii="宋体" w:hAnsi="宋体"/>
                <w:szCs w:val="21"/>
              </w:rPr>
            </w:pPr>
            <w:r>
              <w:rPr>
                <w:rFonts w:hint="eastAsia" w:ascii="宋体" w:hAnsi="宋体"/>
                <w:szCs w:val="21"/>
              </w:rPr>
              <w:t>自定义报表</w:t>
            </w:r>
          </w:p>
        </w:tc>
        <w:tc>
          <w:tcPr>
            <w:tcW w:w="3642" w:type="pct"/>
            <w:tcBorders>
              <w:top w:val="single" w:color="auto" w:sz="4" w:space="0"/>
              <w:left w:val="nil"/>
              <w:bottom w:val="single" w:color="auto" w:sz="4" w:space="0"/>
              <w:right w:val="single" w:color="auto" w:sz="4" w:space="0"/>
            </w:tcBorders>
            <w:vAlign w:val="center"/>
          </w:tcPr>
          <w:p w14:paraId="3CEB3BE3">
            <w:pPr>
              <w:widowControl/>
              <w:rPr>
                <w:rFonts w:ascii="宋体" w:hAnsi="宋体"/>
                <w:szCs w:val="21"/>
              </w:rPr>
            </w:pPr>
            <w:r>
              <w:rPr>
                <w:rFonts w:hint="eastAsia" w:ascii="宋体" w:hAnsi="宋体"/>
                <w:szCs w:val="21"/>
              </w:rPr>
              <w:t>可根据院方要求出具自定义报表。</w:t>
            </w:r>
          </w:p>
        </w:tc>
      </w:tr>
      <w:tr w14:paraId="54DA4473">
        <w:tblPrEx>
          <w:tblCellMar>
            <w:top w:w="0" w:type="dxa"/>
            <w:left w:w="108" w:type="dxa"/>
            <w:bottom w:w="0" w:type="dxa"/>
            <w:right w:w="108" w:type="dxa"/>
          </w:tblCellMar>
        </w:tblPrEx>
        <w:trPr>
          <w:trHeight w:val="313" w:hRule="atLeast"/>
        </w:trPr>
        <w:tc>
          <w:tcPr>
            <w:tcW w:w="363" w:type="pct"/>
            <w:tcBorders>
              <w:top w:val="single" w:color="auto" w:sz="4" w:space="0"/>
              <w:left w:val="single" w:color="auto" w:sz="4" w:space="0"/>
              <w:bottom w:val="single" w:color="auto" w:sz="4" w:space="0"/>
              <w:right w:val="single" w:color="auto" w:sz="4" w:space="0"/>
            </w:tcBorders>
            <w:vAlign w:val="center"/>
          </w:tcPr>
          <w:p w14:paraId="53E9E0DA">
            <w:pPr>
              <w:widowControl/>
              <w:jc w:val="center"/>
              <w:rPr>
                <w:rFonts w:ascii="宋体" w:hAnsi="宋体"/>
                <w:szCs w:val="21"/>
              </w:rPr>
            </w:pPr>
            <w:r>
              <w:rPr>
                <w:rFonts w:hint="eastAsia" w:ascii="宋体" w:hAnsi="宋体"/>
                <w:szCs w:val="21"/>
              </w:rPr>
              <w:t>7</w:t>
            </w:r>
          </w:p>
        </w:tc>
        <w:tc>
          <w:tcPr>
            <w:tcW w:w="993" w:type="pct"/>
            <w:tcBorders>
              <w:top w:val="single" w:color="auto" w:sz="4" w:space="0"/>
              <w:left w:val="nil"/>
              <w:bottom w:val="single" w:color="auto" w:sz="4" w:space="0"/>
              <w:right w:val="single" w:color="auto" w:sz="4" w:space="0"/>
            </w:tcBorders>
            <w:vAlign w:val="center"/>
          </w:tcPr>
          <w:p w14:paraId="0A69839A">
            <w:pPr>
              <w:widowControl/>
              <w:rPr>
                <w:rFonts w:ascii="宋体" w:hAnsi="宋体"/>
                <w:szCs w:val="21"/>
              </w:rPr>
            </w:pPr>
            <w:r>
              <w:rPr>
                <w:rFonts w:hint="eastAsia" w:ascii="宋体" w:hAnsi="宋体"/>
                <w:szCs w:val="21"/>
              </w:rPr>
              <w:t>接口</w:t>
            </w:r>
          </w:p>
        </w:tc>
        <w:tc>
          <w:tcPr>
            <w:tcW w:w="3642" w:type="pct"/>
            <w:tcBorders>
              <w:top w:val="single" w:color="auto" w:sz="4" w:space="0"/>
              <w:left w:val="nil"/>
              <w:bottom w:val="single" w:color="auto" w:sz="4" w:space="0"/>
              <w:right w:val="single" w:color="auto" w:sz="4" w:space="0"/>
            </w:tcBorders>
            <w:vAlign w:val="center"/>
          </w:tcPr>
          <w:p w14:paraId="1D367A4A">
            <w:pPr>
              <w:widowControl/>
              <w:rPr>
                <w:rFonts w:ascii="宋体" w:hAnsi="宋体"/>
                <w:szCs w:val="21"/>
              </w:rPr>
            </w:pPr>
            <w:r>
              <w:rPr>
                <w:rFonts w:hint="eastAsia" w:ascii="宋体" w:hAnsi="宋体"/>
                <w:szCs w:val="21"/>
              </w:rPr>
              <w:t>此次</w:t>
            </w:r>
            <w:r>
              <w:rPr>
                <w:rFonts w:ascii="宋体" w:hAnsi="宋体"/>
                <w:szCs w:val="21"/>
              </w:rPr>
              <w:t>服务包含与医保</w:t>
            </w:r>
            <w:r>
              <w:rPr>
                <w:rFonts w:hint="eastAsia" w:ascii="宋体" w:hAnsi="宋体"/>
                <w:szCs w:val="21"/>
              </w:rPr>
              <w:t>上传所有</w:t>
            </w:r>
            <w:r>
              <w:rPr>
                <w:rFonts w:ascii="宋体" w:hAnsi="宋体"/>
                <w:szCs w:val="21"/>
              </w:rPr>
              <w:t>接口</w:t>
            </w:r>
            <w:r>
              <w:rPr>
                <w:rFonts w:hint="eastAsia" w:ascii="宋体" w:hAnsi="宋体"/>
                <w:szCs w:val="21"/>
              </w:rPr>
              <w:t>费用。</w:t>
            </w:r>
          </w:p>
        </w:tc>
      </w:tr>
      <w:tr w14:paraId="49BF410C">
        <w:tblPrEx>
          <w:tblCellMar>
            <w:top w:w="0" w:type="dxa"/>
            <w:left w:w="108" w:type="dxa"/>
            <w:bottom w:w="0" w:type="dxa"/>
            <w:right w:w="108" w:type="dxa"/>
          </w:tblCellMar>
        </w:tblPrEx>
        <w:trPr>
          <w:trHeight w:val="322" w:hRule="atLeast"/>
        </w:trPr>
        <w:tc>
          <w:tcPr>
            <w:tcW w:w="363" w:type="pct"/>
            <w:tcBorders>
              <w:top w:val="single" w:color="auto" w:sz="4" w:space="0"/>
              <w:left w:val="single" w:color="auto" w:sz="4" w:space="0"/>
              <w:bottom w:val="single" w:color="auto" w:sz="4" w:space="0"/>
              <w:right w:val="single" w:color="auto" w:sz="4" w:space="0"/>
            </w:tcBorders>
            <w:vAlign w:val="center"/>
          </w:tcPr>
          <w:p w14:paraId="6F4BAC17">
            <w:pPr>
              <w:widowControl/>
              <w:jc w:val="center"/>
              <w:rPr>
                <w:rFonts w:ascii="宋体" w:hAnsi="宋体"/>
                <w:szCs w:val="21"/>
              </w:rPr>
            </w:pPr>
            <w:r>
              <w:rPr>
                <w:rFonts w:hint="eastAsia" w:ascii="宋体" w:hAnsi="宋体"/>
                <w:szCs w:val="21"/>
              </w:rPr>
              <w:t>8</w:t>
            </w:r>
          </w:p>
        </w:tc>
        <w:tc>
          <w:tcPr>
            <w:tcW w:w="993" w:type="pct"/>
            <w:tcBorders>
              <w:top w:val="single" w:color="auto" w:sz="4" w:space="0"/>
              <w:left w:val="nil"/>
              <w:bottom w:val="single" w:color="auto" w:sz="4" w:space="0"/>
              <w:right w:val="single" w:color="auto" w:sz="4" w:space="0"/>
            </w:tcBorders>
            <w:vAlign w:val="center"/>
          </w:tcPr>
          <w:p w14:paraId="0DF1A933">
            <w:pPr>
              <w:widowControl/>
            </w:pPr>
            <w:r>
              <w:rPr>
                <w:rFonts w:hint="eastAsia"/>
              </w:rPr>
              <w:t>备注</w:t>
            </w:r>
          </w:p>
        </w:tc>
        <w:tc>
          <w:tcPr>
            <w:tcW w:w="3642" w:type="pct"/>
            <w:tcBorders>
              <w:top w:val="single" w:color="auto" w:sz="4" w:space="0"/>
              <w:left w:val="nil"/>
              <w:bottom w:val="single" w:color="auto" w:sz="4" w:space="0"/>
              <w:right w:val="single" w:color="auto" w:sz="4" w:space="0"/>
            </w:tcBorders>
            <w:vAlign w:val="center"/>
          </w:tcPr>
          <w:p w14:paraId="381BF4A6">
            <w:r>
              <w:rPr>
                <w:rFonts w:hint="eastAsia"/>
              </w:rPr>
              <w:t>供应商需提供满足采购需求的产品。</w:t>
            </w:r>
          </w:p>
        </w:tc>
      </w:tr>
    </w:tbl>
    <w:p w14:paraId="7EEC2A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sz w:val="24"/>
          <w:szCs w:val="24"/>
          <w:lang w:val="en-US" w:eastAsia="zh-CN"/>
        </w:rPr>
        <w:sectPr>
          <w:headerReference r:id="rId4" w:type="default"/>
          <w:footerReference r:id="rId5" w:type="default"/>
          <w:pgSz w:w="11910" w:h="16840"/>
          <w:pgMar w:top="1580" w:right="1372" w:bottom="1340" w:left="1650" w:header="1304" w:footer="1144" w:gutter="0"/>
          <w:pgNumType w:fmt="numberInDash"/>
          <w:cols w:space="720" w:num="1"/>
        </w:sectPr>
      </w:pPr>
    </w:p>
    <w:p w14:paraId="7D01A785">
      <w:pPr>
        <w:pStyle w:val="5"/>
        <w:spacing w:before="156" w:beforeLines="50" w:after="156" w:afterLines="50" w:line="560" w:lineRule="exact"/>
        <w:jc w:val="center"/>
        <w:rPr>
          <w:rFonts w:asciiTheme="minorEastAsia" w:hAnsiTheme="minorEastAsia" w:eastAsiaTheme="minorEastAsia" w:cstheme="minorEastAsia"/>
          <w:sz w:val="24"/>
          <w:szCs w:val="24"/>
        </w:rPr>
      </w:pPr>
      <w:bookmarkStart w:id="36" w:name="_Toc18671563"/>
      <w:bookmarkStart w:id="37" w:name="_Toc20436"/>
      <w:r>
        <w:rPr>
          <w:rStyle w:val="30"/>
          <w:rFonts w:hint="eastAsia" w:ascii="宋体" w:hAnsi="宋体" w:eastAsia="宋体" w:cs="宋体"/>
          <w:b/>
          <w:bCs/>
          <w:sz w:val="24"/>
          <w:szCs w:val="24"/>
        </w:rPr>
        <w:t>第六章  单一来源响应</w:t>
      </w:r>
      <w:bookmarkEnd w:id="30"/>
      <w:bookmarkEnd w:id="31"/>
      <w:r>
        <w:rPr>
          <w:rStyle w:val="30"/>
          <w:rFonts w:hint="eastAsia" w:ascii="宋体" w:hAnsi="宋体" w:eastAsia="宋体" w:cs="宋体"/>
          <w:b/>
          <w:bCs/>
          <w:sz w:val="24"/>
          <w:szCs w:val="24"/>
        </w:rPr>
        <w:t>文件</w:t>
      </w:r>
      <w:bookmarkEnd w:id="36"/>
      <w:bookmarkEnd w:id="37"/>
    </w:p>
    <w:p w14:paraId="0FFAAE91">
      <w:pPr>
        <w:rPr>
          <w:rFonts w:asciiTheme="minorEastAsia" w:hAnsiTheme="minorEastAsia" w:eastAsiaTheme="minorEastAsia" w:cstheme="minorEastAsia"/>
          <w:sz w:val="24"/>
        </w:rPr>
      </w:pPr>
    </w:p>
    <w:p w14:paraId="59D86395">
      <w:pPr>
        <w:jc w:val="center"/>
        <w:rPr>
          <w:rFonts w:asciiTheme="minorEastAsia" w:hAnsiTheme="minorEastAsia" w:eastAsiaTheme="minorEastAsia" w:cstheme="minorEastAsia"/>
          <w:b/>
          <w:sz w:val="24"/>
        </w:rPr>
      </w:pPr>
    </w:p>
    <w:p w14:paraId="3D957D6A">
      <w:pPr>
        <w:rPr>
          <w:rFonts w:asciiTheme="minorEastAsia" w:hAnsiTheme="minorEastAsia" w:eastAsiaTheme="minorEastAsia" w:cstheme="minorEastAsia"/>
          <w:b/>
          <w:sz w:val="24"/>
        </w:rPr>
      </w:pPr>
    </w:p>
    <w:p w14:paraId="24A80C86">
      <w:pPr>
        <w:spacing w:before="156" w:beforeLines="50" w:after="156" w:afterLines="5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单一来源响应文件</w:t>
      </w:r>
    </w:p>
    <w:p w14:paraId="3450DAB9">
      <w:pPr>
        <w:spacing w:before="156" w:beforeLines="50" w:after="156" w:afterLines="50"/>
        <w:jc w:val="center"/>
        <w:rPr>
          <w:rFonts w:asciiTheme="minorEastAsia" w:hAnsiTheme="minorEastAsia" w:eastAsiaTheme="minorEastAsia" w:cstheme="minorEastAsia"/>
          <w:sz w:val="24"/>
        </w:rPr>
      </w:pPr>
    </w:p>
    <w:p w14:paraId="1C24F23A">
      <w:pPr>
        <w:spacing w:before="156" w:beforeLines="50" w:after="156" w:afterLines="5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（封面）</w:t>
      </w:r>
    </w:p>
    <w:p w14:paraId="60CA46D9">
      <w:pPr>
        <w:jc w:val="center"/>
        <w:rPr>
          <w:rFonts w:asciiTheme="minorEastAsia" w:hAnsiTheme="minorEastAsia" w:eastAsiaTheme="minorEastAsia" w:cstheme="minorEastAsia"/>
          <w:sz w:val="24"/>
        </w:rPr>
      </w:pPr>
    </w:p>
    <w:p w14:paraId="5A033B14">
      <w:pPr>
        <w:jc w:val="center"/>
        <w:rPr>
          <w:rFonts w:asciiTheme="minorEastAsia" w:hAnsiTheme="minorEastAsia" w:eastAsiaTheme="minorEastAsia" w:cstheme="minorEastAsia"/>
          <w:sz w:val="24"/>
        </w:rPr>
      </w:pPr>
    </w:p>
    <w:p w14:paraId="759F911A">
      <w:pPr>
        <w:jc w:val="center"/>
        <w:rPr>
          <w:rFonts w:asciiTheme="minorEastAsia" w:hAnsiTheme="minorEastAsia" w:eastAsiaTheme="minorEastAsia" w:cstheme="minorEastAsia"/>
          <w:sz w:val="24"/>
        </w:rPr>
      </w:pPr>
    </w:p>
    <w:p w14:paraId="20C26978">
      <w:pPr>
        <w:rPr>
          <w:rFonts w:asciiTheme="minorEastAsia" w:hAnsiTheme="minorEastAsia" w:eastAsiaTheme="minorEastAsia" w:cstheme="minorEastAsia"/>
          <w:sz w:val="24"/>
        </w:rPr>
      </w:pPr>
    </w:p>
    <w:p w14:paraId="7116324D">
      <w:pPr>
        <w:ind w:firstLine="1320" w:firstLineChars="5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14:paraId="07506B9F">
      <w:pPr>
        <w:ind w:firstLine="1320" w:firstLineChars="5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p w14:paraId="5E80C71E">
      <w:pPr>
        <w:jc w:val="center"/>
        <w:rPr>
          <w:rFonts w:asciiTheme="minorEastAsia" w:hAnsiTheme="minorEastAsia" w:eastAsiaTheme="minorEastAsia" w:cstheme="minorEastAsia"/>
          <w:sz w:val="24"/>
        </w:rPr>
      </w:pPr>
    </w:p>
    <w:p w14:paraId="1D7D104C">
      <w:pPr>
        <w:jc w:val="center"/>
        <w:rPr>
          <w:rFonts w:asciiTheme="minorEastAsia" w:hAnsiTheme="minorEastAsia" w:eastAsiaTheme="minorEastAsia" w:cstheme="minorEastAsia"/>
          <w:sz w:val="24"/>
        </w:rPr>
      </w:pPr>
    </w:p>
    <w:p w14:paraId="3210FBE8">
      <w:pPr>
        <w:jc w:val="center"/>
        <w:rPr>
          <w:rFonts w:asciiTheme="minorEastAsia" w:hAnsiTheme="minorEastAsia" w:eastAsiaTheme="minorEastAsia" w:cstheme="minorEastAsia"/>
          <w:sz w:val="24"/>
        </w:rPr>
      </w:pPr>
    </w:p>
    <w:p w14:paraId="18A6704A">
      <w:pPr>
        <w:jc w:val="center"/>
        <w:rPr>
          <w:rFonts w:asciiTheme="minorEastAsia" w:hAnsiTheme="minorEastAsia" w:eastAsiaTheme="minorEastAsia" w:cstheme="minorEastAsia"/>
          <w:sz w:val="24"/>
        </w:rPr>
      </w:pPr>
    </w:p>
    <w:p w14:paraId="49D23C79">
      <w:pPr>
        <w:jc w:val="center"/>
        <w:rPr>
          <w:rFonts w:asciiTheme="minorEastAsia" w:hAnsiTheme="minorEastAsia" w:eastAsiaTheme="minorEastAsia" w:cstheme="minorEastAsia"/>
          <w:sz w:val="24"/>
        </w:rPr>
      </w:pPr>
    </w:p>
    <w:p w14:paraId="02F677B6">
      <w:pPr>
        <w:jc w:val="center"/>
        <w:rPr>
          <w:rFonts w:asciiTheme="minorEastAsia" w:hAnsiTheme="minorEastAsia" w:eastAsiaTheme="minorEastAsia" w:cstheme="minorEastAsia"/>
          <w:sz w:val="24"/>
        </w:rPr>
      </w:pPr>
    </w:p>
    <w:p w14:paraId="1CC53323">
      <w:pPr>
        <w:jc w:val="center"/>
        <w:rPr>
          <w:rFonts w:asciiTheme="minorEastAsia" w:hAnsiTheme="minorEastAsia" w:eastAsiaTheme="minorEastAsia" w:cstheme="minorEastAsia"/>
          <w:sz w:val="24"/>
        </w:rPr>
      </w:pPr>
    </w:p>
    <w:p w14:paraId="32291E25">
      <w:pPr>
        <w:jc w:val="center"/>
        <w:rPr>
          <w:rFonts w:asciiTheme="minorEastAsia" w:hAnsiTheme="minorEastAsia" w:eastAsiaTheme="minorEastAsia" w:cstheme="minorEastAsia"/>
          <w:sz w:val="24"/>
        </w:rPr>
      </w:pPr>
    </w:p>
    <w:p w14:paraId="09A58EE1">
      <w:pPr>
        <w:jc w:val="center"/>
        <w:rPr>
          <w:rFonts w:asciiTheme="minorEastAsia" w:hAnsiTheme="minorEastAsia" w:eastAsiaTheme="minorEastAsia" w:cstheme="minorEastAsia"/>
          <w:sz w:val="24"/>
        </w:rPr>
      </w:pPr>
    </w:p>
    <w:p w14:paraId="082983DE">
      <w:pPr>
        <w:jc w:val="center"/>
        <w:rPr>
          <w:rFonts w:asciiTheme="minorEastAsia" w:hAnsiTheme="minorEastAsia" w:eastAsiaTheme="minorEastAsia" w:cstheme="minorEastAsia"/>
          <w:sz w:val="24"/>
        </w:rPr>
      </w:pPr>
    </w:p>
    <w:p w14:paraId="126AC9E9">
      <w:pPr>
        <w:jc w:val="center"/>
        <w:rPr>
          <w:rFonts w:asciiTheme="minorEastAsia" w:hAnsiTheme="minorEastAsia" w:eastAsiaTheme="minorEastAsia" w:cstheme="minorEastAsia"/>
          <w:sz w:val="24"/>
        </w:rPr>
      </w:pPr>
    </w:p>
    <w:p w14:paraId="22182885">
      <w:pPr>
        <w:jc w:val="center"/>
        <w:rPr>
          <w:rFonts w:asciiTheme="minorEastAsia" w:hAnsiTheme="minorEastAsia" w:eastAsiaTheme="minorEastAsia" w:cstheme="minorEastAsia"/>
          <w:sz w:val="24"/>
        </w:rPr>
      </w:pPr>
    </w:p>
    <w:p w14:paraId="77363E74">
      <w:pPr>
        <w:ind w:firstLine="2100" w:firstLineChars="875"/>
        <w:jc w:val="left"/>
        <w:rPr>
          <w:rFonts w:asciiTheme="minorEastAsia" w:hAnsiTheme="minorEastAsia" w:eastAsiaTheme="minorEastAsia" w:cstheme="minorEastAsia"/>
          <w:sz w:val="24"/>
        </w:rPr>
      </w:pPr>
    </w:p>
    <w:p w14:paraId="56FFC473">
      <w:pPr>
        <w:ind w:firstLine="2280" w:firstLineChars="950"/>
        <w:rPr>
          <w:rFonts w:asciiTheme="minorEastAsia" w:hAnsiTheme="minorEastAsia" w:eastAsiaTheme="minorEastAsia" w:cstheme="minorEastAsia"/>
          <w:sz w:val="24"/>
        </w:rPr>
      </w:pPr>
    </w:p>
    <w:p w14:paraId="4ECC9735">
      <w:pPr>
        <w:ind w:firstLine="1440" w:firstLineChars="6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                    </w:t>
      </w:r>
    </w:p>
    <w:p w14:paraId="038F8D1E">
      <w:pPr>
        <w:ind w:firstLine="1440" w:firstLineChars="600"/>
        <w:rPr>
          <w:rFonts w:asciiTheme="minorEastAsia" w:hAnsiTheme="minorEastAsia" w:eastAsiaTheme="minorEastAsia" w:cstheme="minorEastAsia"/>
          <w:b/>
          <w:sz w:val="24"/>
          <w:u w:val="single"/>
        </w:rPr>
      </w:pPr>
      <w:r>
        <w:rPr>
          <w:rFonts w:hint="eastAsia" w:asciiTheme="minorEastAsia" w:hAnsiTheme="minorEastAsia" w:eastAsiaTheme="minorEastAsia" w:cstheme="minorEastAsia"/>
          <w:sz w:val="24"/>
        </w:rPr>
        <w:t>签  章：</w:t>
      </w:r>
    </w:p>
    <w:p w14:paraId="54214099">
      <w:pPr>
        <w:ind w:firstLine="3240" w:firstLineChars="1350"/>
        <w:rPr>
          <w:rFonts w:asciiTheme="minorEastAsia" w:hAnsiTheme="minorEastAsia" w:eastAsiaTheme="minorEastAsia" w:cstheme="minorEastAsia"/>
          <w:sz w:val="24"/>
        </w:rPr>
      </w:pPr>
    </w:p>
    <w:p w14:paraId="2E9F54E0">
      <w:pPr>
        <w:ind w:firstLine="3240" w:firstLineChars="1350"/>
        <w:rPr>
          <w:rFonts w:asciiTheme="minorEastAsia" w:hAnsiTheme="minorEastAsia" w:eastAsiaTheme="minorEastAsia" w:cstheme="minorEastAsia"/>
          <w:sz w:val="24"/>
          <w:u w:val="single"/>
        </w:rPr>
      </w:pPr>
    </w:p>
    <w:p w14:paraId="7338FE7C">
      <w:pPr>
        <w:ind w:firstLine="3240" w:firstLineChars="1350"/>
        <w:rPr>
          <w:rFonts w:ascii="宋体" w:hAnsi="宋体" w:cs="宋体"/>
          <w:sz w:val="24"/>
          <w:u w:val="single"/>
        </w:rPr>
      </w:pPr>
    </w:p>
    <w:p w14:paraId="0FBCC2E7">
      <w:pPr>
        <w:ind w:firstLine="3240" w:firstLineChars="1350"/>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67BF420">
      <w:pPr>
        <w:pStyle w:val="27"/>
        <w:spacing w:before="156" w:beforeLines="50" w:after="156" w:afterLines="50" w:line="560" w:lineRule="exact"/>
        <w:ind w:firstLine="0" w:firstLineChars="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bookmarkStart w:id="38" w:name="_Toc272163838"/>
      <w:bookmarkStart w:id="39" w:name="_Toc533314956"/>
      <w:bookmarkStart w:id="40" w:name="_Toc26899"/>
      <w:bookmarkStart w:id="41" w:name="_Toc18671564"/>
      <w:bookmarkStart w:id="42" w:name="_Hlk450146465"/>
      <w:r>
        <w:rPr>
          <w:rStyle w:val="30"/>
          <w:rFonts w:hint="eastAsia" w:ascii="宋体" w:hAnsi="宋体" w:eastAsia="宋体" w:cs="宋体"/>
          <w:b/>
          <w:sz w:val="24"/>
          <w:szCs w:val="24"/>
        </w:rPr>
        <w:t>一、响应函格式</w:t>
      </w:r>
      <w:bookmarkEnd w:id="38"/>
      <w:bookmarkEnd w:id="39"/>
      <w:bookmarkEnd w:id="40"/>
      <w:bookmarkEnd w:id="41"/>
      <w:bookmarkEnd w:id="42"/>
    </w:p>
    <w:p w14:paraId="59AD5B43">
      <w:pPr>
        <w:spacing w:before="156" w:beforeLines="50" w:after="156" w:afterLines="50" w:line="5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致：</w:t>
      </w:r>
      <w:r>
        <w:rPr>
          <w:rFonts w:hint="eastAsia" w:asciiTheme="minorEastAsia" w:hAnsiTheme="minorEastAsia" w:eastAsiaTheme="minorEastAsia" w:cstheme="minorEastAsia"/>
          <w:b/>
          <w:sz w:val="24"/>
          <w:u w:val="single"/>
        </w:rPr>
        <w:t>（采购人的名称）</w:t>
      </w:r>
    </w:p>
    <w:p w14:paraId="38AD2209">
      <w:pPr>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1、根据贵方</w:t>
      </w:r>
      <w:r>
        <w:rPr>
          <w:rFonts w:hint="eastAsia" w:asciiTheme="minorEastAsia" w:hAnsiTheme="minorEastAsia" w:eastAsiaTheme="minorEastAsia" w:cstheme="minorEastAsia"/>
          <w:sz w:val="24"/>
          <w:u w:val="single"/>
        </w:rPr>
        <w:t xml:space="preserve"> （项目编号） </w:t>
      </w:r>
      <w:r>
        <w:rPr>
          <w:rFonts w:hint="eastAsia" w:asciiTheme="minorEastAsia" w:hAnsiTheme="minorEastAsia" w:eastAsiaTheme="minorEastAsia" w:cstheme="minorEastAsia"/>
          <w:sz w:val="24"/>
        </w:rPr>
        <w:t>单一来源文件，我们决定参加贵方组织的</w:t>
      </w:r>
      <w:r>
        <w:rPr>
          <w:rFonts w:hint="eastAsia" w:asciiTheme="minorEastAsia" w:hAnsiTheme="minorEastAsia" w:eastAsiaTheme="minorEastAsia" w:cstheme="minorEastAsia"/>
          <w:sz w:val="24"/>
          <w:u w:val="single"/>
        </w:rPr>
        <w:t xml:space="preserve"> （项目名称） </w:t>
      </w:r>
      <w:r>
        <w:rPr>
          <w:rFonts w:hint="eastAsia" w:asciiTheme="minorEastAsia" w:hAnsiTheme="minorEastAsia" w:eastAsiaTheme="minorEastAsia" w:cstheme="minorEastAsia"/>
          <w:sz w:val="24"/>
        </w:rPr>
        <w:t>的采购活动。我方授权</w:t>
      </w:r>
      <w:r>
        <w:rPr>
          <w:rFonts w:hint="eastAsia" w:asciiTheme="minorEastAsia" w:hAnsiTheme="minorEastAsia" w:eastAsiaTheme="minorEastAsia" w:cstheme="minorEastAsia"/>
          <w:sz w:val="24"/>
          <w:u w:val="single"/>
        </w:rPr>
        <w:t xml:space="preserve">  (姓名和职务)  </w:t>
      </w:r>
      <w:r>
        <w:rPr>
          <w:rFonts w:hint="eastAsia" w:asciiTheme="minorEastAsia" w:hAnsiTheme="minorEastAsia" w:eastAsiaTheme="minorEastAsia" w:cstheme="minorEastAsia"/>
          <w:sz w:val="24"/>
        </w:rPr>
        <w:t>代表我方</w:t>
      </w:r>
      <w:r>
        <w:rPr>
          <w:rFonts w:hint="eastAsia" w:asciiTheme="minorEastAsia" w:hAnsiTheme="minorEastAsia" w:eastAsiaTheme="minorEastAsia" w:cstheme="minorEastAsia"/>
          <w:sz w:val="24"/>
          <w:u w:val="single"/>
        </w:rPr>
        <w:t xml:space="preserve"> （供应商全称） </w:t>
      </w:r>
      <w:r>
        <w:rPr>
          <w:rFonts w:hint="eastAsia" w:asciiTheme="minorEastAsia" w:hAnsiTheme="minorEastAsia" w:eastAsiaTheme="minorEastAsia" w:cstheme="minorEastAsia"/>
          <w:sz w:val="24"/>
        </w:rPr>
        <w:t>全权处理本项目的有关事宜。</w:t>
      </w:r>
    </w:p>
    <w:p w14:paraId="06A2550C">
      <w:pPr>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2、我方愿意按照单一来源文件规定的各项要求，向采购人提供所需的服务。</w:t>
      </w:r>
    </w:p>
    <w:p w14:paraId="7628D424">
      <w:pPr>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3、一旦确定我方成交，我方将严格履行合同规定的责任和义务，保证于合同签字生效后按时完成服务内容并交付采购人验收、使用。</w:t>
      </w:r>
    </w:p>
    <w:p w14:paraId="08D5656E">
      <w:pPr>
        <w:tabs>
          <w:tab w:val="left" w:pos="840"/>
        </w:tabs>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4、我方愿意提供贵方可能另外要求的、与协商有关的文件资料，并保证我方已提供和将要提供的文件是真实的、准确的。</w:t>
      </w:r>
    </w:p>
    <w:p w14:paraId="06EA9E05">
      <w:pPr>
        <w:spacing w:line="500" w:lineRule="exact"/>
        <w:jc w:val="left"/>
        <w:rPr>
          <w:rFonts w:asciiTheme="minorEastAsia" w:hAnsiTheme="minorEastAsia" w:eastAsiaTheme="minorEastAsia" w:cstheme="minorEastAsia"/>
          <w:sz w:val="24"/>
        </w:rPr>
      </w:pPr>
    </w:p>
    <w:p w14:paraId="1D59713C">
      <w:pPr>
        <w:spacing w:line="500" w:lineRule="exact"/>
        <w:jc w:val="left"/>
        <w:rPr>
          <w:rFonts w:asciiTheme="minorEastAsia" w:hAnsiTheme="minorEastAsia" w:eastAsiaTheme="minorEastAsia" w:cstheme="minorEastAsia"/>
          <w:sz w:val="24"/>
        </w:rPr>
      </w:pPr>
    </w:p>
    <w:p w14:paraId="01FA6765">
      <w:pPr>
        <w:spacing w:line="500" w:lineRule="exact"/>
        <w:jc w:val="left"/>
        <w:rPr>
          <w:rFonts w:asciiTheme="minorEastAsia" w:hAnsiTheme="minorEastAsia" w:eastAsiaTheme="minorEastAsia" w:cstheme="minorEastAsia"/>
          <w:sz w:val="24"/>
        </w:rPr>
      </w:pPr>
    </w:p>
    <w:p w14:paraId="37B0E21D">
      <w:pPr>
        <w:spacing w:line="500" w:lineRule="exact"/>
        <w:jc w:val="left"/>
        <w:rPr>
          <w:rFonts w:asciiTheme="minorEastAsia" w:hAnsiTheme="minorEastAsia" w:eastAsiaTheme="minorEastAsia" w:cstheme="minorEastAsia"/>
          <w:sz w:val="24"/>
        </w:rPr>
      </w:pPr>
    </w:p>
    <w:p w14:paraId="5610DCBB">
      <w:pPr>
        <w:pStyle w:val="26"/>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供应商：（签章）</w:t>
      </w:r>
    </w:p>
    <w:p w14:paraId="0171D44B">
      <w:pPr>
        <w:pStyle w:val="26"/>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45D55FAF">
      <w:pPr>
        <w:pStyle w:val="26"/>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14:paraId="25B092F4">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p>
    <w:p w14:paraId="758F5802">
      <w:pPr>
        <w:pStyle w:val="27"/>
        <w:spacing w:line="500" w:lineRule="exact"/>
        <w:ind w:firstLine="3123" w:firstLineChars="129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bookmarkStart w:id="43" w:name="_Toc2979"/>
    </w:p>
    <w:p w14:paraId="46A9711A">
      <w:pPr>
        <w:pStyle w:val="5"/>
        <w:spacing w:before="156" w:beforeLines="50" w:after="156" w:afterLines="50" w:line="560" w:lineRule="exact"/>
        <w:jc w:val="center"/>
        <w:rPr>
          <w:rFonts w:ascii="宋体" w:hAnsi="宋体" w:eastAsia="宋体" w:cs="宋体"/>
          <w:sz w:val="24"/>
          <w:szCs w:val="24"/>
        </w:rPr>
      </w:pPr>
      <w:bookmarkStart w:id="44" w:name="_Toc18671565"/>
      <w:bookmarkStart w:id="45" w:name="_Toc14608"/>
      <w:r>
        <w:rPr>
          <w:rFonts w:hint="eastAsia" w:ascii="宋体" w:hAnsi="宋体" w:eastAsia="宋体" w:cs="宋体"/>
          <w:sz w:val="24"/>
          <w:szCs w:val="24"/>
        </w:rPr>
        <w:t>二、响应一览表</w:t>
      </w:r>
      <w:bookmarkEnd w:id="43"/>
      <w:bookmarkEnd w:id="44"/>
      <w:bookmarkEnd w:id="45"/>
    </w:p>
    <w:p w14:paraId="1BC97443">
      <w:pPr>
        <w:pStyle w:val="27"/>
        <w:ind w:firstLine="0" w:firstLineChars="0"/>
        <w:rPr>
          <w:rFonts w:asciiTheme="minorEastAsia" w:hAnsiTheme="minorEastAsia" w:eastAsiaTheme="minorEastAsia" w:cstheme="minorEastAsia"/>
          <w:sz w:val="24"/>
        </w:rPr>
      </w:pPr>
    </w:p>
    <w:tbl>
      <w:tblPr>
        <w:tblStyle w:val="1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7E77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60C4007E">
            <w:pPr>
              <w:widowControl/>
              <w:spacing w:line="360" w:lineRule="exact"/>
              <w:jc w:val="center"/>
              <w:rPr>
                <w:rFonts w:asciiTheme="minorEastAsia" w:hAnsiTheme="minorEastAsia" w:eastAsiaTheme="minorEastAsia" w:cstheme="minorEastAsia"/>
                <w:b/>
                <w:sz w:val="24"/>
              </w:rPr>
            </w:pPr>
            <w:bookmarkStart w:id="46" w:name="_Toc293560332"/>
            <w:bookmarkStart w:id="47" w:name="_Hlk450185766"/>
            <w:bookmarkStart w:id="48" w:name="_Toc272141475"/>
            <w:r>
              <w:rPr>
                <w:rFonts w:hint="eastAsia" w:asciiTheme="minorEastAsia" w:hAnsiTheme="minorEastAsia" w:eastAsiaTheme="minorEastAsia" w:cstheme="minorEastAsia"/>
                <w:b/>
                <w:sz w:val="24"/>
              </w:rPr>
              <w:t>项目名称</w:t>
            </w:r>
          </w:p>
        </w:tc>
        <w:tc>
          <w:tcPr>
            <w:tcW w:w="6667" w:type="dxa"/>
            <w:tcBorders>
              <w:top w:val="single" w:color="auto" w:sz="4" w:space="0"/>
              <w:bottom w:val="single" w:color="auto" w:sz="4" w:space="0"/>
              <w:right w:val="single" w:color="auto" w:sz="4" w:space="0"/>
            </w:tcBorders>
            <w:vAlign w:val="center"/>
          </w:tcPr>
          <w:p w14:paraId="6E0FD1E0">
            <w:pPr>
              <w:spacing w:line="360" w:lineRule="exact"/>
              <w:rPr>
                <w:rFonts w:asciiTheme="minorEastAsia" w:hAnsiTheme="minorEastAsia" w:eastAsiaTheme="minorEastAsia" w:cstheme="minorEastAsia"/>
                <w:bCs/>
                <w:sz w:val="24"/>
                <w:u w:val="single"/>
              </w:rPr>
            </w:pPr>
          </w:p>
        </w:tc>
      </w:tr>
      <w:tr w14:paraId="3726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436C78CA">
            <w:pPr>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项目编号</w:t>
            </w:r>
          </w:p>
        </w:tc>
        <w:tc>
          <w:tcPr>
            <w:tcW w:w="6667" w:type="dxa"/>
            <w:tcBorders>
              <w:top w:val="nil"/>
            </w:tcBorders>
            <w:vAlign w:val="center"/>
          </w:tcPr>
          <w:p w14:paraId="57494E77">
            <w:pPr>
              <w:rPr>
                <w:rFonts w:asciiTheme="minorEastAsia" w:hAnsiTheme="minorEastAsia" w:eastAsiaTheme="minorEastAsia" w:cstheme="minorEastAsia"/>
                <w:bCs/>
                <w:sz w:val="24"/>
              </w:rPr>
            </w:pPr>
          </w:p>
        </w:tc>
      </w:tr>
      <w:tr w14:paraId="3AA3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73DD759F">
            <w:pPr>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响应供应商全称</w:t>
            </w:r>
          </w:p>
        </w:tc>
        <w:tc>
          <w:tcPr>
            <w:tcW w:w="6667" w:type="dxa"/>
            <w:tcBorders>
              <w:top w:val="nil"/>
            </w:tcBorders>
            <w:vAlign w:val="center"/>
          </w:tcPr>
          <w:p w14:paraId="2FF6C7D7">
            <w:pPr>
              <w:spacing w:line="360" w:lineRule="auto"/>
              <w:rPr>
                <w:rFonts w:asciiTheme="minorEastAsia" w:hAnsiTheme="minorEastAsia" w:eastAsiaTheme="minorEastAsia" w:cstheme="minorEastAsia"/>
                <w:bCs/>
                <w:sz w:val="24"/>
              </w:rPr>
            </w:pPr>
          </w:p>
        </w:tc>
      </w:tr>
      <w:tr w14:paraId="0BE5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0A57E04E">
            <w:pPr>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响应范围</w:t>
            </w:r>
          </w:p>
        </w:tc>
        <w:tc>
          <w:tcPr>
            <w:tcW w:w="6667" w:type="dxa"/>
            <w:tcBorders>
              <w:top w:val="nil"/>
            </w:tcBorders>
            <w:vAlign w:val="center"/>
          </w:tcPr>
          <w:p w14:paraId="0BE8C75D">
            <w:pPr>
              <w:widowControl/>
              <w:spacing w:line="36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包(不分包项目填写“全部”)</w:t>
            </w:r>
          </w:p>
        </w:tc>
      </w:tr>
      <w:tr w14:paraId="53C0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vMerge w:val="restart"/>
            <w:tcBorders>
              <w:top w:val="nil"/>
            </w:tcBorders>
            <w:vAlign w:val="center"/>
          </w:tcPr>
          <w:p w14:paraId="6FFEA626">
            <w:pPr>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响应报价</w:t>
            </w:r>
          </w:p>
          <w:p w14:paraId="0FD2C778">
            <w:pPr>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（人民币）</w:t>
            </w:r>
          </w:p>
          <w:p w14:paraId="677B219A">
            <w:pPr>
              <w:spacing w:line="360" w:lineRule="exact"/>
              <w:jc w:val="center"/>
              <w:rPr>
                <w:rFonts w:asciiTheme="minorEastAsia" w:hAnsiTheme="minorEastAsia" w:eastAsiaTheme="minorEastAsia" w:cstheme="minorEastAsia"/>
                <w:b/>
                <w:sz w:val="24"/>
              </w:rPr>
            </w:pPr>
          </w:p>
        </w:tc>
        <w:tc>
          <w:tcPr>
            <w:tcW w:w="6667" w:type="dxa"/>
            <w:tcBorders>
              <w:top w:val="nil"/>
            </w:tcBorders>
            <w:vAlign w:val="center"/>
          </w:tcPr>
          <w:p w14:paraId="7C0DD748">
            <w:pPr>
              <w:spacing w:line="360" w:lineRule="auto"/>
              <w:ind w:right="-670"/>
              <w:rPr>
                <w:rFonts w:asciiTheme="minorEastAsia" w:hAnsiTheme="minorEastAsia" w:eastAsiaTheme="minorEastAsia" w:cstheme="minorEastAsia"/>
                <w:bCs/>
                <w:sz w:val="24"/>
              </w:rPr>
            </w:pPr>
          </w:p>
          <w:p w14:paraId="658DF981">
            <w:pPr>
              <w:spacing w:line="360" w:lineRule="auto"/>
              <w:ind w:right="-67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大写：</w:t>
            </w:r>
            <w:r>
              <w:rPr>
                <w:rFonts w:hint="eastAsia" w:asciiTheme="minorEastAsia" w:hAnsiTheme="minorEastAsia" w:eastAsiaTheme="minorEastAsia" w:cstheme="minorEastAsia"/>
                <w:bCs/>
                <w:sz w:val="24"/>
                <w:u w:val="single"/>
              </w:rPr>
              <w:t xml:space="preserve">        </w:t>
            </w:r>
          </w:p>
        </w:tc>
      </w:tr>
      <w:tr w14:paraId="5E6E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vMerge w:val="continue"/>
            <w:vAlign w:val="center"/>
          </w:tcPr>
          <w:p w14:paraId="58209F3D">
            <w:pPr>
              <w:spacing w:line="360" w:lineRule="exact"/>
              <w:jc w:val="center"/>
              <w:rPr>
                <w:rFonts w:asciiTheme="minorEastAsia" w:hAnsiTheme="minorEastAsia" w:eastAsiaTheme="minorEastAsia" w:cstheme="minorEastAsia"/>
                <w:b/>
                <w:sz w:val="24"/>
              </w:rPr>
            </w:pPr>
          </w:p>
        </w:tc>
        <w:tc>
          <w:tcPr>
            <w:tcW w:w="6667" w:type="dxa"/>
            <w:tcBorders>
              <w:top w:val="nil"/>
            </w:tcBorders>
            <w:vAlign w:val="center"/>
          </w:tcPr>
          <w:p w14:paraId="23A238A4">
            <w:pPr>
              <w:spacing w:line="360" w:lineRule="auto"/>
              <w:ind w:right="-670"/>
              <w:rPr>
                <w:rFonts w:asciiTheme="minorEastAsia" w:hAnsiTheme="minorEastAsia" w:eastAsiaTheme="minorEastAsia" w:cstheme="minorEastAsia"/>
                <w:bCs/>
                <w:sz w:val="24"/>
              </w:rPr>
            </w:pPr>
          </w:p>
          <w:p w14:paraId="2E203923">
            <w:pPr>
              <w:spacing w:line="360" w:lineRule="auto"/>
              <w:ind w:right="-67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bCs/>
                <w:sz w:val="24"/>
              </w:rPr>
              <w:t>小写：</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（元/%）</w:t>
            </w:r>
          </w:p>
          <w:p w14:paraId="12A5FB7A">
            <w:pPr>
              <w:spacing w:line="360" w:lineRule="auto"/>
              <w:ind w:right="-670"/>
              <w:rPr>
                <w:rFonts w:asciiTheme="minorEastAsia" w:hAnsiTheme="minorEastAsia" w:eastAsiaTheme="minorEastAsia" w:cstheme="minorEastAsia"/>
                <w:bCs/>
                <w:sz w:val="24"/>
              </w:rPr>
            </w:pPr>
          </w:p>
        </w:tc>
      </w:tr>
      <w:tr w14:paraId="7AE4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8" w:hRule="atLeast"/>
          <w:jc w:val="center"/>
        </w:trPr>
        <w:tc>
          <w:tcPr>
            <w:tcW w:w="2471" w:type="dxa"/>
            <w:tcBorders>
              <w:top w:val="nil"/>
            </w:tcBorders>
            <w:vAlign w:val="center"/>
          </w:tcPr>
          <w:p w14:paraId="0A49E032">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备注</w:t>
            </w:r>
          </w:p>
        </w:tc>
        <w:tc>
          <w:tcPr>
            <w:tcW w:w="6667" w:type="dxa"/>
            <w:tcBorders>
              <w:top w:val="nil"/>
            </w:tcBorders>
            <w:vAlign w:val="center"/>
          </w:tcPr>
          <w:p w14:paraId="29301F97">
            <w:pPr>
              <w:spacing w:line="360" w:lineRule="auto"/>
              <w:jc w:val="left"/>
              <w:rPr>
                <w:rFonts w:asciiTheme="minorEastAsia" w:hAnsiTheme="minorEastAsia" w:eastAsiaTheme="minorEastAsia" w:cstheme="minorEastAsia"/>
                <w:bCs/>
                <w:sz w:val="24"/>
              </w:rPr>
            </w:pPr>
          </w:p>
        </w:tc>
      </w:tr>
    </w:tbl>
    <w:p w14:paraId="43D839E3">
      <w:pPr>
        <w:spacing w:before="100" w:beforeAutospacing="1" w:after="100" w:afterAutospacing="1" w:line="360" w:lineRule="auto"/>
        <w:rPr>
          <w:rFonts w:asciiTheme="minorEastAsia" w:hAnsiTheme="minorEastAsia" w:eastAsiaTheme="minorEastAsia" w:cstheme="minorEastAsia"/>
          <w:b/>
          <w:sz w:val="24"/>
        </w:rPr>
      </w:pPr>
    </w:p>
    <w:p w14:paraId="5B6F3653">
      <w:pPr>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响应供应商</w:t>
      </w:r>
      <w:r>
        <w:rPr>
          <w:rFonts w:hint="eastAsia" w:asciiTheme="minorEastAsia" w:hAnsiTheme="minorEastAsia" w:eastAsiaTheme="minorEastAsia" w:cstheme="minorEastAsia"/>
          <w:b/>
          <w:sz w:val="24"/>
          <w:lang w:val="en-US" w:eastAsia="zh-CN"/>
        </w:rPr>
        <w:t>盖章</w:t>
      </w:r>
      <w:r>
        <w:rPr>
          <w:rFonts w:hint="eastAsia" w:asciiTheme="minorEastAsia" w:hAnsiTheme="minorEastAsia" w:eastAsiaTheme="minorEastAsia" w:cstheme="minorEastAsia"/>
          <w:b/>
          <w:sz w:val="24"/>
        </w:rPr>
        <w:t xml:space="preserve">：   </w:t>
      </w:r>
    </w:p>
    <w:p w14:paraId="02BC8CC7">
      <w:pPr>
        <w:rPr>
          <w:rFonts w:asciiTheme="minorEastAsia" w:hAnsiTheme="minorEastAsia" w:eastAsiaTheme="minorEastAsia" w:cstheme="minorEastAsia"/>
          <w:sz w:val="24"/>
        </w:rPr>
      </w:pPr>
    </w:p>
    <w:p w14:paraId="2F93009E">
      <w:pPr>
        <w:rPr>
          <w:rFonts w:asciiTheme="minorEastAsia" w:hAnsiTheme="minorEastAsia" w:eastAsiaTheme="minorEastAsia" w:cstheme="minorEastAsia"/>
          <w:sz w:val="24"/>
        </w:rPr>
      </w:pPr>
    </w:p>
    <w:p w14:paraId="6B6ABEEE">
      <w:pPr>
        <w:rPr>
          <w:rFonts w:asciiTheme="minorEastAsia" w:hAnsiTheme="minorEastAsia" w:eastAsiaTheme="minorEastAsia" w:cstheme="minorEastAsia"/>
          <w:sz w:val="24"/>
        </w:rPr>
      </w:pPr>
      <w:r>
        <w:rPr>
          <w:rFonts w:asciiTheme="minorEastAsia" w:hAnsiTheme="minorEastAsia" w:eastAsiaTheme="minorEastAsia" w:cstheme="minorEastAsia"/>
          <w:b/>
          <w:sz w:val="24"/>
        </w:rPr>
        <w:t>日期</w:t>
      </w:r>
      <w:r>
        <w:rPr>
          <w:rFonts w:hint="eastAsia" w:asciiTheme="minorEastAsia" w:hAnsiTheme="minorEastAsia" w:eastAsiaTheme="minorEastAsia" w:cstheme="minorEastAsia"/>
          <w:sz w:val="24"/>
        </w:rPr>
        <w:t>：   年    月    日</w:t>
      </w:r>
    </w:p>
    <w:p w14:paraId="359FDEC1">
      <w:pPr>
        <w:rPr>
          <w:rFonts w:asciiTheme="minorEastAsia" w:hAnsiTheme="minorEastAsia" w:eastAsiaTheme="minorEastAsia" w:cstheme="minorEastAsia"/>
          <w:sz w:val="24"/>
        </w:rPr>
      </w:pPr>
    </w:p>
    <w:p w14:paraId="1EA9D8E6">
      <w:pPr>
        <w:rPr>
          <w:rFonts w:asciiTheme="minorEastAsia" w:hAnsiTheme="minorEastAsia" w:eastAsiaTheme="minorEastAsia" w:cstheme="minorEastAsia"/>
          <w:sz w:val="24"/>
        </w:rPr>
      </w:pPr>
    </w:p>
    <w:p w14:paraId="4A54E128">
      <w:pPr>
        <w:rPr>
          <w:rFonts w:asciiTheme="minorEastAsia" w:hAnsiTheme="minorEastAsia" w:eastAsiaTheme="minorEastAsia" w:cstheme="minorEastAsia"/>
          <w:sz w:val="24"/>
        </w:rPr>
      </w:pPr>
    </w:p>
    <w:p w14:paraId="031FE438">
      <w:pPr>
        <w:rPr>
          <w:rFonts w:asciiTheme="minorEastAsia" w:hAnsiTheme="minorEastAsia" w:eastAsiaTheme="minorEastAsia" w:cstheme="minorEastAsia"/>
          <w:sz w:val="24"/>
        </w:rPr>
      </w:pPr>
    </w:p>
    <w:p w14:paraId="5F18AC8D">
      <w:pPr>
        <w:rPr>
          <w:rFonts w:asciiTheme="minorEastAsia" w:hAnsiTheme="minorEastAsia" w:eastAsiaTheme="minorEastAsia" w:cstheme="minorEastAsia"/>
          <w:sz w:val="24"/>
        </w:rPr>
      </w:pPr>
    </w:p>
    <w:p w14:paraId="222E8503">
      <w:pPr>
        <w:rPr>
          <w:rFonts w:asciiTheme="minorEastAsia" w:hAnsiTheme="minorEastAsia" w:eastAsiaTheme="minorEastAsia" w:cstheme="minorEastAsia"/>
          <w:sz w:val="24"/>
        </w:rPr>
      </w:pPr>
    </w:p>
    <w:p w14:paraId="2A4AF148">
      <w:pPr>
        <w:pStyle w:val="5"/>
        <w:spacing w:before="156" w:beforeLines="50" w:after="156" w:afterLines="50" w:line="560" w:lineRule="exact"/>
        <w:jc w:val="center"/>
        <w:rPr>
          <w:rFonts w:asciiTheme="minorEastAsia" w:hAnsiTheme="minorEastAsia" w:eastAsiaTheme="minorEastAsia" w:cstheme="minorEastAsia"/>
          <w:sz w:val="24"/>
          <w:szCs w:val="24"/>
        </w:rPr>
      </w:pPr>
      <w:bookmarkStart w:id="49" w:name="_Toc3760"/>
      <w:r>
        <w:rPr>
          <w:rFonts w:hint="eastAsia" w:asciiTheme="minorEastAsia" w:hAnsiTheme="minorEastAsia" w:eastAsiaTheme="minorEastAsia" w:cstheme="minorEastAsia"/>
          <w:sz w:val="24"/>
          <w:szCs w:val="24"/>
        </w:rPr>
        <w:br w:type="page"/>
      </w:r>
      <w:bookmarkStart w:id="50" w:name="_Toc2257"/>
      <w:bookmarkStart w:id="51" w:name="_Toc9309"/>
      <w:bookmarkStart w:id="52" w:name="_Toc18671566"/>
      <w:r>
        <w:rPr>
          <w:rFonts w:hint="eastAsia" w:ascii="宋体" w:hAnsi="宋体" w:eastAsia="宋体" w:cs="宋体"/>
          <w:sz w:val="24"/>
          <w:szCs w:val="24"/>
        </w:rPr>
        <w:t>三、营业执照</w:t>
      </w:r>
      <w:bookmarkEnd w:id="50"/>
      <w:bookmarkEnd w:id="51"/>
    </w:p>
    <w:p w14:paraId="48ECA873">
      <w:pPr>
        <w:jc w:val="center"/>
        <w:rPr>
          <w:rFonts w:ascii="宋体" w:hAnsi="宋体" w:cs="宋体"/>
          <w:sz w:val="24"/>
        </w:rPr>
      </w:pPr>
      <w:bookmarkStart w:id="53" w:name="_Toc24176"/>
      <w:r>
        <w:rPr>
          <w:rFonts w:hint="eastAsia"/>
          <w:sz w:val="24"/>
        </w:rPr>
        <w:t>（营业执照等信息）</w:t>
      </w:r>
    </w:p>
    <w:p w14:paraId="627C6EE2">
      <w:pPr>
        <w:rPr>
          <w:rFonts w:ascii="宋体" w:hAnsi="宋体" w:cs="宋体"/>
          <w:sz w:val="24"/>
        </w:rPr>
      </w:pPr>
      <w:r>
        <w:rPr>
          <w:rFonts w:hint="eastAsia" w:ascii="宋体" w:hAnsi="宋体" w:cs="宋体"/>
          <w:sz w:val="24"/>
        </w:rPr>
        <w:br w:type="page"/>
      </w:r>
    </w:p>
    <w:p w14:paraId="79B236EC">
      <w:pPr>
        <w:pStyle w:val="5"/>
        <w:spacing w:before="156" w:beforeLines="50" w:after="156" w:afterLines="50" w:line="560" w:lineRule="exact"/>
        <w:jc w:val="center"/>
        <w:rPr>
          <w:rFonts w:ascii="宋体" w:hAnsi="宋体" w:eastAsia="宋体" w:cs="宋体"/>
          <w:sz w:val="24"/>
          <w:szCs w:val="24"/>
        </w:rPr>
      </w:pPr>
      <w:bookmarkStart w:id="54" w:name="_Toc1365"/>
      <w:r>
        <w:rPr>
          <w:rFonts w:hint="eastAsia" w:ascii="宋体" w:hAnsi="宋体" w:eastAsia="宋体" w:cs="宋体"/>
          <w:sz w:val="24"/>
          <w:szCs w:val="24"/>
        </w:rPr>
        <w:t>四、授权委托书</w:t>
      </w:r>
      <w:bookmarkEnd w:id="53"/>
      <w:bookmarkEnd w:id="54"/>
    </w:p>
    <w:p w14:paraId="32EF3E00">
      <w:pPr>
        <w:pStyle w:val="7"/>
        <w:snapToGrid w:val="0"/>
        <w:spacing w:line="560" w:lineRule="exact"/>
        <w:ind w:firstLine="480" w:firstLineChars="200"/>
        <w:jc w:val="left"/>
        <w:rPr>
          <w:rFonts w:asciiTheme="minorEastAsia" w:hAnsiTheme="minorEastAsia" w:eastAsiaTheme="minorEastAsia" w:cstheme="minorEastAsia"/>
          <w:sz w:val="24"/>
        </w:rPr>
      </w:pPr>
      <w:r>
        <w:rPr>
          <w:rFonts w:hint="eastAsia" w:hAnsi="宋体" w:cs="宋体"/>
          <w:sz w:val="24"/>
          <w:u w:val="single"/>
        </w:rPr>
        <w:t xml:space="preserve"> （供应商名称的全称） </w:t>
      </w:r>
      <w:r>
        <w:rPr>
          <w:rFonts w:hint="eastAsia" w:asciiTheme="minorEastAsia" w:hAnsiTheme="minorEastAsia" w:eastAsiaTheme="minorEastAsia" w:cstheme="minorEastAsia"/>
          <w:sz w:val="24"/>
        </w:rPr>
        <w:t>授权本公司</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（响应供应商授权代表姓名、职务）代表本公司参加</w:t>
      </w:r>
      <w:r>
        <w:rPr>
          <w:rFonts w:hint="eastAsia" w:asciiTheme="minorEastAsia" w:hAnsiTheme="minorEastAsia" w:eastAsiaTheme="minorEastAsia" w:cstheme="minorEastAsia"/>
          <w:sz w:val="24"/>
          <w:u w:val="single"/>
        </w:rPr>
        <w:t xml:space="preserve">       某项目</w:t>
      </w:r>
      <w:r>
        <w:rPr>
          <w:rFonts w:hint="eastAsia" w:asciiTheme="minorEastAsia" w:hAnsiTheme="minorEastAsia" w:eastAsiaTheme="minorEastAsia" w:cstheme="minorEastAsia"/>
          <w:sz w:val="24"/>
        </w:rPr>
        <w:t>采购活动（项目编号：</w:t>
      </w:r>
      <w:r>
        <w:rPr>
          <w:rFonts w:hint="eastAsia" w:asciiTheme="minorEastAsia" w:hAnsiTheme="minorEastAsia" w:eastAsiaTheme="minorEastAsia" w:cstheme="minorEastAsia"/>
          <w:sz w:val="24"/>
          <w:u w:val="single"/>
        </w:rPr>
        <w:t>某编号</w:t>
      </w:r>
      <w:r>
        <w:rPr>
          <w:rFonts w:hint="eastAsia" w:asciiTheme="minorEastAsia" w:hAnsiTheme="minorEastAsia" w:eastAsiaTheme="minorEastAsia" w:cstheme="minorEastAsia"/>
          <w:sz w:val="24"/>
        </w:rPr>
        <w:t>），全权代表本公司处理采购过程的一切事宜。响应供应商授权代表在采购过程中所签署的一切文件和处理与之有关的一切事务，本公司均予以认可并对此承担责任。响应供应商授权代表无转委托权。</w:t>
      </w:r>
    </w:p>
    <w:p w14:paraId="3EA057F6">
      <w:pPr>
        <w:pStyle w:val="7"/>
        <w:snapToGrid w:val="0"/>
        <w:spacing w:line="56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特此授权。</w:t>
      </w:r>
    </w:p>
    <w:p w14:paraId="4BD61B7A">
      <w:pPr>
        <w:pStyle w:val="7"/>
        <w:snapToGrid w:val="0"/>
        <w:spacing w:line="56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本授权书自出具之日起生效。</w:t>
      </w:r>
    </w:p>
    <w:p w14:paraId="13B7A731">
      <w:pPr>
        <w:spacing w:line="360" w:lineRule="auto"/>
        <w:rPr>
          <w:rFonts w:asciiTheme="minorEastAsia" w:hAnsiTheme="minorEastAsia" w:eastAsiaTheme="minorEastAsia" w:cstheme="minorEastAsia"/>
          <w:sz w:val="24"/>
        </w:rPr>
      </w:pPr>
    </w:p>
    <w:p w14:paraId="06911228">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授权代表（或法定代表人）身份证明扫描件或影印件：</w:t>
      </w:r>
    </w:p>
    <w:p w14:paraId="38661278">
      <w:pPr>
        <w:spacing w:line="360" w:lineRule="auto"/>
        <w:rPr>
          <w:rFonts w:asciiTheme="minorEastAsia" w:hAnsiTheme="minorEastAsia" w:eastAsiaTheme="minorEastAsia" w:cstheme="minorEastAsia"/>
          <w:sz w:val="24"/>
        </w:rPr>
      </w:pPr>
    </w:p>
    <w:p w14:paraId="4A5FBC75">
      <w:pPr>
        <w:spacing w:line="360" w:lineRule="auto"/>
        <w:rPr>
          <w:rFonts w:asciiTheme="minorEastAsia" w:hAnsiTheme="minorEastAsia" w:eastAsiaTheme="minorEastAsia" w:cstheme="minorEastAsia"/>
          <w:sz w:val="24"/>
        </w:rPr>
      </w:pPr>
    </w:p>
    <w:p w14:paraId="5B1F9B05">
      <w:pPr>
        <w:spacing w:line="360" w:lineRule="auto"/>
        <w:rPr>
          <w:rFonts w:asciiTheme="minorEastAsia" w:hAnsiTheme="minorEastAsia" w:eastAsiaTheme="minorEastAsia" w:cstheme="minorEastAsia"/>
          <w:sz w:val="24"/>
        </w:rPr>
      </w:pPr>
    </w:p>
    <w:p w14:paraId="112B7890">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授权代表（或法定代表人）联系方式：</w:t>
      </w:r>
      <w:r>
        <w:rPr>
          <w:rFonts w:hint="eastAsia" w:asciiTheme="minorEastAsia" w:hAnsiTheme="minorEastAsia" w:eastAsiaTheme="minorEastAsia" w:cstheme="minorEastAsia"/>
          <w:sz w:val="24"/>
        </w:rPr>
        <w:t>（请填写手机号码）</w:t>
      </w:r>
    </w:p>
    <w:p w14:paraId="7B42EE5F">
      <w:pPr>
        <w:spacing w:line="360" w:lineRule="auto"/>
        <w:ind w:firstLine="645"/>
        <w:rPr>
          <w:rFonts w:asciiTheme="minorEastAsia" w:hAnsiTheme="minorEastAsia" w:eastAsiaTheme="minorEastAsia" w:cstheme="minorEastAsia"/>
          <w:sz w:val="24"/>
        </w:rPr>
      </w:pPr>
    </w:p>
    <w:p w14:paraId="472B3A18">
      <w:pPr>
        <w:spacing w:line="360" w:lineRule="auto"/>
        <w:rPr>
          <w:rFonts w:asciiTheme="minorEastAsia" w:hAnsiTheme="minorEastAsia" w:eastAsiaTheme="minorEastAsia" w:cstheme="minorEastAsia"/>
          <w:sz w:val="24"/>
        </w:rPr>
      </w:pPr>
    </w:p>
    <w:p w14:paraId="34C0F357">
      <w:pPr>
        <w:spacing w:line="360" w:lineRule="auto"/>
        <w:rPr>
          <w:rFonts w:asciiTheme="minorEastAsia" w:hAnsiTheme="minorEastAsia" w:eastAsiaTheme="minorEastAsia" w:cstheme="minorEastAsia"/>
          <w:sz w:val="24"/>
        </w:rPr>
      </w:pPr>
    </w:p>
    <w:p w14:paraId="3FA0334E">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供应商</w:t>
      </w:r>
      <w:r>
        <w:rPr>
          <w:rFonts w:hint="eastAsia" w:asciiTheme="minorEastAsia" w:hAnsiTheme="minorEastAsia" w:eastAsiaTheme="minorEastAsia" w:cstheme="minorEastAsia"/>
          <w:b/>
          <w:bCs/>
          <w:sz w:val="24"/>
          <w:lang w:val="en-US" w:eastAsia="zh-CN"/>
        </w:rPr>
        <w:t>盖章</w:t>
      </w:r>
      <w:r>
        <w:rPr>
          <w:rFonts w:hint="eastAsia" w:asciiTheme="minorEastAsia" w:hAnsiTheme="minorEastAsia" w:eastAsiaTheme="minorEastAsia" w:cstheme="minorEastAsia"/>
          <w:b/>
          <w:bCs/>
          <w:sz w:val="24"/>
        </w:rPr>
        <w:t>：</w:t>
      </w:r>
    </w:p>
    <w:p w14:paraId="73E01E15">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     期：     年   月   日</w:t>
      </w:r>
    </w:p>
    <w:p w14:paraId="2EADB726">
      <w:pPr>
        <w:rPr>
          <w:rFonts w:asciiTheme="minorEastAsia" w:hAnsiTheme="minorEastAsia" w:eastAsiaTheme="minorEastAsia" w:cstheme="minorEastAsia"/>
          <w:sz w:val="24"/>
        </w:rPr>
      </w:pPr>
    </w:p>
    <w:p w14:paraId="24F0AC30">
      <w:pPr>
        <w:pStyle w:val="7"/>
        <w:snapToGrid w:val="0"/>
        <w:spacing w:line="360" w:lineRule="auto"/>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w:t>
      </w:r>
    </w:p>
    <w:p w14:paraId="74275060">
      <w:pPr>
        <w:pStyle w:val="7"/>
        <w:numPr>
          <w:ilvl w:val="0"/>
          <w:numId w:val="4"/>
        </w:numPr>
        <w:snapToGrid w:val="0"/>
        <w:spacing w:line="360" w:lineRule="auto"/>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本项目只允许有唯一的响应供应商授权代表（提供身份证明扫描件或影印件及联系方式）；</w:t>
      </w:r>
    </w:p>
    <w:p w14:paraId="4371C8FA">
      <w:pPr>
        <w:pStyle w:val="7"/>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2、法定代表人参加的，无需提供授权委托书，仅提供身份证明扫描件或影印件及联系方式即可。</w:t>
      </w:r>
    </w:p>
    <w:p w14:paraId="6A5BA5C4">
      <w:pPr>
        <w:rPr>
          <w:rFonts w:asciiTheme="minorEastAsia" w:hAnsiTheme="minorEastAsia" w:eastAsiaTheme="minorEastAsia" w:cstheme="minorEastAsia"/>
          <w:sz w:val="24"/>
        </w:rPr>
      </w:pPr>
    </w:p>
    <w:bookmarkEnd w:id="46"/>
    <w:bookmarkEnd w:id="47"/>
    <w:bookmarkEnd w:id="48"/>
    <w:bookmarkEnd w:id="49"/>
    <w:bookmarkEnd w:id="52"/>
    <w:p w14:paraId="281056EC">
      <w:pPr>
        <w:rPr>
          <w:rStyle w:val="30"/>
          <w:rFonts w:ascii="宋体" w:hAnsi="宋体" w:eastAsia="宋体" w:cs="宋体"/>
          <w:sz w:val="24"/>
          <w:szCs w:val="24"/>
        </w:rPr>
      </w:pPr>
      <w:bookmarkStart w:id="55" w:name="_Toc26032"/>
      <w:bookmarkStart w:id="56" w:name="_Toc18671568"/>
      <w:bookmarkStart w:id="57" w:name="_Toc533314960"/>
      <w:bookmarkStart w:id="58" w:name="_Toc272163840"/>
      <w:r>
        <w:rPr>
          <w:rStyle w:val="30"/>
          <w:rFonts w:hint="eastAsia" w:ascii="宋体" w:hAnsi="宋体" w:eastAsia="宋体" w:cs="宋体"/>
          <w:sz w:val="24"/>
          <w:szCs w:val="24"/>
        </w:rPr>
        <w:br w:type="page"/>
      </w:r>
    </w:p>
    <w:p w14:paraId="105B23EA">
      <w:pPr>
        <w:spacing w:line="560" w:lineRule="exact"/>
        <w:jc w:val="center"/>
        <w:rPr>
          <w:rFonts w:asciiTheme="minorEastAsia" w:hAnsiTheme="minorEastAsia" w:eastAsiaTheme="minorEastAsia" w:cstheme="minorEastAsia"/>
          <w:sz w:val="24"/>
        </w:rPr>
      </w:pPr>
      <w:bookmarkStart w:id="59" w:name="_Toc7103"/>
      <w:r>
        <w:rPr>
          <w:rStyle w:val="30"/>
          <w:rFonts w:hint="eastAsia" w:ascii="宋体" w:hAnsi="宋体" w:eastAsia="宋体" w:cs="宋体"/>
          <w:sz w:val="24"/>
          <w:szCs w:val="24"/>
        </w:rPr>
        <w:t>五、服务分项报价表</w:t>
      </w:r>
      <w:bookmarkEnd w:id="55"/>
      <w:bookmarkEnd w:id="59"/>
    </w:p>
    <w:p w14:paraId="2B2760B2">
      <w:pPr>
        <w:pStyle w:val="27"/>
        <w:ind w:firstLine="0" w:firstLineChars="0"/>
        <w:rPr>
          <w:rFonts w:asciiTheme="minorEastAsia" w:hAnsiTheme="minorEastAsia" w:eastAsiaTheme="minorEastAsia" w:cstheme="minorEastAsia"/>
          <w:sz w:val="24"/>
        </w:rPr>
      </w:pPr>
    </w:p>
    <w:tbl>
      <w:tblPr>
        <w:tblStyle w:val="16"/>
        <w:tblW w:w="878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234"/>
        <w:gridCol w:w="1559"/>
        <w:gridCol w:w="1276"/>
      </w:tblGrid>
      <w:tr w14:paraId="2E53E2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720" w:type="dxa"/>
            <w:vAlign w:val="center"/>
          </w:tcPr>
          <w:p w14:paraId="2CB953E8">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5234" w:type="dxa"/>
            <w:vAlign w:val="center"/>
          </w:tcPr>
          <w:p w14:paraId="3DE767D6">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内容</w:t>
            </w:r>
          </w:p>
        </w:tc>
        <w:tc>
          <w:tcPr>
            <w:tcW w:w="1559" w:type="dxa"/>
            <w:vAlign w:val="center"/>
          </w:tcPr>
          <w:p w14:paraId="5BE51FE4">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总价</w:t>
            </w:r>
          </w:p>
          <w:p w14:paraId="194C1080">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（元）</w:t>
            </w:r>
          </w:p>
        </w:tc>
        <w:tc>
          <w:tcPr>
            <w:tcW w:w="1276" w:type="dxa"/>
            <w:vAlign w:val="center"/>
          </w:tcPr>
          <w:p w14:paraId="1545C68D">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备注</w:t>
            </w:r>
          </w:p>
        </w:tc>
      </w:tr>
      <w:tr w14:paraId="6E95B6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79308D8F">
            <w:pPr>
              <w:jc w:val="center"/>
              <w:rPr>
                <w:rFonts w:asciiTheme="minorEastAsia" w:hAnsiTheme="minorEastAsia" w:eastAsiaTheme="minorEastAsia" w:cstheme="minorEastAsia"/>
                <w:sz w:val="24"/>
              </w:rPr>
            </w:pPr>
          </w:p>
        </w:tc>
        <w:tc>
          <w:tcPr>
            <w:tcW w:w="5234" w:type="dxa"/>
            <w:vAlign w:val="center"/>
          </w:tcPr>
          <w:p w14:paraId="77619A9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拟提供的服务费用</w:t>
            </w:r>
          </w:p>
        </w:tc>
        <w:tc>
          <w:tcPr>
            <w:tcW w:w="1559" w:type="dxa"/>
            <w:vAlign w:val="center"/>
          </w:tcPr>
          <w:p w14:paraId="1B82E298">
            <w:pPr>
              <w:jc w:val="center"/>
              <w:rPr>
                <w:rFonts w:asciiTheme="minorEastAsia" w:hAnsiTheme="minorEastAsia" w:eastAsiaTheme="minorEastAsia" w:cstheme="minorEastAsia"/>
                <w:sz w:val="24"/>
              </w:rPr>
            </w:pPr>
          </w:p>
        </w:tc>
        <w:tc>
          <w:tcPr>
            <w:tcW w:w="1276" w:type="dxa"/>
            <w:vMerge w:val="restart"/>
            <w:vAlign w:val="center"/>
          </w:tcPr>
          <w:p w14:paraId="1FD7F7F9">
            <w:pPr>
              <w:jc w:val="center"/>
              <w:rPr>
                <w:rFonts w:asciiTheme="minorEastAsia" w:hAnsiTheme="minorEastAsia" w:eastAsiaTheme="minorEastAsia" w:cstheme="minorEastAsia"/>
                <w:sz w:val="24"/>
              </w:rPr>
            </w:pPr>
          </w:p>
        </w:tc>
      </w:tr>
      <w:tr w14:paraId="0ACC23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6D1789AF">
            <w:pPr>
              <w:jc w:val="center"/>
              <w:rPr>
                <w:rFonts w:asciiTheme="minorEastAsia" w:hAnsiTheme="minorEastAsia" w:eastAsiaTheme="minorEastAsia" w:cstheme="minorEastAsia"/>
                <w:sz w:val="24"/>
              </w:rPr>
            </w:pPr>
          </w:p>
        </w:tc>
        <w:tc>
          <w:tcPr>
            <w:tcW w:w="5234" w:type="dxa"/>
            <w:vAlign w:val="center"/>
          </w:tcPr>
          <w:p w14:paraId="53AD6E52">
            <w:pPr>
              <w:jc w:val="center"/>
              <w:rPr>
                <w:rFonts w:asciiTheme="minorEastAsia" w:hAnsiTheme="minorEastAsia" w:eastAsiaTheme="minorEastAsia" w:cstheme="minorEastAsia"/>
                <w:sz w:val="24"/>
              </w:rPr>
            </w:pPr>
          </w:p>
        </w:tc>
        <w:tc>
          <w:tcPr>
            <w:tcW w:w="1559" w:type="dxa"/>
            <w:vAlign w:val="center"/>
          </w:tcPr>
          <w:p w14:paraId="171F1331">
            <w:pPr>
              <w:jc w:val="center"/>
              <w:rPr>
                <w:rFonts w:asciiTheme="minorEastAsia" w:hAnsiTheme="minorEastAsia" w:eastAsiaTheme="minorEastAsia" w:cstheme="minorEastAsia"/>
                <w:sz w:val="24"/>
              </w:rPr>
            </w:pPr>
          </w:p>
        </w:tc>
        <w:tc>
          <w:tcPr>
            <w:tcW w:w="1276" w:type="dxa"/>
            <w:vMerge w:val="continue"/>
          </w:tcPr>
          <w:p w14:paraId="4EEA2F9F">
            <w:pPr>
              <w:rPr>
                <w:rFonts w:asciiTheme="minorEastAsia" w:hAnsiTheme="minorEastAsia" w:eastAsiaTheme="minorEastAsia" w:cstheme="minorEastAsia"/>
                <w:sz w:val="24"/>
              </w:rPr>
            </w:pPr>
          </w:p>
        </w:tc>
      </w:tr>
      <w:tr w14:paraId="515236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017F43FF">
            <w:pPr>
              <w:jc w:val="center"/>
              <w:rPr>
                <w:rFonts w:asciiTheme="minorEastAsia" w:hAnsiTheme="minorEastAsia" w:eastAsiaTheme="minorEastAsia" w:cstheme="minorEastAsia"/>
                <w:sz w:val="24"/>
              </w:rPr>
            </w:pPr>
          </w:p>
        </w:tc>
        <w:tc>
          <w:tcPr>
            <w:tcW w:w="5234" w:type="dxa"/>
            <w:vAlign w:val="center"/>
          </w:tcPr>
          <w:p w14:paraId="0C3C0700">
            <w:pPr>
              <w:jc w:val="center"/>
              <w:rPr>
                <w:rFonts w:asciiTheme="minorEastAsia" w:hAnsiTheme="minorEastAsia" w:eastAsiaTheme="minorEastAsia" w:cstheme="minorEastAsia"/>
                <w:sz w:val="24"/>
              </w:rPr>
            </w:pPr>
          </w:p>
        </w:tc>
        <w:tc>
          <w:tcPr>
            <w:tcW w:w="1559" w:type="dxa"/>
            <w:vAlign w:val="center"/>
          </w:tcPr>
          <w:p w14:paraId="1631BB85">
            <w:pPr>
              <w:jc w:val="center"/>
              <w:rPr>
                <w:rFonts w:asciiTheme="minorEastAsia" w:hAnsiTheme="minorEastAsia" w:eastAsiaTheme="minorEastAsia" w:cstheme="minorEastAsia"/>
                <w:sz w:val="24"/>
              </w:rPr>
            </w:pPr>
          </w:p>
        </w:tc>
        <w:tc>
          <w:tcPr>
            <w:tcW w:w="1276" w:type="dxa"/>
            <w:vMerge w:val="continue"/>
          </w:tcPr>
          <w:p w14:paraId="6F2F5173">
            <w:pPr>
              <w:rPr>
                <w:rFonts w:asciiTheme="minorEastAsia" w:hAnsiTheme="minorEastAsia" w:eastAsiaTheme="minorEastAsia" w:cstheme="minorEastAsia"/>
                <w:sz w:val="24"/>
              </w:rPr>
            </w:pPr>
          </w:p>
        </w:tc>
      </w:tr>
      <w:tr w14:paraId="40D713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02D4FCC5">
            <w:pPr>
              <w:jc w:val="center"/>
              <w:rPr>
                <w:rFonts w:asciiTheme="minorEastAsia" w:hAnsiTheme="minorEastAsia" w:eastAsiaTheme="minorEastAsia" w:cstheme="minorEastAsia"/>
                <w:sz w:val="24"/>
              </w:rPr>
            </w:pPr>
          </w:p>
        </w:tc>
        <w:tc>
          <w:tcPr>
            <w:tcW w:w="5234" w:type="dxa"/>
            <w:vAlign w:val="center"/>
          </w:tcPr>
          <w:p w14:paraId="285E779B">
            <w:pPr>
              <w:jc w:val="center"/>
              <w:rPr>
                <w:rFonts w:asciiTheme="minorEastAsia" w:hAnsiTheme="minorEastAsia" w:eastAsiaTheme="minorEastAsia" w:cstheme="minorEastAsia"/>
                <w:sz w:val="24"/>
              </w:rPr>
            </w:pPr>
          </w:p>
        </w:tc>
        <w:tc>
          <w:tcPr>
            <w:tcW w:w="1559" w:type="dxa"/>
            <w:vAlign w:val="center"/>
          </w:tcPr>
          <w:p w14:paraId="03C9EE99">
            <w:pPr>
              <w:jc w:val="center"/>
              <w:rPr>
                <w:rFonts w:asciiTheme="minorEastAsia" w:hAnsiTheme="minorEastAsia" w:eastAsiaTheme="minorEastAsia" w:cstheme="minorEastAsia"/>
                <w:sz w:val="24"/>
              </w:rPr>
            </w:pPr>
          </w:p>
        </w:tc>
        <w:tc>
          <w:tcPr>
            <w:tcW w:w="1276" w:type="dxa"/>
            <w:vMerge w:val="continue"/>
          </w:tcPr>
          <w:p w14:paraId="2E5C333E">
            <w:pPr>
              <w:rPr>
                <w:rFonts w:asciiTheme="minorEastAsia" w:hAnsiTheme="minorEastAsia" w:eastAsiaTheme="minorEastAsia" w:cstheme="minorEastAsia"/>
                <w:sz w:val="24"/>
              </w:rPr>
            </w:pPr>
          </w:p>
        </w:tc>
      </w:tr>
      <w:tr w14:paraId="685241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1E35490A">
            <w:pPr>
              <w:jc w:val="center"/>
              <w:rPr>
                <w:rFonts w:asciiTheme="minorEastAsia" w:hAnsiTheme="minorEastAsia" w:eastAsiaTheme="minorEastAsia" w:cstheme="minorEastAsia"/>
                <w:sz w:val="24"/>
              </w:rPr>
            </w:pPr>
          </w:p>
        </w:tc>
        <w:tc>
          <w:tcPr>
            <w:tcW w:w="5234" w:type="dxa"/>
            <w:vAlign w:val="center"/>
          </w:tcPr>
          <w:p w14:paraId="229FD4A4">
            <w:pPr>
              <w:jc w:val="center"/>
              <w:rPr>
                <w:rFonts w:asciiTheme="minorEastAsia" w:hAnsiTheme="minorEastAsia" w:eastAsiaTheme="minorEastAsia" w:cstheme="minorEastAsia"/>
                <w:sz w:val="24"/>
              </w:rPr>
            </w:pPr>
          </w:p>
        </w:tc>
        <w:tc>
          <w:tcPr>
            <w:tcW w:w="1559" w:type="dxa"/>
            <w:vAlign w:val="center"/>
          </w:tcPr>
          <w:p w14:paraId="02EF560E">
            <w:pPr>
              <w:jc w:val="center"/>
              <w:rPr>
                <w:rFonts w:asciiTheme="minorEastAsia" w:hAnsiTheme="minorEastAsia" w:eastAsiaTheme="minorEastAsia" w:cstheme="minorEastAsia"/>
                <w:sz w:val="24"/>
              </w:rPr>
            </w:pPr>
          </w:p>
        </w:tc>
        <w:tc>
          <w:tcPr>
            <w:tcW w:w="1276" w:type="dxa"/>
            <w:vMerge w:val="continue"/>
          </w:tcPr>
          <w:p w14:paraId="4A8F51F1">
            <w:pPr>
              <w:rPr>
                <w:rFonts w:asciiTheme="minorEastAsia" w:hAnsiTheme="minorEastAsia" w:eastAsiaTheme="minorEastAsia" w:cstheme="minorEastAsia"/>
                <w:sz w:val="24"/>
              </w:rPr>
            </w:pPr>
          </w:p>
        </w:tc>
      </w:tr>
      <w:tr w14:paraId="3C2CE1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62CF7757">
            <w:pPr>
              <w:jc w:val="center"/>
              <w:rPr>
                <w:rFonts w:asciiTheme="minorEastAsia" w:hAnsiTheme="minorEastAsia" w:eastAsiaTheme="minorEastAsia" w:cstheme="minorEastAsia"/>
                <w:sz w:val="24"/>
              </w:rPr>
            </w:pPr>
          </w:p>
        </w:tc>
        <w:tc>
          <w:tcPr>
            <w:tcW w:w="5234" w:type="dxa"/>
            <w:vAlign w:val="center"/>
          </w:tcPr>
          <w:p w14:paraId="1AD50364">
            <w:pPr>
              <w:jc w:val="center"/>
              <w:rPr>
                <w:rFonts w:asciiTheme="minorEastAsia" w:hAnsiTheme="minorEastAsia" w:eastAsiaTheme="minorEastAsia" w:cstheme="minorEastAsia"/>
                <w:sz w:val="24"/>
              </w:rPr>
            </w:pPr>
          </w:p>
        </w:tc>
        <w:tc>
          <w:tcPr>
            <w:tcW w:w="1559" w:type="dxa"/>
            <w:vAlign w:val="center"/>
          </w:tcPr>
          <w:p w14:paraId="193A1D18">
            <w:pPr>
              <w:jc w:val="center"/>
              <w:rPr>
                <w:rFonts w:asciiTheme="minorEastAsia" w:hAnsiTheme="minorEastAsia" w:eastAsiaTheme="minorEastAsia" w:cstheme="minorEastAsia"/>
                <w:sz w:val="24"/>
              </w:rPr>
            </w:pPr>
          </w:p>
        </w:tc>
        <w:tc>
          <w:tcPr>
            <w:tcW w:w="1276" w:type="dxa"/>
            <w:vMerge w:val="continue"/>
          </w:tcPr>
          <w:p w14:paraId="76E1D5A3">
            <w:pPr>
              <w:rPr>
                <w:rFonts w:asciiTheme="minorEastAsia" w:hAnsiTheme="minorEastAsia" w:eastAsiaTheme="minorEastAsia" w:cstheme="minorEastAsia"/>
                <w:sz w:val="24"/>
              </w:rPr>
            </w:pPr>
          </w:p>
        </w:tc>
      </w:tr>
      <w:tr w14:paraId="5A84F4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09DD756F">
            <w:pPr>
              <w:jc w:val="center"/>
              <w:rPr>
                <w:rFonts w:asciiTheme="minorEastAsia" w:hAnsiTheme="minorEastAsia" w:eastAsiaTheme="minorEastAsia" w:cstheme="minorEastAsia"/>
                <w:sz w:val="24"/>
              </w:rPr>
            </w:pPr>
          </w:p>
        </w:tc>
        <w:tc>
          <w:tcPr>
            <w:tcW w:w="5234" w:type="dxa"/>
            <w:vAlign w:val="center"/>
          </w:tcPr>
          <w:p w14:paraId="58901A9B">
            <w:pPr>
              <w:jc w:val="center"/>
              <w:rPr>
                <w:rFonts w:asciiTheme="minorEastAsia" w:hAnsiTheme="minorEastAsia" w:eastAsiaTheme="minorEastAsia" w:cstheme="minorEastAsia"/>
                <w:sz w:val="24"/>
              </w:rPr>
            </w:pPr>
          </w:p>
        </w:tc>
        <w:tc>
          <w:tcPr>
            <w:tcW w:w="1559" w:type="dxa"/>
            <w:vAlign w:val="center"/>
          </w:tcPr>
          <w:p w14:paraId="1AF6D61F">
            <w:pPr>
              <w:jc w:val="center"/>
              <w:rPr>
                <w:rFonts w:asciiTheme="minorEastAsia" w:hAnsiTheme="minorEastAsia" w:eastAsiaTheme="minorEastAsia" w:cstheme="minorEastAsia"/>
                <w:sz w:val="24"/>
              </w:rPr>
            </w:pPr>
          </w:p>
        </w:tc>
        <w:tc>
          <w:tcPr>
            <w:tcW w:w="1276" w:type="dxa"/>
            <w:vMerge w:val="continue"/>
          </w:tcPr>
          <w:p w14:paraId="5A41FDF7">
            <w:pPr>
              <w:rPr>
                <w:rFonts w:asciiTheme="minorEastAsia" w:hAnsiTheme="minorEastAsia" w:eastAsiaTheme="minorEastAsia" w:cstheme="minorEastAsia"/>
                <w:sz w:val="24"/>
              </w:rPr>
            </w:pPr>
          </w:p>
        </w:tc>
      </w:tr>
      <w:tr w14:paraId="1C94CB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18BA60D9">
            <w:pPr>
              <w:jc w:val="center"/>
              <w:rPr>
                <w:rFonts w:asciiTheme="minorEastAsia" w:hAnsiTheme="minorEastAsia" w:eastAsiaTheme="minorEastAsia" w:cstheme="minorEastAsia"/>
                <w:sz w:val="24"/>
              </w:rPr>
            </w:pPr>
          </w:p>
        </w:tc>
        <w:tc>
          <w:tcPr>
            <w:tcW w:w="5234" w:type="dxa"/>
            <w:vAlign w:val="center"/>
          </w:tcPr>
          <w:p w14:paraId="5D5EA585">
            <w:pPr>
              <w:jc w:val="center"/>
              <w:rPr>
                <w:rFonts w:asciiTheme="minorEastAsia" w:hAnsiTheme="minorEastAsia" w:eastAsiaTheme="minorEastAsia" w:cstheme="minorEastAsia"/>
                <w:sz w:val="24"/>
              </w:rPr>
            </w:pPr>
          </w:p>
        </w:tc>
        <w:tc>
          <w:tcPr>
            <w:tcW w:w="1559" w:type="dxa"/>
            <w:vAlign w:val="center"/>
          </w:tcPr>
          <w:p w14:paraId="40AA640F">
            <w:pPr>
              <w:jc w:val="center"/>
              <w:rPr>
                <w:rFonts w:asciiTheme="minorEastAsia" w:hAnsiTheme="minorEastAsia" w:eastAsiaTheme="minorEastAsia" w:cstheme="minorEastAsia"/>
                <w:sz w:val="24"/>
              </w:rPr>
            </w:pPr>
          </w:p>
        </w:tc>
        <w:tc>
          <w:tcPr>
            <w:tcW w:w="1276" w:type="dxa"/>
            <w:vMerge w:val="continue"/>
          </w:tcPr>
          <w:p w14:paraId="596DAA5E">
            <w:pPr>
              <w:rPr>
                <w:rFonts w:asciiTheme="minorEastAsia" w:hAnsiTheme="minorEastAsia" w:eastAsiaTheme="minorEastAsia" w:cstheme="minorEastAsia"/>
                <w:sz w:val="24"/>
              </w:rPr>
            </w:pPr>
          </w:p>
        </w:tc>
      </w:tr>
      <w:tr w14:paraId="5EE946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2B51EEE1">
            <w:pPr>
              <w:jc w:val="center"/>
              <w:rPr>
                <w:rFonts w:asciiTheme="minorEastAsia" w:hAnsiTheme="minorEastAsia" w:eastAsiaTheme="minorEastAsia" w:cstheme="minorEastAsia"/>
                <w:sz w:val="24"/>
              </w:rPr>
            </w:pPr>
          </w:p>
        </w:tc>
        <w:tc>
          <w:tcPr>
            <w:tcW w:w="5234" w:type="dxa"/>
            <w:vAlign w:val="center"/>
          </w:tcPr>
          <w:p w14:paraId="0B8A6105">
            <w:pPr>
              <w:jc w:val="center"/>
              <w:rPr>
                <w:rFonts w:asciiTheme="minorEastAsia" w:hAnsiTheme="minorEastAsia" w:eastAsiaTheme="minorEastAsia" w:cstheme="minorEastAsia"/>
                <w:sz w:val="24"/>
              </w:rPr>
            </w:pPr>
          </w:p>
        </w:tc>
        <w:tc>
          <w:tcPr>
            <w:tcW w:w="1559" w:type="dxa"/>
            <w:vAlign w:val="center"/>
          </w:tcPr>
          <w:p w14:paraId="2AC9C3A0">
            <w:pPr>
              <w:jc w:val="center"/>
              <w:rPr>
                <w:rFonts w:asciiTheme="minorEastAsia" w:hAnsiTheme="minorEastAsia" w:eastAsiaTheme="minorEastAsia" w:cstheme="minorEastAsia"/>
                <w:sz w:val="24"/>
              </w:rPr>
            </w:pPr>
          </w:p>
        </w:tc>
        <w:tc>
          <w:tcPr>
            <w:tcW w:w="1276" w:type="dxa"/>
            <w:vMerge w:val="continue"/>
          </w:tcPr>
          <w:p w14:paraId="27476EE6">
            <w:pPr>
              <w:rPr>
                <w:rFonts w:asciiTheme="minorEastAsia" w:hAnsiTheme="minorEastAsia" w:eastAsiaTheme="minorEastAsia" w:cstheme="minorEastAsia"/>
                <w:sz w:val="24"/>
              </w:rPr>
            </w:pPr>
          </w:p>
        </w:tc>
      </w:tr>
      <w:tr w14:paraId="390890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26039456">
            <w:pPr>
              <w:jc w:val="center"/>
              <w:rPr>
                <w:rFonts w:asciiTheme="minorEastAsia" w:hAnsiTheme="minorEastAsia" w:eastAsiaTheme="minorEastAsia" w:cstheme="minorEastAsia"/>
                <w:sz w:val="24"/>
              </w:rPr>
            </w:pPr>
          </w:p>
        </w:tc>
        <w:tc>
          <w:tcPr>
            <w:tcW w:w="5234" w:type="dxa"/>
            <w:vAlign w:val="center"/>
          </w:tcPr>
          <w:p w14:paraId="206218EB">
            <w:pPr>
              <w:jc w:val="center"/>
              <w:rPr>
                <w:rFonts w:asciiTheme="minorEastAsia" w:hAnsiTheme="minorEastAsia" w:eastAsiaTheme="minorEastAsia" w:cstheme="minorEastAsia"/>
                <w:sz w:val="24"/>
              </w:rPr>
            </w:pPr>
          </w:p>
        </w:tc>
        <w:tc>
          <w:tcPr>
            <w:tcW w:w="1559" w:type="dxa"/>
            <w:vAlign w:val="center"/>
          </w:tcPr>
          <w:p w14:paraId="0802AB58">
            <w:pPr>
              <w:jc w:val="center"/>
              <w:rPr>
                <w:rFonts w:asciiTheme="minorEastAsia" w:hAnsiTheme="minorEastAsia" w:eastAsiaTheme="minorEastAsia" w:cstheme="minorEastAsia"/>
                <w:sz w:val="24"/>
              </w:rPr>
            </w:pPr>
          </w:p>
        </w:tc>
        <w:tc>
          <w:tcPr>
            <w:tcW w:w="1276" w:type="dxa"/>
            <w:vMerge w:val="continue"/>
          </w:tcPr>
          <w:p w14:paraId="292E870C">
            <w:pPr>
              <w:rPr>
                <w:rFonts w:asciiTheme="minorEastAsia" w:hAnsiTheme="minorEastAsia" w:eastAsiaTheme="minorEastAsia" w:cstheme="minorEastAsia"/>
                <w:sz w:val="24"/>
              </w:rPr>
            </w:pPr>
          </w:p>
        </w:tc>
      </w:tr>
      <w:tr w14:paraId="53D139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7B55E087">
            <w:pPr>
              <w:jc w:val="center"/>
              <w:rPr>
                <w:rFonts w:asciiTheme="minorEastAsia" w:hAnsiTheme="minorEastAsia" w:eastAsiaTheme="minorEastAsia" w:cstheme="minorEastAsia"/>
                <w:sz w:val="24"/>
              </w:rPr>
            </w:pPr>
          </w:p>
        </w:tc>
        <w:tc>
          <w:tcPr>
            <w:tcW w:w="5234" w:type="dxa"/>
            <w:vAlign w:val="center"/>
          </w:tcPr>
          <w:p w14:paraId="40A74EF2">
            <w:pPr>
              <w:jc w:val="center"/>
              <w:rPr>
                <w:rFonts w:asciiTheme="minorEastAsia" w:hAnsiTheme="minorEastAsia" w:eastAsiaTheme="minorEastAsia" w:cstheme="minorEastAsia"/>
                <w:sz w:val="24"/>
              </w:rPr>
            </w:pPr>
          </w:p>
        </w:tc>
        <w:tc>
          <w:tcPr>
            <w:tcW w:w="1559" w:type="dxa"/>
            <w:vAlign w:val="center"/>
          </w:tcPr>
          <w:p w14:paraId="365A388A">
            <w:pPr>
              <w:jc w:val="center"/>
              <w:rPr>
                <w:rFonts w:asciiTheme="minorEastAsia" w:hAnsiTheme="minorEastAsia" w:eastAsiaTheme="minorEastAsia" w:cstheme="minorEastAsia"/>
                <w:sz w:val="24"/>
              </w:rPr>
            </w:pPr>
          </w:p>
        </w:tc>
        <w:tc>
          <w:tcPr>
            <w:tcW w:w="1276" w:type="dxa"/>
            <w:vMerge w:val="continue"/>
          </w:tcPr>
          <w:p w14:paraId="53C1A46D">
            <w:pPr>
              <w:rPr>
                <w:rFonts w:asciiTheme="minorEastAsia" w:hAnsiTheme="minorEastAsia" w:eastAsiaTheme="minorEastAsia" w:cstheme="minorEastAsia"/>
                <w:sz w:val="24"/>
              </w:rPr>
            </w:pPr>
          </w:p>
        </w:tc>
      </w:tr>
      <w:tr w14:paraId="60A256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7A62B67A">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合计</w:t>
            </w:r>
          </w:p>
        </w:tc>
        <w:tc>
          <w:tcPr>
            <w:tcW w:w="5234" w:type="dxa"/>
            <w:vAlign w:val="center"/>
          </w:tcPr>
          <w:p w14:paraId="0F42B132">
            <w:pPr>
              <w:jc w:val="center"/>
              <w:rPr>
                <w:rFonts w:asciiTheme="minorEastAsia" w:hAnsiTheme="minorEastAsia" w:eastAsiaTheme="minorEastAsia" w:cstheme="minorEastAsia"/>
                <w:b/>
                <w:sz w:val="24"/>
              </w:rPr>
            </w:pPr>
          </w:p>
        </w:tc>
        <w:tc>
          <w:tcPr>
            <w:tcW w:w="1559" w:type="dxa"/>
            <w:vAlign w:val="center"/>
          </w:tcPr>
          <w:p w14:paraId="4FF0C157">
            <w:pPr>
              <w:jc w:val="center"/>
              <w:rPr>
                <w:rFonts w:asciiTheme="minorEastAsia" w:hAnsiTheme="minorEastAsia" w:eastAsiaTheme="minorEastAsia" w:cstheme="minorEastAsia"/>
                <w:b/>
                <w:sz w:val="24"/>
              </w:rPr>
            </w:pPr>
          </w:p>
        </w:tc>
        <w:tc>
          <w:tcPr>
            <w:tcW w:w="1276" w:type="dxa"/>
            <w:vMerge w:val="continue"/>
          </w:tcPr>
          <w:p w14:paraId="484842DF">
            <w:pPr>
              <w:jc w:val="center"/>
              <w:rPr>
                <w:rFonts w:asciiTheme="minorEastAsia" w:hAnsiTheme="minorEastAsia" w:eastAsiaTheme="minorEastAsia" w:cstheme="minorEastAsia"/>
                <w:b/>
                <w:sz w:val="24"/>
              </w:rPr>
            </w:pPr>
          </w:p>
        </w:tc>
      </w:tr>
    </w:tbl>
    <w:p w14:paraId="280D6E4C">
      <w:pPr>
        <w:rPr>
          <w:rFonts w:asciiTheme="minorEastAsia" w:hAnsiTheme="minorEastAsia" w:eastAsiaTheme="minorEastAsia" w:cstheme="minorEastAsia"/>
          <w:sz w:val="24"/>
        </w:rPr>
      </w:pPr>
    </w:p>
    <w:p w14:paraId="0C3F5377">
      <w:pPr>
        <w:pStyle w:val="5"/>
        <w:spacing w:before="156" w:beforeLines="50" w:after="156" w:afterLines="50" w:line="560" w:lineRule="exact"/>
        <w:jc w:val="left"/>
        <w:rPr>
          <w:rFonts w:asciiTheme="minorEastAsia" w:hAnsiTheme="minorEastAsia" w:eastAsiaTheme="minorEastAsia" w:cstheme="minorEastAsia"/>
          <w:sz w:val="24"/>
          <w:szCs w:val="24"/>
        </w:rPr>
      </w:pPr>
      <w:bookmarkStart w:id="60" w:name="_Toc1727"/>
      <w:r>
        <w:rPr>
          <w:rFonts w:hint="eastAsia" w:asciiTheme="minorEastAsia" w:hAnsiTheme="minorEastAsia" w:eastAsiaTheme="minorEastAsia" w:cstheme="minorEastAsia"/>
          <w:sz w:val="24"/>
          <w:szCs w:val="24"/>
        </w:rPr>
        <w:t>注：</w:t>
      </w:r>
      <w:r>
        <w:rPr>
          <w:rFonts w:hint="eastAsia" w:asciiTheme="minorEastAsia" w:hAnsiTheme="minorEastAsia" w:eastAsiaTheme="minorEastAsia" w:cstheme="minorEastAsia"/>
          <w:b w:val="0"/>
          <w:bCs w:val="0"/>
          <w:sz w:val="24"/>
          <w:szCs w:val="24"/>
        </w:rPr>
        <w:t>本表应清楚地标明供应商拟提供的服务费用等内容，其合计价格应与响应一览表中的总报价保持一致。</w:t>
      </w:r>
      <w:bookmarkEnd w:id="60"/>
    </w:p>
    <w:p w14:paraId="28D7C251">
      <w:pPr>
        <w:rPr>
          <w:rFonts w:asciiTheme="minorEastAsia" w:hAnsiTheme="minorEastAsia" w:eastAsiaTheme="minorEastAsia" w:cstheme="minorEastAsia"/>
          <w:sz w:val="24"/>
        </w:rPr>
      </w:pPr>
    </w:p>
    <w:p w14:paraId="319B11DF">
      <w:pPr>
        <w:pStyle w:val="5"/>
        <w:spacing w:before="156" w:beforeLines="50" w:after="156" w:afterLines="50" w:line="560" w:lineRule="exact"/>
        <w:jc w:val="center"/>
        <w:rPr>
          <w:rFonts w:asciiTheme="minorEastAsia" w:hAnsiTheme="minorEastAsia" w:eastAsiaTheme="minorEastAsia" w:cstheme="minorEastAsia"/>
          <w:sz w:val="24"/>
          <w:szCs w:val="24"/>
        </w:rPr>
      </w:pPr>
    </w:p>
    <w:p w14:paraId="16EE72B5"/>
    <w:p w14:paraId="5B58F2FB">
      <w:pPr>
        <w:pStyle w:val="5"/>
        <w:suppressLineNumbers/>
        <w:spacing w:before="156" w:beforeLines="50" w:after="156" w:afterLines="50" w:line="560" w:lineRule="exact"/>
        <w:rPr>
          <w:rFonts w:ascii="Times New Roman" w:hAnsi="Times New Roman" w:eastAsia="宋体"/>
          <w:b w:val="0"/>
          <w:bCs w:val="0"/>
          <w:sz w:val="21"/>
          <w:szCs w:val="24"/>
        </w:rPr>
      </w:pPr>
    </w:p>
    <w:p w14:paraId="7D122F9C"/>
    <w:p w14:paraId="6A1F56C0">
      <w:pPr>
        <w:rPr>
          <w:rFonts w:ascii="宋体" w:hAnsi="宋体" w:cs="宋体"/>
          <w:sz w:val="24"/>
        </w:rPr>
      </w:pPr>
      <w:r>
        <w:rPr>
          <w:rFonts w:hint="eastAsia" w:ascii="宋体" w:hAnsi="宋体" w:cs="宋体"/>
          <w:sz w:val="24"/>
        </w:rPr>
        <w:br w:type="page"/>
      </w:r>
    </w:p>
    <w:p w14:paraId="4ECB1464">
      <w:pPr>
        <w:pStyle w:val="5"/>
        <w:spacing w:before="156" w:beforeLines="50" w:after="156" w:afterLines="50" w:line="560" w:lineRule="exact"/>
        <w:jc w:val="center"/>
        <w:rPr>
          <w:rFonts w:ascii="宋体" w:hAnsi="宋体" w:eastAsia="宋体" w:cs="宋体"/>
          <w:sz w:val="24"/>
          <w:szCs w:val="24"/>
        </w:rPr>
      </w:pPr>
      <w:bookmarkStart w:id="61" w:name="_Toc27766"/>
      <w:r>
        <w:rPr>
          <w:rFonts w:hint="eastAsia" w:ascii="宋体" w:hAnsi="宋体" w:eastAsia="宋体" w:cs="宋体"/>
          <w:sz w:val="24"/>
          <w:szCs w:val="24"/>
        </w:rPr>
        <w:t>六、</w:t>
      </w:r>
      <w:bookmarkEnd w:id="56"/>
      <w:bookmarkStart w:id="62" w:name="_Toc18671569"/>
      <w:r>
        <w:rPr>
          <w:rFonts w:hint="eastAsia" w:ascii="宋体" w:hAnsi="宋体" w:eastAsia="宋体" w:cs="宋体"/>
          <w:sz w:val="24"/>
          <w:szCs w:val="24"/>
        </w:rPr>
        <w:t>服务要求响应情况表</w:t>
      </w:r>
      <w:bookmarkEnd w:id="61"/>
    </w:p>
    <w:p w14:paraId="082DA278">
      <w:pPr>
        <w:rPr>
          <w:rFonts w:asciiTheme="minorEastAsia" w:hAnsiTheme="minorEastAsia" w:eastAsiaTheme="minorEastAsia" w:cstheme="minorEastAsia"/>
          <w:sz w:val="24"/>
        </w:rPr>
      </w:pPr>
    </w:p>
    <w:p w14:paraId="65D07F0C">
      <w:pPr>
        <w:widowControl/>
        <w:spacing w:line="5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采购人名称：                  </w:t>
      </w:r>
    </w:p>
    <w:p w14:paraId="33B82384">
      <w:pPr>
        <w:widowControl/>
        <w:spacing w:line="5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采购代理名称：                </w:t>
      </w:r>
    </w:p>
    <w:p w14:paraId="3537D83B">
      <w:pPr>
        <w:widowControl/>
        <w:spacing w:line="560" w:lineRule="exact"/>
        <w:ind w:firstLine="600" w:firstLineChars="25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经过认真研究</w:t>
      </w:r>
      <w:r>
        <w:rPr>
          <w:rFonts w:hint="eastAsia" w:asciiTheme="minorEastAsia" w:hAnsiTheme="minorEastAsia" w:eastAsiaTheme="minorEastAsia" w:cstheme="minorEastAsia"/>
          <w:kern w:val="0"/>
          <w:sz w:val="24"/>
          <w:u w:val="single"/>
        </w:rPr>
        <w:t>（项目名称）（项目编号）</w:t>
      </w:r>
      <w:r>
        <w:rPr>
          <w:rFonts w:hint="eastAsia" w:asciiTheme="minorEastAsia" w:hAnsiTheme="minorEastAsia" w:eastAsiaTheme="minorEastAsia" w:cstheme="minorEastAsia"/>
          <w:kern w:val="0"/>
          <w:sz w:val="24"/>
        </w:rPr>
        <w:t>单一来源文件要求，我方确认，</w:t>
      </w:r>
      <w:r>
        <w:rPr>
          <w:rFonts w:hint="eastAsia" w:asciiTheme="minorEastAsia" w:hAnsiTheme="minorEastAsia" w:eastAsiaTheme="minorEastAsia" w:cstheme="minorEastAsia"/>
          <w:b/>
          <w:kern w:val="0"/>
          <w:sz w:val="24"/>
        </w:rPr>
        <w:t>除下列偏离表所列情况外，我方响应情况全部为“符合”</w:t>
      </w:r>
      <w:r>
        <w:rPr>
          <w:rFonts w:hint="eastAsia" w:asciiTheme="minorEastAsia" w:hAnsiTheme="minorEastAsia" w:eastAsiaTheme="minorEastAsia" w:cstheme="minorEastAsia"/>
          <w:kern w:val="0"/>
          <w:sz w:val="24"/>
        </w:rPr>
        <w:t>。</w:t>
      </w:r>
    </w:p>
    <w:p w14:paraId="307005CB">
      <w:pPr>
        <w:widowControl/>
        <w:spacing w:line="6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服务要求偏离表</w:t>
      </w:r>
    </w:p>
    <w:tbl>
      <w:tblPr>
        <w:tblStyle w:val="16"/>
        <w:tblW w:w="8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5"/>
        <w:gridCol w:w="2836"/>
        <w:gridCol w:w="2757"/>
        <w:gridCol w:w="2214"/>
      </w:tblGrid>
      <w:tr w14:paraId="4EF17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715" w:type="dxa"/>
            <w:tcBorders>
              <w:top w:val="single" w:color="auto" w:sz="4" w:space="0"/>
              <w:left w:val="single" w:color="auto" w:sz="4" w:space="0"/>
              <w:bottom w:val="single" w:color="auto" w:sz="4" w:space="0"/>
              <w:right w:val="single" w:color="auto" w:sz="4" w:space="0"/>
            </w:tcBorders>
            <w:vAlign w:val="center"/>
          </w:tcPr>
          <w:p w14:paraId="39F73EB6">
            <w:pPr>
              <w:widowControl/>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序号</w:t>
            </w:r>
          </w:p>
        </w:tc>
        <w:tc>
          <w:tcPr>
            <w:tcW w:w="2836" w:type="dxa"/>
            <w:tcBorders>
              <w:top w:val="single" w:color="auto" w:sz="4" w:space="0"/>
              <w:left w:val="single" w:color="auto" w:sz="4" w:space="0"/>
              <w:bottom w:val="single" w:color="auto" w:sz="4" w:space="0"/>
              <w:right w:val="single" w:color="auto" w:sz="4" w:space="0"/>
            </w:tcBorders>
            <w:vAlign w:val="center"/>
          </w:tcPr>
          <w:p w14:paraId="1E279221">
            <w:pPr>
              <w:widowControl/>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单一来源文件中要求</w:t>
            </w:r>
          </w:p>
        </w:tc>
        <w:tc>
          <w:tcPr>
            <w:tcW w:w="2757" w:type="dxa"/>
            <w:tcBorders>
              <w:top w:val="single" w:color="auto" w:sz="4" w:space="0"/>
              <w:left w:val="single" w:color="auto" w:sz="4" w:space="0"/>
              <w:bottom w:val="single" w:color="auto" w:sz="4" w:space="0"/>
              <w:right w:val="single" w:color="auto" w:sz="4" w:space="0"/>
            </w:tcBorders>
            <w:vAlign w:val="center"/>
          </w:tcPr>
          <w:p w14:paraId="7919C135">
            <w:pPr>
              <w:widowControl/>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供应商的响应内容</w:t>
            </w:r>
          </w:p>
        </w:tc>
        <w:tc>
          <w:tcPr>
            <w:tcW w:w="2214" w:type="dxa"/>
            <w:tcBorders>
              <w:top w:val="single" w:color="auto" w:sz="4" w:space="0"/>
              <w:left w:val="single" w:color="auto" w:sz="4" w:space="0"/>
              <w:bottom w:val="single" w:color="auto" w:sz="4" w:space="0"/>
              <w:right w:val="single" w:color="auto" w:sz="4" w:space="0"/>
            </w:tcBorders>
            <w:vAlign w:val="center"/>
          </w:tcPr>
          <w:p w14:paraId="19CB7277">
            <w:pPr>
              <w:widowControl/>
              <w:ind w:firstLine="361" w:firstLineChars="15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偏离及影响</w:t>
            </w:r>
          </w:p>
          <w:p w14:paraId="3BBA375D">
            <w:pPr>
              <w:widowControl/>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（正偏离/负偏离）</w:t>
            </w:r>
          </w:p>
        </w:tc>
      </w:tr>
      <w:tr w14:paraId="43C56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715" w:type="dxa"/>
            <w:tcBorders>
              <w:top w:val="single" w:color="auto" w:sz="4" w:space="0"/>
              <w:left w:val="single" w:color="auto" w:sz="4" w:space="0"/>
              <w:bottom w:val="single" w:color="auto" w:sz="4" w:space="0"/>
              <w:right w:val="single" w:color="auto" w:sz="4" w:space="0"/>
            </w:tcBorders>
            <w:vAlign w:val="center"/>
          </w:tcPr>
          <w:p w14:paraId="7406583A">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p>
        </w:tc>
        <w:tc>
          <w:tcPr>
            <w:tcW w:w="2836" w:type="dxa"/>
            <w:vAlign w:val="center"/>
          </w:tcPr>
          <w:p w14:paraId="1FC8D6F8">
            <w:pPr>
              <w:widowControl/>
              <w:jc w:val="left"/>
              <w:rPr>
                <w:rFonts w:hint="default" w:asciiTheme="minorEastAsia" w:hAnsiTheme="minorEastAsia" w:eastAsiaTheme="minorEastAsia" w:cstheme="minorEastAsia"/>
                <w:kern w:val="0"/>
                <w:sz w:val="24"/>
                <w:lang w:val="en-US" w:eastAsia="zh-CN"/>
              </w:rPr>
            </w:pPr>
          </w:p>
        </w:tc>
        <w:tc>
          <w:tcPr>
            <w:tcW w:w="2757" w:type="dxa"/>
            <w:vAlign w:val="center"/>
          </w:tcPr>
          <w:p w14:paraId="01CA7B10">
            <w:pPr>
              <w:widowControl/>
              <w:jc w:val="left"/>
              <w:rPr>
                <w:rFonts w:asciiTheme="minorEastAsia" w:hAnsiTheme="minorEastAsia" w:eastAsiaTheme="minorEastAsia" w:cstheme="minorEastAsia"/>
                <w:kern w:val="0"/>
                <w:sz w:val="24"/>
              </w:rPr>
            </w:pPr>
          </w:p>
        </w:tc>
        <w:tc>
          <w:tcPr>
            <w:tcW w:w="2214" w:type="dxa"/>
            <w:vAlign w:val="center"/>
          </w:tcPr>
          <w:p w14:paraId="42469EAF">
            <w:pPr>
              <w:widowControl/>
              <w:jc w:val="left"/>
              <w:rPr>
                <w:rFonts w:asciiTheme="minorEastAsia" w:hAnsiTheme="minorEastAsia" w:eastAsiaTheme="minorEastAsia" w:cstheme="minorEastAsia"/>
                <w:kern w:val="0"/>
                <w:sz w:val="24"/>
              </w:rPr>
            </w:pPr>
          </w:p>
        </w:tc>
      </w:tr>
      <w:tr w14:paraId="0C4C6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715" w:type="dxa"/>
            <w:tcBorders>
              <w:top w:val="single" w:color="auto" w:sz="4" w:space="0"/>
              <w:left w:val="single" w:color="auto" w:sz="4" w:space="0"/>
              <w:bottom w:val="single" w:color="auto" w:sz="4" w:space="0"/>
              <w:right w:val="single" w:color="auto" w:sz="4" w:space="0"/>
            </w:tcBorders>
            <w:vAlign w:val="center"/>
          </w:tcPr>
          <w:p w14:paraId="3BCB016B">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2836" w:type="dxa"/>
            <w:vAlign w:val="center"/>
          </w:tcPr>
          <w:p w14:paraId="41DB15EF">
            <w:pPr>
              <w:widowControl/>
              <w:jc w:val="left"/>
              <w:rPr>
                <w:rFonts w:asciiTheme="minorEastAsia" w:hAnsiTheme="minorEastAsia" w:eastAsiaTheme="minorEastAsia" w:cstheme="minorEastAsia"/>
                <w:kern w:val="0"/>
                <w:sz w:val="24"/>
              </w:rPr>
            </w:pPr>
          </w:p>
        </w:tc>
        <w:tc>
          <w:tcPr>
            <w:tcW w:w="2757" w:type="dxa"/>
            <w:vAlign w:val="center"/>
          </w:tcPr>
          <w:p w14:paraId="651FA87D">
            <w:pPr>
              <w:widowControl/>
              <w:jc w:val="left"/>
              <w:rPr>
                <w:rFonts w:asciiTheme="minorEastAsia" w:hAnsiTheme="minorEastAsia" w:eastAsiaTheme="minorEastAsia" w:cstheme="minorEastAsia"/>
                <w:kern w:val="0"/>
                <w:sz w:val="24"/>
              </w:rPr>
            </w:pPr>
          </w:p>
        </w:tc>
        <w:tc>
          <w:tcPr>
            <w:tcW w:w="2214" w:type="dxa"/>
            <w:vAlign w:val="center"/>
          </w:tcPr>
          <w:p w14:paraId="51CF4907">
            <w:pPr>
              <w:widowControl/>
              <w:jc w:val="left"/>
              <w:rPr>
                <w:rFonts w:asciiTheme="minorEastAsia" w:hAnsiTheme="minorEastAsia" w:eastAsiaTheme="minorEastAsia" w:cstheme="minorEastAsia"/>
                <w:kern w:val="0"/>
                <w:sz w:val="24"/>
              </w:rPr>
            </w:pPr>
          </w:p>
        </w:tc>
      </w:tr>
      <w:tr w14:paraId="013D6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715" w:type="dxa"/>
            <w:tcBorders>
              <w:top w:val="single" w:color="auto" w:sz="4" w:space="0"/>
              <w:left w:val="single" w:color="auto" w:sz="4" w:space="0"/>
              <w:bottom w:val="single" w:color="auto" w:sz="4" w:space="0"/>
              <w:right w:val="single" w:color="auto" w:sz="4" w:space="0"/>
            </w:tcBorders>
            <w:vAlign w:val="center"/>
          </w:tcPr>
          <w:p w14:paraId="097B5422">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c>
          <w:tcPr>
            <w:tcW w:w="2836" w:type="dxa"/>
            <w:vAlign w:val="center"/>
          </w:tcPr>
          <w:p w14:paraId="53964859">
            <w:pPr>
              <w:widowControl/>
              <w:jc w:val="left"/>
              <w:rPr>
                <w:rFonts w:asciiTheme="minorEastAsia" w:hAnsiTheme="minorEastAsia" w:eastAsiaTheme="minorEastAsia" w:cstheme="minorEastAsia"/>
                <w:kern w:val="0"/>
                <w:sz w:val="24"/>
              </w:rPr>
            </w:pPr>
          </w:p>
        </w:tc>
        <w:tc>
          <w:tcPr>
            <w:tcW w:w="2757" w:type="dxa"/>
            <w:vAlign w:val="center"/>
          </w:tcPr>
          <w:p w14:paraId="45B56096">
            <w:pPr>
              <w:widowControl/>
              <w:jc w:val="left"/>
              <w:rPr>
                <w:rFonts w:asciiTheme="minorEastAsia" w:hAnsiTheme="minorEastAsia" w:eastAsiaTheme="minorEastAsia" w:cstheme="minorEastAsia"/>
                <w:kern w:val="0"/>
                <w:sz w:val="24"/>
              </w:rPr>
            </w:pPr>
          </w:p>
        </w:tc>
        <w:tc>
          <w:tcPr>
            <w:tcW w:w="2214" w:type="dxa"/>
            <w:vAlign w:val="center"/>
          </w:tcPr>
          <w:p w14:paraId="3174B6C4">
            <w:pPr>
              <w:widowControl/>
              <w:jc w:val="left"/>
              <w:rPr>
                <w:rFonts w:asciiTheme="minorEastAsia" w:hAnsiTheme="minorEastAsia" w:eastAsiaTheme="minorEastAsia" w:cstheme="minorEastAsia"/>
                <w:kern w:val="0"/>
                <w:sz w:val="24"/>
              </w:rPr>
            </w:pPr>
          </w:p>
        </w:tc>
      </w:tr>
      <w:tr w14:paraId="228BA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715" w:type="dxa"/>
            <w:tcBorders>
              <w:top w:val="single" w:color="auto" w:sz="4" w:space="0"/>
              <w:left w:val="single" w:color="auto" w:sz="4" w:space="0"/>
              <w:bottom w:val="single" w:color="auto" w:sz="4" w:space="0"/>
              <w:right w:val="single" w:color="auto" w:sz="4" w:space="0"/>
            </w:tcBorders>
            <w:vAlign w:val="center"/>
          </w:tcPr>
          <w:p w14:paraId="3485772B">
            <w:pPr>
              <w:widowControl/>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w:t>
            </w:r>
          </w:p>
        </w:tc>
        <w:tc>
          <w:tcPr>
            <w:tcW w:w="2836" w:type="dxa"/>
            <w:vAlign w:val="center"/>
          </w:tcPr>
          <w:p w14:paraId="367E7BF9">
            <w:pPr>
              <w:widowControl/>
              <w:jc w:val="left"/>
              <w:rPr>
                <w:rFonts w:asciiTheme="minorEastAsia" w:hAnsiTheme="minorEastAsia" w:eastAsiaTheme="minorEastAsia" w:cstheme="minorEastAsia"/>
                <w:kern w:val="0"/>
                <w:sz w:val="24"/>
              </w:rPr>
            </w:pPr>
          </w:p>
        </w:tc>
        <w:tc>
          <w:tcPr>
            <w:tcW w:w="2757" w:type="dxa"/>
            <w:vAlign w:val="center"/>
          </w:tcPr>
          <w:p w14:paraId="6D7BC1C3">
            <w:pPr>
              <w:widowControl/>
              <w:jc w:val="left"/>
              <w:rPr>
                <w:rFonts w:asciiTheme="minorEastAsia" w:hAnsiTheme="minorEastAsia" w:eastAsiaTheme="minorEastAsia" w:cstheme="minorEastAsia"/>
                <w:kern w:val="0"/>
                <w:sz w:val="24"/>
              </w:rPr>
            </w:pPr>
          </w:p>
        </w:tc>
        <w:tc>
          <w:tcPr>
            <w:tcW w:w="2214" w:type="dxa"/>
            <w:vAlign w:val="center"/>
          </w:tcPr>
          <w:p w14:paraId="5AB183AD">
            <w:pPr>
              <w:widowControl/>
              <w:jc w:val="left"/>
              <w:rPr>
                <w:rFonts w:asciiTheme="minorEastAsia" w:hAnsiTheme="minorEastAsia" w:eastAsiaTheme="minorEastAsia" w:cstheme="minorEastAsia"/>
                <w:kern w:val="0"/>
                <w:sz w:val="24"/>
              </w:rPr>
            </w:pPr>
          </w:p>
        </w:tc>
      </w:tr>
    </w:tbl>
    <w:p w14:paraId="7FD4CD1F">
      <w:pPr>
        <w:spacing w:line="360" w:lineRule="auto"/>
        <w:rPr>
          <w:rFonts w:asciiTheme="minorEastAsia" w:hAnsiTheme="minorEastAsia" w:eastAsiaTheme="minorEastAsia" w:cstheme="minorEastAsia"/>
          <w:b/>
          <w:bCs/>
          <w:sz w:val="24"/>
        </w:rPr>
      </w:pPr>
    </w:p>
    <w:p w14:paraId="0ADE6F8C">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供应商</w:t>
      </w:r>
      <w:r>
        <w:rPr>
          <w:rFonts w:hint="eastAsia" w:asciiTheme="minorEastAsia" w:hAnsiTheme="minorEastAsia" w:eastAsiaTheme="minorEastAsia" w:cstheme="minorEastAsia"/>
          <w:b/>
          <w:bCs/>
          <w:sz w:val="24"/>
          <w:lang w:val="en-US" w:eastAsia="zh-CN"/>
        </w:rPr>
        <w:t>盖章</w:t>
      </w:r>
      <w:r>
        <w:rPr>
          <w:rFonts w:hint="eastAsia" w:asciiTheme="minorEastAsia" w:hAnsiTheme="minorEastAsia" w:eastAsiaTheme="minorEastAsia" w:cstheme="minorEastAsia"/>
          <w:b/>
          <w:bCs/>
          <w:sz w:val="24"/>
        </w:rPr>
        <w:t>：</w:t>
      </w:r>
    </w:p>
    <w:p w14:paraId="2F077676">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     期：     年   月   日</w:t>
      </w:r>
    </w:p>
    <w:p w14:paraId="00193590">
      <w:pPr>
        <w:rPr>
          <w:rFonts w:asciiTheme="minorEastAsia" w:hAnsiTheme="minorEastAsia" w:eastAsiaTheme="minorEastAsia" w:cstheme="minorEastAsia"/>
          <w:kern w:val="0"/>
          <w:sz w:val="24"/>
        </w:rPr>
      </w:pPr>
    </w:p>
    <w:p w14:paraId="3794A7A3">
      <w:pPr>
        <w:ind w:firstLine="5160" w:firstLineChars="2150"/>
        <w:rPr>
          <w:rFonts w:asciiTheme="minorEastAsia" w:hAnsiTheme="minorEastAsia" w:eastAsiaTheme="minorEastAsia" w:cstheme="minorEastAsia"/>
          <w:kern w:val="0"/>
          <w:sz w:val="24"/>
        </w:rPr>
      </w:pPr>
    </w:p>
    <w:p w14:paraId="71CF4D79">
      <w:pPr>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注：</w:t>
      </w:r>
    </w:p>
    <w:p w14:paraId="6745519E">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服务要求偏离表中供应商的响应内容低于单一来源文件要求的，协商小组不寻求其他证明材料，直接判定该项要求为负偏离。</w:t>
      </w:r>
    </w:p>
    <w:p w14:paraId="56E0D654">
      <w:pPr>
        <w:pStyle w:val="5"/>
        <w:spacing w:before="156" w:beforeLines="50" w:after="156" w:afterLines="50" w:line="560" w:lineRule="exact"/>
        <w:jc w:val="center"/>
        <w:rPr>
          <w:rFonts w:ascii="宋体" w:hAnsi="宋体" w:cs="宋体"/>
          <w:sz w:val="24"/>
        </w:rPr>
      </w:pPr>
      <w:r>
        <w:rPr>
          <w:rFonts w:hint="eastAsia" w:ascii="宋体" w:hAnsi="宋体" w:cs="宋体"/>
          <w:sz w:val="24"/>
        </w:rPr>
        <w:br w:type="page"/>
      </w:r>
    </w:p>
    <w:bookmarkEnd w:id="57"/>
    <w:bookmarkEnd w:id="58"/>
    <w:bookmarkEnd w:id="62"/>
    <w:p w14:paraId="08AE54D6">
      <w:pPr>
        <w:pStyle w:val="5"/>
        <w:spacing w:before="156" w:beforeLines="50" w:after="156" w:afterLines="50" w:line="560" w:lineRule="exact"/>
        <w:jc w:val="center"/>
        <w:rPr>
          <w:rFonts w:ascii="宋体" w:hAnsi="宋体" w:eastAsia="宋体" w:cs="宋体"/>
          <w:sz w:val="24"/>
          <w:szCs w:val="24"/>
        </w:rPr>
      </w:pPr>
      <w:bookmarkStart w:id="63" w:name="_Toc18671571"/>
      <w:bookmarkStart w:id="64" w:name="_Toc29403"/>
      <w:r>
        <w:rPr>
          <w:rFonts w:hint="eastAsia" w:ascii="宋体" w:hAnsi="宋体" w:eastAsia="宋体" w:cs="宋体"/>
          <w:sz w:val="24"/>
          <w:szCs w:val="24"/>
        </w:rPr>
        <w:t>七、方案</w:t>
      </w:r>
      <w:bookmarkEnd w:id="63"/>
      <w:bookmarkEnd w:id="64"/>
    </w:p>
    <w:p w14:paraId="1311E9FE">
      <w:pPr>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（一）</w:t>
      </w:r>
      <w:r>
        <w:rPr>
          <w:rFonts w:hint="eastAsia" w:ascii="宋体" w:hAnsi="宋体" w:cs="宋体"/>
          <w:b/>
          <w:sz w:val="24"/>
        </w:rPr>
        <w:t>服务方案</w:t>
      </w:r>
    </w:p>
    <w:p w14:paraId="74C0EC62">
      <w:pPr>
        <w:spacing w:line="44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（二）质量及售后服务等</w:t>
      </w:r>
    </w:p>
    <w:p w14:paraId="3A2740B5">
      <w:pPr>
        <w:spacing w:line="440" w:lineRule="exact"/>
        <w:ind w:firstLine="2706" w:firstLineChars="1123"/>
        <w:jc w:val="left"/>
        <w:rPr>
          <w:rFonts w:asciiTheme="minorEastAsia" w:hAnsiTheme="minorEastAsia" w:eastAsiaTheme="minorEastAsia" w:cstheme="minorEastAsia"/>
          <w:b/>
          <w:sz w:val="24"/>
        </w:rPr>
      </w:pPr>
    </w:p>
    <w:p w14:paraId="40A60531">
      <w:pPr>
        <w:numPr>
          <w:ilvl w:val="0"/>
          <w:numId w:val="5"/>
        </w:numPr>
        <w:spacing w:before="156" w:beforeLines="50" w:after="156" w:afterLines="50" w:line="5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br w:type="page"/>
      </w:r>
      <w:bookmarkStart w:id="65" w:name="_Toc18671573"/>
      <w:bookmarkStart w:id="66" w:name="_Toc30204"/>
      <w:bookmarkStart w:id="67" w:name="_Toc15376906"/>
      <w:r>
        <w:rPr>
          <w:rStyle w:val="30"/>
          <w:rFonts w:hint="eastAsia" w:ascii="宋体" w:hAnsi="宋体" w:eastAsia="宋体" w:cs="宋体"/>
          <w:sz w:val="24"/>
          <w:szCs w:val="24"/>
        </w:rPr>
        <w:t>联合体协议</w:t>
      </w:r>
      <w:bookmarkEnd w:id="65"/>
      <w:bookmarkEnd w:id="66"/>
      <w:bookmarkEnd w:id="67"/>
    </w:p>
    <w:p w14:paraId="5F394D79">
      <w:pPr>
        <w:jc w:val="center"/>
        <w:rPr>
          <w:rFonts w:asciiTheme="minorEastAsia" w:hAnsiTheme="minorEastAsia" w:eastAsiaTheme="minorEastAsia" w:cstheme="minorEastAsia"/>
          <w:sz w:val="24"/>
        </w:rPr>
      </w:pPr>
      <w:r>
        <w:rPr>
          <w:rFonts w:hint="eastAsia"/>
          <w:sz w:val="24"/>
        </w:rPr>
        <w:t>（不允许联合体投标或未组成联合体投标，不需此件）</w:t>
      </w:r>
    </w:p>
    <w:p w14:paraId="1D19C8D5">
      <w:pPr>
        <w:rPr>
          <w:rFonts w:asciiTheme="minorEastAsia" w:hAnsiTheme="minorEastAsia" w:eastAsiaTheme="minorEastAsia" w:cstheme="minorEastAsia"/>
          <w:sz w:val="24"/>
        </w:rPr>
      </w:pPr>
    </w:p>
    <w:p w14:paraId="1B872FFD">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就“</w:t>
      </w:r>
      <w:r>
        <w:rPr>
          <w:rFonts w:hint="eastAsia" w:asciiTheme="minorEastAsia" w:hAnsiTheme="minorEastAsia" w:eastAsiaTheme="minorEastAsia" w:cstheme="minorEastAsia"/>
          <w:sz w:val="24"/>
          <w:u w:val="single"/>
        </w:rPr>
        <w:t>某项目</w:t>
      </w: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rPr>
        <w:t>某编号</w:t>
      </w:r>
      <w:r>
        <w:rPr>
          <w:rFonts w:hint="eastAsia" w:asciiTheme="minorEastAsia" w:hAnsiTheme="minorEastAsia" w:eastAsiaTheme="minorEastAsia" w:cstheme="minorEastAsia"/>
          <w:sz w:val="24"/>
        </w:rPr>
        <w:t>）的响应有关事宜，经充分协商一致，达成如下协议：</w:t>
      </w:r>
    </w:p>
    <w:p w14:paraId="3B0D141C">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一、由</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牵头，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参加，组成联合体共同参加本项目的单一来源活动。</w:t>
      </w:r>
    </w:p>
    <w:p w14:paraId="6DEA69F4">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为本次响应的主体方，联合体以主体方的名义参加单一来源活动。主体方负责单一来源项目的一切组织、协调工作，并授权代理人以联合体的名义参加项目的单一来源活动，代理人在参加单一来源活动过程中所签署的一切文件和处理与本次单一来源活动的有关一切事物，联合体各方均予以承认并承担法律责任。联合体成交后，联合体各方共同与采购人签订合同，就本项目对采购人承担连带责任。</w:t>
      </w:r>
    </w:p>
    <w:p w14:paraId="3CD40B62">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三、如联合体成交，则主体方负责</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等工作；参加方负责</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等工作。各方各自承担相应的责任。</w:t>
      </w:r>
    </w:p>
    <w:p w14:paraId="724ABAEB">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四、各方不得再以自己名义单独在本项目中参加单一来源活动，也不得组成新的联合体参加本项目单一来源活动。</w:t>
      </w:r>
    </w:p>
    <w:p w14:paraId="533D54C8">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五、参加方负责内容的合同金额占联合体协议合同总金额百分之</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34CED625">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六、主体方负责内容的合同金额占联合体协议合同总金额百分之</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78D7ECE6">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七、未成交，本协议自动废止。</w:t>
      </w:r>
    </w:p>
    <w:p w14:paraId="4C2ACDC8">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主体方：（公章）                       参加方：（公章）</w:t>
      </w:r>
    </w:p>
    <w:p w14:paraId="6B7D01E4">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                           法定代表人： </w:t>
      </w:r>
    </w:p>
    <w:p w14:paraId="1EFFF77D">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                                 地址：</w:t>
      </w:r>
    </w:p>
    <w:p w14:paraId="4C1C3AFA">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邮编：                                 邮编：</w:t>
      </w:r>
    </w:p>
    <w:p w14:paraId="2F2A9F24">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                                 电话：</w:t>
      </w:r>
    </w:p>
    <w:p w14:paraId="08749370">
      <w:pPr>
        <w:pStyle w:val="12"/>
        <w:spacing w:line="360" w:lineRule="auto"/>
        <w:rPr>
          <w:rFonts w:asciiTheme="minorEastAsia" w:hAnsiTheme="minorEastAsia" w:eastAsiaTheme="minorEastAsia" w:cstheme="minorEastAsia"/>
          <w:szCs w:val="24"/>
        </w:rPr>
      </w:pPr>
    </w:p>
    <w:p w14:paraId="419BFA20"/>
    <w:p w14:paraId="4CFB9FC4">
      <w:pPr>
        <w:ind w:right="120"/>
        <w:jc w:val="righ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签订日期: </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年</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月</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日</w:t>
      </w:r>
    </w:p>
    <w:p w14:paraId="53644FC8">
      <w:pPr>
        <w:rPr>
          <w:rFonts w:hAnsi="宋体" w:cs="宋体"/>
          <w:sz w:val="24"/>
          <w:szCs w:val="32"/>
        </w:rPr>
      </w:pPr>
      <w:r>
        <w:rPr>
          <w:rFonts w:hAnsi="宋体" w:cs="宋体"/>
          <w:sz w:val="24"/>
          <w:szCs w:val="32"/>
        </w:rPr>
        <w:br w:type="page"/>
      </w:r>
    </w:p>
    <w:p w14:paraId="54D84281">
      <w:pPr>
        <w:outlineLvl w:val="0"/>
        <w:rPr>
          <w:rStyle w:val="47"/>
          <w:rFonts w:hint="eastAsia" w:ascii="宋体" w:hAnsi="宋体" w:eastAsia="宋体" w:cs="宋体"/>
          <w:sz w:val="24"/>
          <w:szCs w:val="24"/>
          <w:lang w:val="en-US" w:eastAsia="zh-CN"/>
        </w:rPr>
      </w:pPr>
      <w:r>
        <w:rPr>
          <w:rStyle w:val="47"/>
          <w:rFonts w:hint="eastAsia" w:ascii="宋体" w:hAnsi="宋体" w:eastAsia="宋体" w:cs="宋体"/>
          <w:sz w:val="24"/>
          <w:szCs w:val="24"/>
          <w:lang w:val="en-US" w:eastAsia="zh-CN"/>
        </w:rPr>
        <w:t>额外附件（无需编入响应文件）</w:t>
      </w:r>
    </w:p>
    <w:p w14:paraId="59E5BE47">
      <w:pPr>
        <w:spacing w:line="360" w:lineRule="auto"/>
        <w:jc w:val="center"/>
        <w:rPr>
          <w:rFonts w:hint="eastAsia" w:ascii="宋体" w:hAnsi="宋体" w:eastAsia="宋体" w:cs="宋体"/>
          <w:b/>
          <w:bCs w:val="0"/>
          <w:sz w:val="24"/>
          <w:szCs w:val="24"/>
        </w:rPr>
      </w:pPr>
    </w:p>
    <w:p w14:paraId="717722E6">
      <w:pPr>
        <w:spacing w:line="360" w:lineRule="auto"/>
        <w:jc w:val="center"/>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二轮</w:t>
      </w:r>
      <w:r>
        <w:rPr>
          <w:rFonts w:hint="eastAsia" w:ascii="宋体" w:hAnsi="宋体" w:eastAsia="宋体" w:cs="宋体"/>
          <w:b/>
          <w:bCs w:val="0"/>
          <w:sz w:val="24"/>
          <w:szCs w:val="24"/>
        </w:rPr>
        <w:t>报价函</w:t>
      </w:r>
    </w:p>
    <w:p w14:paraId="6EB1A9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致 ：</w:t>
      </w:r>
      <w:r>
        <w:rPr>
          <w:rFonts w:hint="eastAsia" w:ascii="宋体" w:hAnsi="宋体" w:eastAsia="宋体" w:cs="宋体"/>
          <w:bCs/>
          <w:sz w:val="24"/>
          <w:szCs w:val="24"/>
          <w:u w:val="single"/>
        </w:rPr>
        <w:t>( 采购人</w:t>
      </w:r>
      <w:r>
        <w:rPr>
          <w:rFonts w:hint="eastAsia" w:ascii="宋体" w:hAnsi="宋体" w:eastAsia="宋体" w:cs="宋体"/>
          <w:bCs/>
          <w:sz w:val="24"/>
          <w:szCs w:val="24"/>
          <w:u w:val="single"/>
          <w:lang w:val="en-US" w:eastAsia="zh-CN"/>
        </w:rPr>
        <w:t>名称</w:t>
      </w:r>
      <w:r>
        <w:rPr>
          <w:rFonts w:hint="eastAsia" w:ascii="宋体" w:hAnsi="宋体" w:eastAsia="宋体" w:cs="宋体"/>
          <w:bCs/>
          <w:sz w:val="24"/>
          <w:szCs w:val="24"/>
          <w:u w:val="single"/>
        </w:rPr>
        <w:t xml:space="preserve"> )</w:t>
      </w:r>
    </w:p>
    <w:p w14:paraId="39A9F7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1、我方愿在前一轮</w:t>
      </w:r>
      <w:r>
        <w:rPr>
          <w:rFonts w:hint="eastAsia" w:ascii="宋体" w:hAnsi="宋体" w:cs="宋体"/>
          <w:bCs/>
          <w:sz w:val="24"/>
          <w:szCs w:val="24"/>
          <w:lang w:val="en-US" w:eastAsia="zh-CN"/>
        </w:rPr>
        <w:t>响应</w:t>
      </w:r>
      <w:r>
        <w:rPr>
          <w:rFonts w:hint="eastAsia" w:ascii="宋体" w:hAnsi="宋体" w:eastAsia="宋体" w:cs="宋体"/>
          <w:bCs/>
          <w:sz w:val="24"/>
          <w:szCs w:val="24"/>
        </w:rPr>
        <w:t>（响应文件）报价的基础上再次让利，让利后响应报价为人民币</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元。如果我方有幸成为成交单位，报价费用为所委托项目范围内全部工作，该费用不再调整。</w:t>
      </w:r>
    </w:p>
    <w:p w14:paraId="5DD440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2、其他部分与响应性文件内容一致。</w:t>
      </w:r>
    </w:p>
    <w:p w14:paraId="68888CB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rPr>
      </w:pPr>
    </w:p>
    <w:p w14:paraId="386C9CA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rPr>
      </w:pPr>
      <w:r>
        <w:rPr>
          <w:rFonts w:hint="eastAsia" w:ascii="宋体" w:hAnsi="宋体" w:eastAsia="宋体" w:cs="宋体"/>
          <w:bCs/>
          <w:sz w:val="24"/>
          <w:szCs w:val="24"/>
        </w:rPr>
        <w:t>供应商：（盖</w:t>
      </w:r>
      <w:r>
        <w:rPr>
          <w:rFonts w:hint="eastAsia" w:ascii="宋体" w:hAnsi="宋体" w:eastAsia="宋体" w:cs="宋体"/>
          <w:bCs/>
          <w:sz w:val="24"/>
          <w:szCs w:val="24"/>
          <w:lang w:val="en-US" w:eastAsia="zh-CN"/>
        </w:rPr>
        <w:t>公</w:t>
      </w:r>
      <w:r>
        <w:rPr>
          <w:rFonts w:hint="eastAsia" w:ascii="宋体" w:hAnsi="宋体" w:eastAsia="宋体" w:cs="宋体"/>
          <w:bCs/>
          <w:sz w:val="24"/>
          <w:szCs w:val="24"/>
        </w:rPr>
        <w:t>章）</w:t>
      </w:r>
    </w:p>
    <w:p w14:paraId="6B786ED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rPr>
      </w:pPr>
      <w:r>
        <w:rPr>
          <w:rFonts w:hint="eastAsia" w:ascii="宋体" w:hAnsi="宋体" w:eastAsia="宋体" w:cs="宋体"/>
          <w:bCs/>
          <w:sz w:val="24"/>
          <w:szCs w:val="24"/>
        </w:rPr>
        <w:t xml:space="preserve">法定代表人（或委托代理人）：（签字或盖章）       </w:t>
      </w:r>
    </w:p>
    <w:p w14:paraId="2654D31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rPr>
      </w:pPr>
      <w:r>
        <w:rPr>
          <w:rFonts w:hint="eastAsia" w:ascii="宋体" w:hAnsi="宋体" w:eastAsia="宋体" w:cs="宋体"/>
          <w:bCs/>
          <w:sz w:val="24"/>
          <w:szCs w:val="24"/>
        </w:rPr>
        <w:t xml:space="preserve">日期： 年  月  日 </w:t>
      </w:r>
    </w:p>
    <w:p w14:paraId="59C3D8CF">
      <w:pPr>
        <w:spacing w:line="360" w:lineRule="auto"/>
        <w:jc w:val="center"/>
        <w:rPr>
          <w:rFonts w:hint="eastAsia" w:ascii="宋体" w:hAnsi="宋体" w:eastAsia="宋体" w:cs="宋体"/>
          <w:bCs/>
          <w:sz w:val="24"/>
          <w:szCs w:val="24"/>
        </w:rPr>
      </w:pPr>
    </w:p>
    <w:p w14:paraId="7BF8B321">
      <w:pPr>
        <w:spacing w:line="360" w:lineRule="auto"/>
        <w:jc w:val="center"/>
        <w:rPr>
          <w:rFonts w:hint="eastAsia" w:ascii="宋体" w:hAnsi="宋体" w:eastAsia="宋体" w:cs="宋体"/>
          <w:bCs/>
          <w:sz w:val="24"/>
          <w:szCs w:val="24"/>
        </w:rPr>
      </w:pPr>
    </w:p>
    <w:p w14:paraId="43939E8A">
      <w:pPr>
        <w:spacing w:line="360" w:lineRule="auto"/>
        <w:jc w:val="both"/>
        <w:rPr>
          <w:rFonts w:hint="eastAsia" w:ascii="宋体" w:hAnsi="宋体" w:eastAsia="宋体" w:cs="宋体"/>
          <w:bCs/>
          <w:sz w:val="24"/>
          <w:szCs w:val="24"/>
        </w:rPr>
      </w:pPr>
    </w:p>
    <w:p w14:paraId="02763752">
      <w:pPr>
        <w:spacing w:line="360" w:lineRule="auto"/>
        <w:jc w:val="left"/>
        <w:rPr>
          <w:rFonts w:hint="eastAsia" w:ascii="宋体" w:hAnsi="宋体" w:eastAsia="宋体" w:cs="宋体"/>
          <w:b/>
          <w:bCs w:val="0"/>
          <w:sz w:val="24"/>
          <w:szCs w:val="24"/>
        </w:rPr>
      </w:pPr>
      <w:r>
        <w:rPr>
          <w:rFonts w:hint="eastAsia" w:ascii="宋体" w:hAnsi="宋体" w:eastAsia="宋体" w:cs="宋体"/>
          <w:b/>
          <w:bCs w:val="0"/>
          <w:sz w:val="24"/>
          <w:szCs w:val="24"/>
        </w:rPr>
        <w:t>注：</w:t>
      </w:r>
    </w:p>
    <w:p w14:paraId="1530FFF8">
      <w:pPr>
        <w:spacing w:line="360" w:lineRule="auto"/>
        <w:jc w:val="left"/>
        <w:rPr>
          <w:rFonts w:hint="eastAsia" w:ascii="宋体" w:hAnsi="宋体" w:eastAsia="宋体" w:cs="宋体"/>
          <w:b/>
          <w:bCs w:val="0"/>
          <w:sz w:val="24"/>
          <w:szCs w:val="24"/>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1）</w:t>
      </w:r>
      <w:r>
        <w:rPr>
          <w:rFonts w:hint="eastAsia" w:ascii="宋体" w:hAnsi="宋体" w:eastAsia="宋体" w:cs="宋体"/>
          <w:b/>
          <w:bCs w:val="0"/>
          <w:sz w:val="24"/>
          <w:szCs w:val="24"/>
        </w:rPr>
        <w:t>最终报价单位为元，最多保留两位小数。</w:t>
      </w:r>
    </w:p>
    <w:p w14:paraId="7EE8AF41">
      <w:pPr>
        <w:spacing w:line="360" w:lineRule="auto"/>
        <w:jc w:val="left"/>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（2）供应商二轮报价填报总价即可，二轮报价的工程量清单综合单价较一轮报价同比例调整。</w:t>
      </w:r>
    </w:p>
    <w:p w14:paraId="2151A858">
      <w:pPr>
        <w:spacing w:line="360" w:lineRule="auto"/>
        <w:jc w:val="left"/>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（3）各供应商单独备足空白“二轮报价含函”并加盖单位公章及签字，用于二次报价时填写。</w:t>
      </w:r>
    </w:p>
    <w:p w14:paraId="68BEC51C">
      <w:pPr>
        <w:pStyle w:val="2"/>
      </w:pPr>
    </w:p>
    <w:sectPr>
      <w:headerReference r:id="rId6" w:type="default"/>
      <w:footerReference r:id="rId7" w:type="default"/>
      <w:footerReference r:id="rId8" w:type="even"/>
      <w:pgSz w:w="11906" w:h="16838"/>
      <w:pgMar w:top="1440" w:right="1800" w:bottom="1440" w:left="1800" w:header="1134"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7CFDF11-604C-4C47-A636-8B03A27BAC0B}"/>
  </w:font>
  <w:font w:name="黑体">
    <w:panose1 w:val="02010609060101010101"/>
    <w:charset w:val="86"/>
    <w:family w:val="auto"/>
    <w:pitch w:val="default"/>
    <w:sig w:usb0="800002BF" w:usb1="38CF7CFA" w:usb2="00000016" w:usb3="00000000" w:csb0="00040001" w:csb1="00000000"/>
    <w:embedRegular r:id="rId2" w:fontKey="{B320F539-13AB-4978-9D74-D1830ECCD0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DengXian ( 正文 )">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embedRegular r:id="rId3" w:fontKey="{4C0B9F2F-5EC9-4360-952F-7E94C0A020BD}"/>
  </w:font>
  <w:font w:name="仿宋">
    <w:panose1 w:val="02010609060101010101"/>
    <w:charset w:val="86"/>
    <w:family w:val="auto"/>
    <w:pitch w:val="default"/>
    <w:sig w:usb0="800002BF" w:usb1="38CF7CFA" w:usb2="00000016" w:usb3="00000000" w:csb0="00040001" w:csb1="00000000"/>
    <w:embedRegular r:id="rId4" w:fontKey="{2F0129B2-EB3F-4852-AB34-D5802ED5D7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E5299">
    <w:pPr>
      <w:pStyle w:val="9"/>
    </w:pPr>
  </w:p>
  <w:p w14:paraId="7A82592B">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F6B1B">
    <w:pPr>
      <w:pStyle w:val="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0D3C63">
                          <w:pPr>
                            <w:pStyle w:val="9"/>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14:paraId="170D3C63">
                    <w:pPr>
                      <w:pStyle w:val="9"/>
                    </w:pPr>
                    <w:r>
                      <w:fldChar w:fldCharType="begin"/>
                    </w:r>
                    <w:r>
                      <w:instrText xml:space="preserve"> PAGE  \* MERGEFORMAT </w:instrText>
                    </w:r>
                    <w:r>
                      <w:fldChar w:fldCharType="separate"/>
                    </w:r>
                    <w:r>
                      <w:t>- 26 -</w:t>
                    </w:r>
                    <w:r>
                      <w:fldChar w:fldCharType="end"/>
                    </w:r>
                  </w:p>
                </w:txbxContent>
              </v:textbox>
            </v:shape>
          </w:pict>
        </mc:Fallback>
      </mc:AlternateContent>
    </w:r>
  </w:p>
  <w:p w14:paraId="7AAB79D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E5F9A">
    <w:pPr>
      <w:pStyle w:val="9"/>
      <w:pBdr>
        <w:top w:val="single" w:color="auto" w:sz="4" w:space="1"/>
      </w:pBdr>
      <w:ind w:right="360"/>
      <w:rPr>
        <w:sz w:val="24"/>
        <w:szCs w:val="24"/>
      </w:rPr>
    </w:pPr>
    <w:r>
      <w:rPr>
        <w:sz w:val="24"/>
        <w:lang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52A0EE">
                          <w:pPr>
                            <w:pStyle w:val="9"/>
                            <w:rPr>
                              <w:rStyle w:val="20"/>
                              <w:i/>
                              <w:sz w:val="21"/>
                              <w:szCs w:val="21"/>
                            </w:rPr>
                          </w:pPr>
                          <w:r>
                            <w:rPr>
                              <w:rStyle w:val="20"/>
                              <w:rFonts w:hint="eastAsia"/>
                              <w:i/>
                              <w:sz w:val="21"/>
                              <w:szCs w:val="21"/>
                            </w:rPr>
                            <w:t>-</w:t>
                          </w:r>
                          <w:r>
                            <w:rPr>
                              <w:rFonts w:ascii="Arial" w:hAnsi="Arial" w:cs="Arial"/>
                              <w:i/>
                              <w:sz w:val="21"/>
                              <w:szCs w:val="21"/>
                            </w:rPr>
                            <w:fldChar w:fldCharType="begin"/>
                          </w:r>
                          <w:r>
                            <w:rPr>
                              <w:rStyle w:val="20"/>
                              <w:rFonts w:ascii="Arial" w:hAnsi="Arial" w:cs="Arial"/>
                              <w:i/>
                              <w:sz w:val="21"/>
                              <w:szCs w:val="21"/>
                            </w:rPr>
                            <w:instrText xml:space="preserve">PAGE  </w:instrText>
                          </w:r>
                          <w:r>
                            <w:rPr>
                              <w:rFonts w:ascii="Arial" w:hAnsi="Arial" w:cs="Arial"/>
                              <w:i/>
                              <w:sz w:val="21"/>
                              <w:szCs w:val="21"/>
                            </w:rPr>
                            <w:fldChar w:fldCharType="separate"/>
                          </w:r>
                          <w:r>
                            <w:rPr>
                              <w:rStyle w:val="20"/>
                              <w:rFonts w:ascii="Arial" w:hAnsi="Arial" w:cs="Arial"/>
                              <w:i/>
                              <w:sz w:val="21"/>
                              <w:szCs w:val="21"/>
                            </w:rPr>
                            <w:t>39</w:t>
                          </w:r>
                          <w:r>
                            <w:rPr>
                              <w:rFonts w:ascii="Arial" w:hAnsi="Arial" w:cs="Arial"/>
                              <w:i/>
                              <w:sz w:val="21"/>
                              <w:szCs w:val="21"/>
                            </w:rPr>
                            <w:fldChar w:fldCharType="end"/>
                          </w:r>
                          <w:r>
                            <w:rPr>
                              <w:rStyle w:val="20"/>
                              <w:rFonts w:hint="eastAsia"/>
                              <w:i/>
                              <w:sz w:val="21"/>
                              <w:szCs w:val="21"/>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F52A0EE">
                    <w:pPr>
                      <w:pStyle w:val="9"/>
                      <w:rPr>
                        <w:rStyle w:val="20"/>
                        <w:i/>
                        <w:sz w:val="21"/>
                        <w:szCs w:val="21"/>
                      </w:rPr>
                    </w:pPr>
                    <w:r>
                      <w:rPr>
                        <w:rStyle w:val="20"/>
                        <w:rFonts w:hint="eastAsia"/>
                        <w:i/>
                        <w:sz w:val="21"/>
                        <w:szCs w:val="21"/>
                      </w:rPr>
                      <w:t>-</w:t>
                    </w:r>
                    <w:r>
                      <w:rPr>
                        <w:rFonts w:ascii="Arial" w:hAnsi="Arial" w:cs="Arial"/>
                        <w:i/>
                        <w:sz w:val="21"/>
                        <w:szCs w:val="21"/>
                      </w:rPr>
                      <w:fldChar w:fldCharType="begin"/>
                    </w:r>
                    <w:r>
                      <w:rPr>
                        <w:rStyle w:val="20"/>
                        <w:rFonts w:ascii="Arial" w:hAnsi="Arial" w:cs="Arial"/>
                        <w:i/>
                        <w:sz w:val="21"/>
                        <w:szCs w:val="21"/>
                      </w:rPr>
                      <w:instrText xml:space="preserve">PAGE  </w:instrText>
                    </w:r>
                    <w:r>
                      <w:rPr>
                        <w:rFonts w:ascii="Arial" w:hAnsi="Arial" w:cs="Arial"/>
                        <w:i/>
                        <w:sz w:val="21"/>
                        <w:szCs w:val="21"/>
                      </w:rPr>
                      <w:fldChar w:fldCharType="separate"/>
                    </w:r>
                    <w:r>
                      <w:rPr>
                        <w:rStyle w:val="20"/>
                        <w:rFonts w:ascii="Arial" w:hAnsi="Arial" w:cs="Arial"/>
                        <w:i/>
                        <w:sz w:val="21"/>
                        <w:szCs w:val="21"/>
                      </w:rPr>
                      <w:t>39</w:t>
                    </w:r>
                    <w:r>
                      <w:rPr>
                        <w:rFonts w:ascii="Arial" w:hAnsi="Arial" w:cs="Arial"/>
                        <w:i/>
                        <w:sz w:val="21"/>
                        <w:szCs w:val="21"/>
                      </w:rPr>
                      <w:fldChar w:fldCharType="end"/>
                    </w:r>
                    <w:r>
                      <w:rPr>
                        <w:rStyle w:val="20"/>
                        <w:rFonts w:hint="eastAsia"/>
                        <w:i/>
                        <w:sz w:val="21"/>
                        <w:szCs w:val="21"/>
                      </w:rPr>
                      <w:t>-</w:t>
                    </w:r>
                  </w:p>
                </w:txbxContent>
              </v:textbox>
            </v:shape>
          </w:pict>
        </mc:Fallback>
      </mc:AlternateContent>
    </w:r>
  </w:p>
  <w:p w14:paraId="109F00E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36808">
    <w:pPr>
      <w:pStyle w:val="9"/>
      <w:framePr w:wrap="around" w:vAnchor="text" w:hAnchor="margin" w:xAlign="right" w:y="1"/>
      <w:rPr>
        <w:rStyle w:val="20"/>
      </w:rPr>
    </w:pPr>
    <w:r>
      <w:fldChar w:fldCharType="begin"/>
    </w:r>
    <w:r>
      <w:rPr>
        <w:rStyle w:val="20"/>
      </w:rPr>
      <w:instrText xml:space="preserve">PAGE  </w:instrText>
    </w:r>
    <w:r>
      <w:fldChar w:fldCharType="end"/>
    </w:r>
  </w:p>
  <w:p w14:paraId="08AF6D6C">
    <w:pPr>
      <w:pStyle w:val="9"/>
      <w:ind w:right="360"/>
    </w:pPr>
  </w:p>
  <w:p w14:paraId="0EC3BB7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5ED7A">
    <w:pPr>
      <w:pStyle w:val="10"/>
    </w:pPr>
    <w:r>
      <w:rPr>
        <w:rFonts w:hint="eastAsia"/>
      </w:rPr>
      <w:t>六安服务类单一来源采购文件</w:t>
    </w:r>
  </w:p>
  <w:p w14:paraId="5414C2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04F6C">
    <w:pPr>
      <w:pStyle w:val="10"/>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097CD"/>
    <w:multiLevelType w:val="singleLevel"/>
    <w:tmpl w:val="B6A097CD"/>
    <w:lvl w:ilvl="0" w:tentative="0">
      <w:start w:val="1"/>
      <w:numFmt w:val="decimal"/>
      <w:suff w:val="nothing"/>
      <w:lvlText w:val="%1）"/>
      <w:lvlJc w:val="left"/>
    </w:lvl>
  </w:abstractNum>
  <w:abstractNum w:abstractNumId="1">
    <w:nsid w:val="C5B1AAF7"/>
    <w:multiLevelType w:val="singleLevel"/>
    <w:tmpl w:val="C5B1AAF7"/>
    <w:lvl w:ilvl="0" w:tentative="0">
      <w:start w:val="1"/>
      <w:numFmt w:val="decimal"/>
      <w:suff w:val="nothing"/>
      <w:lvlText w:val="%1、"/>
      <w:lvlJc w:val="left"/>
    </w:lvl>
  </w:abstractNum>
  <w:abstractNum w:abstractNumId="2">
    <w:nsid w:val="255E20C5"/>
    <w:multiLevelType w:val="singleLevel"/>
    <w:tmpl w:val="255E20C5"/>
    <w:lvl w:ilvl="0" w:tentative="0">
      <w:start w:val="1"/>
      <w:numFmt w:val="decimal"/>
      <w:suff w:val="nothing"/>
      <w:lvlText w:val="%1）"/>
      <w:lvlJc w:val="left"/>
    </w:lvl>
  </w:abstractNum>
  <w:abstractNum w:abstractNumId="3">
    <w:nsid w:val="5187CC9C"/>
    <w:multiLevelType w:val="singleLevel"/>
    <w:tmpl w:val="5187CC9C"/>
    <w:lvl w:ilvl="0" w:tentative="0">
      <w:start w:val="1"/>
      <w:numFmt w:val="decimal"/>
      <w:suff w:val="nothing"/>
      <w:lvlText w:val="%1、"/>
      <w:lvlJc w:val="left"/>
    </w:lvl>
  </w:abstractNum>
  <w:abstractNum w:abstractNumId="4">
    <w:nsid w:val="57E98523"/>
    <w:multiLevelType w:val="singleLevel"/>
    <w:tmpl w:val="57E98523"/>
    <w:lvl w:ilvl="0" w:tentative="0">
      <w:start w:val="8"/>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YjEzMzcxZDFhZGY0NmM5MDk4M2EzNzI4YTQwNjQifQ=="/>
  </w:docVars>
  <w:rsids>
    <w:rsidRoot w:val="6EC727D8"/>
    <w:rsid w:val="000008DC"/>
    <w:rsid w:val="00074755"/>
    <w:rsid w:val="000D5B86"/>
    <w:rsid w:val="000E1F6C"/>
    <w:rsid w:val="000F7491"/>
    <w:rsid w:val="00107F7A"/>
    <w:rsid w:val="001377B4"/>
    <w:rsid w:val="001531BC"/>
    <w:rsid w:val="001C7F21"/>
    <w:rsid w:val="001D0E19"/>
    <w:rsid w:val="00241BCE"/>
    <w:rsid w:val="002827D9"/>
    <w:rsid w:val="00310043"/>
    <w:rsid w:val="00325DD1"/>
    <w:rsid w:val="00330497"/>
    <w:rsid w:val="00337BD4"/>
    <w:rsid w:val="00360082"/>
    <w:rsid w:val="00370FA3"/>
    <w:rsid w:val="003D6EB2"/>
    <w:rsid w:val="003E7146"/>
    <w:rsid w:val="004C3D64"/>
    <w:rsid w:val="00502F86"/>
    <w:rsid w:val="00554AED"/>
    <w:rsid w:val="00573D8E"/>
    <w:rsid w:val="005B7F2A"/>
    <w:rsid w:val="005C36B3"/>
    <w:rsid w:val="005E629F"/>
    <w:rsid w:val="005F257E"/>
    <w:rsid w:val="005F31BF"/>
    <w:rsid w:val="0062612B"/>
    <w:rsid w:val="00643FFD"/>
    <w:rsid w:val="00664226"/>
    <w:rsid w:val="00664B49"/>
    <w:rsid w:val="006A1B74"/>
    <w:rsid w:val="00706B07"/>
    <w:rsid w:val="00737B01"/>
    <w:rsid w:val="00756192"/>
    <w:rsid w:val="007654C4"/>
    <w:rsid w:val="007679EB"/>
    <w:rsid w:val="00771506"/>
    <w:rsid w:val="007925A2"/>
    <w:rsid w:val="0079330D"/>
    <w:rsid w:val="007967C9"/>
    <w:rsid w:val="007B7190"/>
    <w:rsid w:val="007E4AEE"/>
    <w:rsid w:val="007F5FDC"/>
    <w:rsid w:val="008877ED"/>
    <w:rsid w:val="008B34A7"/>
    <w:rsid w:val="008E06AA"/>
    <w:rsid w:val="008E4B3E"/>
    <w:rsid w:val="008F5ACA"/>
    <w:rsid w:val="00910B63"/>
    <w:rsid w:val="00936ACC"/>
    <w:rsid w:val="0096212F"/>
    <w:rsid w:val="009C2971"/>
    <w:rsid w:val="009D484D"/>
    <w:rsid w:val="00A0731A"/>
    <w:rsid w:val="00A53F70"/>
    <w:rsid w:val="00A72BE0"/>
    <w:rsid w:val="00AB14BC"/>
    <w:rsid w:val="00AC096B"/>
    <w:rsid w:val="00AE137C"/>
    <w:rsid w:val="00AE30B0"/>
    <w:rsid w:val="00B0397C"/>
    <w:rsid w:val="00B11A1A"/>
    <w:rsid w:val="00B403CD"/>
    <w:rsid w:val="00B519D7"/>
    <w:rsid w:val="00B60525"/>
    <w:rsid w:val="00B75680"/>
    <w:rsid w:val="00B91F55"/>
    <w:rsid w:val="00B92E69"/>
    <w:rsid w:val="00B93C87"/>
    <w:rsid w:val="00BA0C8C"/>
    <w:rsid w:val="00BB413B"/>
    <w:rsid w:val="00BC12F0"/>
    <w:rsid w:val="00BC3B7F"/>
    <w:rsid w:val="00BD2778"/>
    <w:rsid w:val="00C73E3E"/>
    <w:rsid w:val="00C75E31"/>
    <w:rsid w:val="00C84172"/>
    <w:rsid w:val="00C905B8"/>
    <w:rsid w:val="00D009EA"/>
    <w:rsid w:val="00D40D69"/>
    <w:rsid w:val="00D45394"/>
    <w:rsid w:val="00D62FCB"/>
    <w:rsid w:val="00D64BD5"/>
    <w:rsid w:val="00D76247"/>
    <w:rsid w:val="00D90AFE"/>
    <w:rsid w:val="00D96E63"/>
    <w:rsid w:val="00DC661F"/>
    <w:rsid w:val="00DC6BD9"/>
    <w:rsid w:val="00DE4501"/>
    <w:rsid w:val="00E1437E"/>
    <w:rsid w:val="00E25D2A"/>
    <w:rsid w:val="00E37283"/>
    <w:rsid w:val="00E43CD1"/>
    <w:rsid w:val="00E815D1"/>
    <w:rsid w:val="00EC71D2"/>
    <w:rsid w:val="00ED4AA4"/>
    <w:rsid w:val="00F07E7E"/>
    <w:rsid w:val="00F24888"/>
    <w:rsid w:val="00F44726"/>
    <w:rsid w:val="00FA7A82"/>
    <w:rsid w:val="00FB3DFE"/>
    <w:rsid w:val="00FE651F"/>
    <w:rsid w:val="01284C10"/>
    <w:rsid w:val="016C134C"/>
    <w:rsid w:val="019948FF"/>
    <w:rsid w:val="01E62509"/>
    <w:rsid w:val="01F36FCC"/>
    <w:rsid w:val="02313F99"/>
    <w:rsid w:val="02702D13"/>
    <w:rsid w:val="02785724"/>
    <w:rsid w:val="028265A2"/>
    <w:rsid w:val="0288500D"/>
    <w:rsid w:val="0297204E"/>
    <w:rsid w:val="029F74CA"/>
    <w:rsid w:val="02A23F5D"/>
    <w:rsid w:val="02DF7AA4"/>
    <w:rsid w:val="02E86730"/>
    <w:rsid w:val="02E903CF"/>
    <w:rsid w:val="031B2C7F"/>
    <w:rsid w:val="03440AAD"/>
    <w:rsid w:val="03451AAA"/>
    <w:rsid w:val="03522419"/>
    <w:rsid w:val="0365214C"/>
    <w:rsid w:val="03AF33C7"/>
    <w:rsid w:val="03B20153"/>
    <w:rsid w:val="040A4AA1"/>
    <w:rsid w:val="040B2A74"/>
    <w:rsid w:val="044955CA"/>
    <w:rsid w:val="045F6B9B"/>
    <w:rsid w:val="0461636B"/>
    <w:rsid w:val="04A4420B"/>
    <w:rsid w:val="04A96068"/>
    <w:rsid w:val="04FB16CE"/>
    <w:rsid w:val="0564343C"/>
    <w:rsid w:val="058D4B01"/>
    <w:rsid w:val="05CF2FDE"/>
    <w:rsid w:val="05E25CD6"/>
    <w:rsid w:val="05EA6938"/>
    <w:rsid w:val="067D77AC"/>
    <w:rsid w:val="06B342AD"/>
    <w:rsid w:val="06D51397"/>
    <w:rsid w:val="06E15F8D"/>
    <w:rsid w:val="07477E74"/>
    <w:rsid w:val="07937C68"/>
    <w:rsid w:val="07A20778"/>
    <w:rsid w:val="07B733C4"/>
    <w:rsid w:val="07C5765D"/>
    <w:rsid w:val="07ED349A"/>
    <w:rsid w:val="08092B10"/>
    <w:rsid w:val="08106172"/>
    <w:rsid w:val="087E15BA"/>
    <w:rsid w:val="0888779C"/>
    <w:rsid w:val="08A40A20"/>
    <w:rsid w:val="08CE2E53"/>
    <w:rsid w:val="08D12A6B"/>
    <w:rsid w:val="08D538D0"/>
    <w:rsid w:val="08F024B8"/>
    <w:rsid w:val="08F655F4"/>
    <w:rsid w:val="09122521"/>
    <w:rsid w:val="091A3FB8"/>
    <w:rsid w:val="09541963"/>
    <w:rsid w:val="09732A37"/>
    <w:rsid w:val="097C116F"/>
    <w:rsid w:val="09971291"/>
    <w:rsid w:val="09A21F4E"/>
    <w:rsid w:val="09D15427"/>
    <w:rsid w:val="0A075837"/>
    <w:rsid w:val="0A08006A"/>
    <w:rsid w:val="0A210AF1"/>
    <w:rsid w:val="0A280703"/>
    <w:rsid w:val="0A4834A5"/>
    <w:rsid w:val="0A495578"/>
    <w:rsid w:val="0A4C5E14"/>
    <w:rsid w:val="0A5C3C67"/>
    <w:rsid w:val="0A726EFC"/>
    <w:rsid w:val="0A9607F5"/>
    <w:rsid w:val="0AAB0D8C"/>
    <w:rsid w:val="0AB1595C"/>
    <w:rsid w:val="0AD55E09"/>
    <w:rsid w:val="0B0D1F83"/>
    <w:rsid w:val="0B1C059C"/>
    <w:rsid w:val="0B344594"/>
    <w:rsid w:val="0B402762"/>
    <w:rsid w:val="0BCF2F63"/>
    <w:rsid w:val="0BD32EFE"/>
    <w:rsid w:val="0C3C77C2"/>
    <w:rsid w:val="0C43404D"/>
    <w:rsid w:val="0CA248BC"/>
    <w:rsid w:val="0CA75589"/>
    <w:rsid w:val="0CAF61E6"/>
    <w:rsid w:val="0CE75980"/>
    <w:rsid w:val="0CF92A3E"/>
    <w:rsid w:val="0D1843F4"/>
    <w:rsid w:val="0D3A01A5"/>
    <w:rsid w:val="0D592054"/>
    <w:rsid w:val="0D614AED"/>
    <w:rsid w:val="0D851A87"/>
    <w:rsid w:val="0D925950"/>
    <w:rsid w:val="0DB735A4"/>
    <w:rsid w:val="0DC12675"/>
    <w:rsid w:val="0DD51251"/>
    <w:rsid w:val="0DED2C29"/>
    <w:rsid w:val="0E4B725D"/>
    <w:rsid w:val="0EE91E83"/>
    <w:rsid w:val="0EEF6D6E"/>
    <w:rsid w:val="0F024CF3"/>
    <w:rsid w:val="0F0C791F"/>
    <w:rsid w:val="0F1A4EA2"/>
    <w:rsid w:val="0F323C80"/>
    <w:rsid w:val="0F386966"/>
    <w:rsid w:val="0F707EAE"/>
    <w:rsid w:val="0F957915"/>
    <w:rsid w:val="0FAC2EB1"/>
    <w:rsid w:val="0FB3426A"/>
    <w:rsid w:val="10044A9B"/>
    <w:rsid w:val="1008681F"/>
    <w:rsid w:val="10260EB5"/>
    <w:rsid w:val="106F280D"/>
    <w:rsid w:val="107E158A"/>
    <w:rsid w:val="10D161C4"/>
    <w:rsid w:val="10DB57FB"/>
    <w:rsid w:val="10F44B0F"/>
    <w:rsid w:val="114444CC"/>
    <w:rsid w:val="116003F7"/>
    <w:rsid w:val="11665A0D"/>
    <w:rsid w:val="11A1491C"/>
    <w:rsid w:val="11C40985"/>
    <w:rsid w:val="11DF756D"/>
    <w:rsid w:val="11FA6155"/>
    <w:rsid w:val="12260CF8"/>
    <w:rsid w:val="12535865"/>
    <w:rsid w:val="12647A72"/>
    <w:rsid w:val="12751C80"/>
    <w:rsid w:val="128C7765"/>
    <w:rsid w:val="12A2123C"/>
    <w:rsid w:val="12CD5618"/>
    <w:rsid w:val="12DB2E87"/>
    <w:rsid w:val="13023513"/>
    <w:rsid w:val="131775E8"/>
    <w:rsid w:val="1334693B"/>
    <w:rsid w:val="135B124E"/>
    <w:rsid w:val="13936861"/>
    <w:rsid w:val="13E04764"/>
    <w:rsid w:val="141F1A80"/>
    <w:rsid w:val="142E6509"/>
    <w:rsid w:val="143811B7"/>
    <w:rsid w:val="14812B5E"/>
    <w:rsid w:val="148E0DD7"/>
    <w:rsid w:val="14D727D0"/>
    <w:rsid w:val="14D7452C"/>
    <w:rsid w:val="150D1F93"/>
    <w:rsid w:val="15712BD2"/>
    <w:rsid w:val="1574621E"/>
    <w:rsid w:val="15EE4223"/>
    <w:rsid w:val="161517B0"/>
    <w:rsid w:val="161A5018"/>
    <w:rsid w:val="161C0D90"/>
    <w:rsid w:val="161E145D"/>
    <w:rsid w:val="163A2FC4"/>
    <w:rsid w:val="16436D08"/>
    <w:rsid w:val="16450281"/>
    <w:rsid w:val="164976AB"/>
    <w:rsid w:val="167364D6"/>
    <w:rsid w:val="168626AD"/>
    <w:rsid w:val="16871B76"/>
    <w:rsid w:val="16BD4EA7"/>
    <w:rsid w:val="16E16F3A"/>
    <w:rsid w:val="16E41182"/>
    <w:rsid w:val="16F45869"/>
    <w:rsid w:val="170B670F"/>
    <w:rsid w:val="17377504"/>
    <w:rsid w:val="173C4B1A"/>
    <w:rsid w:val="175D340E"/>
    <w:rsid w:val="175E0F34"/>
    <w:rsid w:val="175E6B6A"/>
    <w:rsid w:val="1768590F"/>
    <w:rsid w:val="176A436F"/>
    <w:rsid w:val="178A7F7B"/>
    <w:rsid w:val="17B07BF3"/>
    <w:rsid w:val="17C678CB"/>
    <w:rsid w:val="17EC4792"/>
    <w:rsid w:val="18291542"/>
    <w:rsid w:val="18365A0D"/>
    <w:rsid w:val="188B3FAB"/>
    <w:rsid w:val="18A40BC9"/>
    <w:rsid w:val="18BD045D"/>
    <w:rsid w:val="18DC0363"/>
    <w:rsid w:val="18FB6DC4"/>
    <w:rsid w:val="18FD1A72"/>
    <w:rsid w:val="18FF22A3"/>
    <w:rsid w:val="19137AFC"/>
    <w:rsid w:val="19FD4A34"/>
    <w:rsid w:val="1A07140F"/>
    <w:rsid w:val="1A136006"/>
    <w:rsid w:val="1A2F1DF7"/>
    <w:rsid w:val="1A437ED6"/>
    <w:rsid w:val="1A69031C"/>
    <w:rsid w:val="1AB01AA7"/>
    <w:rsid w:val="1ACB068F"/>
    <w:rsid w:val="1ADA4D76"/>
    <w:rsid w:val="1AF75EF5"/>
    <w:rsid w:val="1B0B5973"/>
    <w:rsid w:val="1B133E17"/>
    <w:rsid w:val="1B177D78"/>
    <w:rsid w:val="1B3E5305"/>
    <w:rsid w:val="1B544B28"/>
    <w:rsid w:val="1BA01BB2"/>
    <w:rsid w:val="1BB455C7"/>
    <w:rsid w:val="1BE0460E"/>
    <w:rsid w:val="1BF80FCF"/>
    <w:rsid w:val="1C1553FF"/>
    <w:rsid w:val="1C283304"/>
    <w:rsid w:val="1C3B7A96"/>
    <w:rsid w:val="1C641230"/>
    <w:rsid w:val="1CA27B15"/>
    <w:rsid w:val="1CAB5C51"/>
    <w:rsid w:val="1CAC2742"/>
    <w:rsid w:val="1CAC3B3D"/>
    <w:rsid w:val="1CBA4E5F"/>
    <w:rsid w:val="1CCC06EE"/>
    <w:rsid w:val="1CED18DB"/>
    <w:rsid w:val="1CFE11EF"/>
    <w:rsid w:val="1D022362"/>
    <w:rsid w:val="1D0866CB"/>
    <w:rsid w:val="1D1E3640"/>
    <w:rsid w:val="1D3159D0"/>
    <w:rsid w:val="1D3D339A"/>
    <w:rsid w:val="1D3F7112"/>
    <w:rsid w:val="1D530C7D"/>
    <w:rsid w:val="1D632B53"/>
    <w:rsid w:val="1D6D0123"/>
    <w:rsid w:val="1DA72630"/>
    <w:rsid w:val="1DC835AB"/>
    <w:rsid w:val="1DDC7057"/>
    <w:rsid w:val="1DE960B7"/>
    <w:rsid w:val="1DEF77E3"/>
    <w:rsid w:val="1DFB74DD"/>
    <w:rsid w:val="1E110AAE"/>
    <w:rsid w:val="1E220F0E"/>
    <w:rsid w:val="1E3173A3"/>
    <w:rsid w:val="1E3D5D47"/>
    <w:rsid w:val="1E8821E9"/>
    <w:rsid w:val="1F095C2A"/>
    <w:rsid w:val="1F396124"/>
    <w:rsid w:val="1F3A5DE3"/>
    <w:rsid w:val="1F5A6485"/>
    <w:rsid w:val="1F5F074C"/>
    <w:rsid w:val="1F95570F"/>
    <w:rsid w:val="1FEB532F"/>
    <w:rsid w:val="2001472C"/>
    <w:rsid w:val="20014B53"/>
    <w:rsid w:val="203B19C0"/>
    <w:rsid w:val="20803CC9"/>
    <w:rsid w:val="20A73065"/>
    <w:rsid w:val="20B16579"/>
    <w:rsid w:val="20C46ABB"/>
    <w:rsid w:val="20E06E5E"/>
    <w:rsid w:val="21052AC9"/>
    <w:rsid w:val="210669F5"/>
    <w:rsid w:val="21182CA5"/>
    <w:rsid w:val="21224918"/>
    <w:rsid w:val="2126612C"/>
    <w:rsid w:val="2130749E"/>
    <w:rsid w:val="2139763B"/>
    <w:rsid w:val="214B166A"/>
    <w:rsid w:val="2197751D"/>
    <w:rsid w:val="21983295"/>
    <w:rsid w:val="219C7306"/>
    <w:rsid w:val="219C7685"/>
    <w:rsid w:val="21A51C1A"/>
    <w:rsid w:val="21B6299C"/>
    <w:rsid w:val="221E7C3E"/>
    <w:rsid w:val="223F5AB8"/>
    <w:rsid w:val="22A16179"/>
    <w:rsid w:val="22B66D05"/>
    <w:rsid w:val="22BA5184"/>
    <w:rsid w:val="22F62969"/>
    <w:rsid w:val="23122DE5"/>
    <w:rsid w:val="231A178A"/>
    <w:rsid w:val="23393203"/>
    <w:rsid w:val="233D205C"/>
    <w:rsid w:val="234B73CC"/>
    <w:rsid w:val="2358717F"/>
    <w:rsid w:val="235F22BC"/>
    <w:rsid w:val="239312F5"/>
    <w:rsid w:val="23980A4F"/>
    <w:rsid w:val="23AD74CB"/>
    <w:rsid w:val="23CB5BA3"/>
    <w:rsid w:val="23FC5D5D"/>
    <w:rsid w:val="24044C11"/>
    <w:rsid w:val="24107A5A"/>
    <w:rsid w:val="24253506"/>
    <w:rsid w:val="24341EB9"/>
    <w:rsid w:val="24373239"/>
    <w:rsid w:val="244D65B8"/>
    <w:rsid w:val="245416F5"/>
    <w:rsid w:val="245B0CD5"/>
    <w:rsid w:val="245B7E1B"/>
    <w:rsid w:val="2480073C"/>
    <w:rsid w:val="24A32B10"/>
    <w:rsid w:val="24B808B0"/>
    <w:rsid w:val="24F609FE"/>
    <w:rsid w:val="250274DC"/>
    <w:rsid w:val="250749B9"/>
    <w:rsid w:val="251009E1"/>
    <w:rsid w:val="25461985"/>
    <w:rsid w:val="255319AC"/>
    <w:rsid w:val="255816B9"/>
    <w:rsid w:val="25787665"/>
    <w:rsid w:val="25A246E2"/>
    <w:rsid w:val="25A428FF"/>
    <w:rsid w:val="25C26B32"/>
    <w:rsid w:val="25CB1E8B"/>
    <w:rsid w:val="25CD5AD7"/>
    <w:rsid w:val="25F50CB6"/>
    <w:rsid w:val="2604634A"/>
    <w:rsid w:val="26062EC3"/>
    <w:rsid w:val="260F621B"/>
    <w:rsid w:val="26211AAB"/>
    <w:rsid w:val="2633160E"/>
    <w:rsid w:val="265C24B0"/>
    <w:rsid w:val="2697245B"/>
    <w:rsid w:val="26A024D9"/>
    <w:rsid w:val="26A338B2"/>
    <w:rsid w:val="26A84A0A"/>
    <w:rsid w:val="26A85D28"/>
    <w:rsid w:val="26B172D2"/>
    <w:rsid w:val="26B50445"/>
    <w:rsid w:val="26CD1546"/>
    <w:rsid w:val="26E641FB"/>
    <w:rsid w:val="26EC030B"/>
    <w:rsid w:val="274517C9"/>
    <w:rsid w:val="274A6DDF"/>
    <w:rsid w:val="275807AF"/>
    <w:rsid w:val="2768712B"/>
    <w:rsid w:val="27B90C4D"/>
    <w:rsid w:val="28043B56"/>
    <w:rsid w:val="280B3CFB"/>
    <w:rsid w:val="280B656E"/>
    <w:rsid w:val="28734E32"/>
    <w:rsid w:val="288051AE"/>
    <w:rsid w:val="28B72697"/>
    <w:rsid w:val="28BB09C3"/>
    <w:rsid w:val="28CB1816"/>
    <w:rsid w:val="29665200"/>
    <w:rsid w:val="296672B1"/>
    <w:rsid w:val="298365D8"/>
    <w:rsid w:val="29A273A6"/>
    <w:rsid w:val="29D357B2"/>
    <w:rsid w:val="29E67293"/>
    <w:rsid w:val="29FA0F90"/>
    <w:rsid w:val="2A046DA4"/>
    <w:rsid w:val="2A3E70CF"/>
    <w:rsid w:val="2A5A558B"/>
    <w:rsid w:val="2A5E66E7"/>
    <w:rsid w:val="2A693A20"/>
    <w:rsid w:val="2A915A0E"/>
    <w:rsid w:val="2A9D3745"/>
    <w:rsid w:val="2AB2780B"/>
    <w:rsid w:val="2ACF41CB"/>
    <w:rsid w:val="2AEA0A59"/>
    <w:rsid w:val="2B7663F5"/>
    <w:rsid w:val="2BB1633C"/>
    <w:rsid w:val="2BDD46C6"/>
    <w:rsid w:val="2C210F6D"/>
    <w:rsid w:val="2C7A3CC3"/>
    <w:rsid w:val="2CA945A8"/>
    <w:rsid w:val="2CD71115"/>
    <w:rsid w:val="2CE82102"/>
    <w:rsid w:val="2CEA709A"/>
    <w:rsid w:val="2D0A14EA"/>
    <w:rsid w:val="2D1660E1"/>
    <w:rsid w:val="2D5D3C4E"/>
    <w:rsid w:val="2D8E201B"/>
    <w:rsid w:val="2DA30746"/>
    <w:rsid w:val="2DB94CBF"/>
    <w:rsid w:val="2DC86CB0"/>
    <w:rsid w:val="2DE63220"/>
    <w:rsid w:val="2E035D14"/>
    <w:rsid w:val="2E0E6A8A"/>
    <w:rsid w:val="2E1B7727"/>
    <w:rsid w:val="2E8A5B37"/>
    <w:rsid w:val="2E935510"/>
    <w:rsid w:val="2EE67D35"/>
    <w:rsid w:val="2EED4C20"/>
    <w:rsid w:val="2EFF2BA5"/>
    <w:rsid w:val="2F0506B8"/>
    <w:rsid w:val="2F536455"/>
    <w:rsid w:val="2F927A56"/>
    <w:rsid w:val="2F930C2B"/>
    <w:rsid w:val="2FA07EE4"/>
    <w:rsid w:val="2FA63021"/>
    <w:rsid w:val="2FBC1EE1"/>
    <w:rsid w:val="2FD31515"/>
    <w:rsid w:val="2FEA2971"/>
    <w:rsid w:val="30403541"/>
    <w:rsid w:val="30631D01"/>
    <w:rsid w:val="308360CB"/>
    <w:rsid w:val="30980BBB"/>
    <w:rsid w:val="30CB7EF2"/>
    <w:rsid w:val="30CE542D"/>
    <w:rsid w:val="30EB518F"/>
    <w:rsid w:val="31175D92"/>
    <w:rsid w:val="311A0B44"/>
    <w:rsid w:val="312A17C7"/>
    <w:rsid w:val="312C15FD"/>
    <w:rsid w:val="31413001"/>
    <w:rsid w:val="3152520E"/>
    <w:rsid w:val="31B82C24"/>
    <w:rsid w:val="31CA1248"/>
    <w:rsid w:val="31F42769"/>
    <w:rsid w:val="323F6B41"/>
    <w:rsid w:val="32546D64"/>
    <w:rsid w:val="32B1065A"/>
    <w:rsid w:val="334D7931"/>
    <w:rsid w:val="33760038"/>
    <w:rsid w:val="3390201E"/>
    <w:rsid w:val="33947D60"/>
    <w:rsid w:val="33C61EE3"/>
    <w:rsid w:val="33CD760B"/>
    <w:rsid w:val="33DE547F"/>
    <w:rsid w:val="33F22CD8"/>
    <w:rsid w:val="34164C19"/>
    <w:rsid w:val="342015F4"/>
    <w:rsid w:val="344A1462"/>
    <w:rsid w:val="345E3ECA"/>
    <w:rsid w:val="349B511E"/>
    <w:rsid w:val="34A042EE"/>
    <w:rsid w:val="35007112"/>
    <w:rsid w:val="351F5D4F"/>
    <w:rsid w:val="35305866"/>
    <w:rsid w:val="353C06AF"/>
    <w:rsid w:val="35651D20"/>
    <w:rsid w:val="35702107"/>
    <w:rsid w:val="357B1FA8"/>
    <w:rsid w:val="35B446E9"/>
    <w:rsid w:val="35DF103A"/>
    <w:rsid w:val="35E02753"/>
    <w:rsid w:val="35FF348B"/>
    <w:rsid w:val="362178A5"/>
    <w:rsid w:val="3627310D"/>
    <w:rsid w:val="3636463B"/>
    <w:rsid w:val="364A6DFC"/>
    <w:rsid w:val="364C2B74"/>
    <w:rsid w:val="36592B9B"/>
    <w:rsid w:val="367B0D63"/>
    <w:rsid w:val="36914A2B"/>
    <w:rsid w:val="36AA789A"/>
    <w:rsid w:val="371511B8"/>
    <w:rsid w:val="37425D25"/>
    <w:rsid w:val="37461371"/>
    <w:rsid w:val="376302F8"/>
    <w:rsid w:val="376D2DA2"/>
    <w:rsid w:val="37754C22"/>
    <w:rsid w:val="378123A9"/>
    <w:rsid w:val="378679C0"/>
    <w:rsid w:val="37987968"/>
    <w:rsid w:val="37991DE9"/>
    <w:rsid w:val="37A2797E"/>
    <w:rsid w:val="37A46C12"/>
    <w:rsid w:val="37AE5168"/>
    <w:rsid w:val="37C52BDE"/>
    <w:rsid w:val="37E56DDC"/>
    <w:rsid w:val="3809239F"/>
    <w:rsid w:val="38303DCF"/>
    <w:rsid w:val="38393E83"/>
    <w:rsid w:val="38AD71CE"/>
    <w:rsid w:val="38C06F01"/>
    <w:rsid w:val="38C67BD5"/>
    <w:rsid w:val="38D46734"/>
    <w:rsid w:val="39126EC4"/>
    <w:rsid w:val="39241B86"/>
    <w:rsid w:val="39382F3B"/>
    <w:rsid w:val="3949339B"/>
    <w:rsid w:val="3958538C"/>
    <w:rsid w:val="39763A64"/>
    <w:rsid w:val="39CE641A"/>
    <w:rsid w:val="39D210D0"/>
    <w:rsid w:val="39D72754"/>
    <w:rsid w:val="39EA2D8B"/>
    <w:rsid w:val="39EC3D26"/>
    <w:rsid w:val="3A064DE8"/>
    <w:rsid w:val="3A305520"/>
    <w:rsid w:val="3A6A35C8"/>
    <w:rsid w:val="3A8328DC"/>
    <w:rsid w:val="3AC802EF"/>
    <w:rsid w:val="3AE3337B"/>
    <w:rsid w:val="3AEF1D0C"/>
    <w:rsid w:val="3B0F5F1E"/>
    <w:rsid w:val="3B133C60"/>
    <w:rsid w:val="3B1479D8"/>
    <w:rsid w:val="3B567FF1"/>
    <w:rsid w:val="3B844B5E"/>
    <w:rsid w:val="3BAB20EB"/>
    <w:rsid w:val="3C616C4D"/>
    <w:rsid w:val="3C921909"/>
    <w:rsid w:val="3CA52FDE"/>
    <w:rsid w:val="3CAF1767"/>
    <w:rsid w:val="3CB7686D"/>
    <w:rsid w:val="3CED6733"/>
    <w:rsid w:val="3CFB2BFE"/>
    <w:rsid w:val="3D09356D"/>
    <w:rsid w:val="3D0E080C"/>
    <w:rsid w:val="3D197528"/>
    <w:rsid w:val="3DA96E02"/>
    <w:rsid w:val="3DBFFBF0"/>
    <w:rsid w:val="3DC454EF"/>
    <w:rsid w:val="3DCE3E6E"/>
    <w:rsid w:val="3DE511B8"/>
    <w:rsid w:val="3DF2454E"/>
    <w:rsid w:val="3E0F771B"/>
    <w:rsid w:val="3E140565"/>
    <w:rsid w:val="3ED05677"/>
    <w:rsid w:val="3EF63F99"/>
    <w:rsid w:val="3F0C10F2"/>
    <w:rsid w:val="3F375A43"/>
    <w:rsid w:val="3F6727CC"/>
    <w:rsid w:val="3F7B211F"/>
    <w:rsid w:val="3F917849"/>
    <w:rsid w:val="3FA05CDE"/>
    <w:rsid w:val="3FA23805"/>
    <w:rsid w:val="402E5885"/>
    <w:rsid w:val="40AD06B3"/>
    <w:rsid w:val="40CD2B03"/>
    <w:rsid w:val="40E36EF3"/>
    <w:rsid w:val="40E901A0"/>
    <w:rsid w:val="410022C0"/>
    <w:rsid w:val="411C75E7"/>
    <w:rsid w:val="41494DE3"/>
    <w:rsid w:val="414A76CF"/>
    <w:rsid w:val="414C66FF"/>
    <w:rsid w:val="41685B7A"/>
    <w:rsid w:val="420E40CE"/>
    <w:rsid w:val="42106E96"/>
    <w:rsid w:val="423D7815"/>
    <w:rsid w:val="42703746"/>
    <w:rsid w:val="42AF11ED"/>
    <w:rsid w:val="42B25F39"/>
    <w:rsid w:val="42BC2E2F"/>
    <w:rsid w:val="42FE0D52"/>
    <w:rsid w:val="4328518F"/>
    <w:rsid w:val="4334739A"/>
    <w:rsid w:val="4340600B"/>
    <w:rsid w:val="4355293C"/>
    <w:rsid w:val="4356724C"/>
    <w:rsid w:val="436D5ED7"/>
    <w:rsid w:val="43720088"/>
    <w:rsid w:val="43743CE6"/>
    <w:rsid w:val="439671DC"/>
    <w:rsid w:val="43A044FF"/>
    <w:rsid w:val="43F108B7"/>
    <w:rsid w:val="44056110"/>
    <w:rsid w:val="444200F5"/>
    <w:rsid w:val="445A46AE"/>
    <w:rsid w:val="4466124E"/>
    <w:rsid w:val="4475773A"/>
    <w:rsid w:val="44B10046"/>
    <w:rsid w:val="44C77869"/>
    <w:rsid w:val="44EF6789"/>
    <w:rsid w:val="45054FDF"/>
    <w:rsid w:val="453E7B2C"/>
    <w:rsid w:val="45444586"/>
    <w:rsid w:val="45614516"/>
    <w:rsid w:val="456A6B72"/>
    <w:rsid w:val="457C5F26"/>
    <w:rsid w:val="458C3E37"/>
    <w:rsid w:val="45A7777B"/>
    <w:rsid w:val="45B33B9B"/>
    <w:rsid w:val="45C02C36"/>
    <w:rsid w:val="45C6267D"/>
    <w:rsid w:val="45ED3300"/>
    <w:rsid w:val="45F40516"/>
    <w:rsid w:val="460102A4"/>
    <w:rsid w:val="461C6EB7"/>
    <w:rsid w:val="464216D6"/>
    <w:rsid w:val="46504C6F"/>
    <w:rsid w:val="4651388E"/>
    <w:rsid w:val="46A95479"/>
    <w:rsid w:val="46AC4F69"/>
    <w:rsid w:val="46C73B51"/>
    <w:rsid w:val="46C92DA7"/>
    <w:rsid w:val="46D958AA"/>
    <w:rsid w:val="46DC75FC"/>
    <w:rsid w:val="470E79D1"/>
    <w:rsid w:val="471E7C15"/>
    <w:rsid w:val="472D42FC"/>
    <w:rsid w:val="472E597E"/>
    <w:rsid w:val="47372465"/>
    <w:rsid w:val="47DB78B4"/>
    <w:rsid w:val="480F3A01"/>
    <w:rsid w:val="481E3AAF"/>
    <w:rsid w:val="48207910"/>
    <w:rsid w:val="48253225"/>
    <w:rsid w:val="484C255F"/>
    <w:rsid w:val="48724537"/>
    <w:rsid w:val="48895562"/>
    <w:rsid w:val="488B69F8"/>
    <w:rsid w:val="48C90054"/>
    <w:rsid w:val="48D84455"/>
    <w:rsid w:val="48FA296C"/>
    <w:rsid w:val="49027548"/>
    <w:rsid w:val="49211C3E"/>
    <w:rsid w:val="4950590D"/>
    <w:rsid w:val="49634005"/>
    <w:rsid w:val="496833C9"/>
    <w:rsid w:val="49886DB4"/>
    <w:rsid w:val="49970D05"/>
    <w:rsid w:val="49A91C65"/>
    <w:rsid w:val="4A2F038B"/>
    <w:rsid w:val="4A6F4C2B"/>
    <w:rsid w:val="4A9C0758"/>
    <w:rsid w:val="4AA34422"/>
    <w:rsid w:val="4AB26488"/>
    <w:rsid w:val="4ABF170F"/>
    <w:rsid w:val="4AEA53B9"/>
    <w:rsid w:val="4B1C7C90"/>
    <w:rsid w:val="4B2E6D15"/>
    <w:rsid w:val="4B50680B"/>
    <w:rsid w:val="4B6D78CD"/>
    <w:rsid w:val="4BD05255"/>
    <w:rsid w:val="4BE60F1D"/>
    <w:rsid w:val="4C2630C7"/>
    <w:rsid w:val="4C4579F1"/>
    <w:rsid w:val="4C6E62A3"/>
    <w:rsid w:val="4CC56D84"/>
    <w:rsid w:val="4CEC4311"/>
    <w:rsid w:val="4D0C6BFE"/>
    <w:rsid w:val="4D0E4287"/>
    <w:rsid w:val="4D77007F"/>
    <w:rsid w:val="4D8207D1"/>
    <w:rsid w:val="4DA30E74"/>
    <w:rsid w:val="4DBA61BD"/>
    <w:rsid w:val="4DEC481B"/>
    <w:rsid w:val="4E165AE9"/>
    <w:rsid w:val="4E7E368F"/>
    <w:rsid w:val="4E8862BB"/>
    <w:rsid w:val="4E9702AC"/>
    <w:rsid w:val="4EC30EDE"/>
    <w:rsid w:val="4ECC264C"/>
    <w:rsid w:val="4EF92D15"/>
    <w:rsid w:val="4EFF4E69"/>
    <w:rsid w:val="4F1B2C8C"/>
    <w:rsid w:val="4F544CA2"/>
    <w:rsid w:val="4F5A5BD2"/>
    <w:rsid w:val="4F5A7C58"/>
    <w:rsid w:val="4F9D18F3"/>
    <w:rsid w:val="4FD07F1A"/>
    <w:rsid w:val="4FD73056"/>
    <w:rsid w:val="4FF5172F"/>
    <w:rsid w:val="4FFA4F97"/>
    <w:rsid w:val="500C2E3A"/>
    <w:rsid w:val="502C7E07"/>
    <w:rsid w:val="50586F25"/>
    <w:rsid w:val="506A1275"/>
    <w:rsid w:val="50B27620"/>
    <w:rsid w:val="50BB64D4"/>
    <w:rsid w:val="50BD1F39"/>
    <w:rsid w:val="50D50081"/>
    <w:rsid w:val="50F10148"/>
    <w:rsid w:val="50FC1EF9"/>
    <w:rsid w:val="510F6820"/>
    <w:rsid w:val="511F2F07"/>
    <w:rsid w:val="513B13C3"/>
    <w:rsid w:val="5167040A"/>
    <w:rsid w:val="516C3C72"/>
    <w:rsid w:val="516D233C"/>
    <w:rsid w:val="51C63383"/>
    <w:rsid w:val="51E30784"/>
    <w:rsid w:val="51FD0C55"/>
    <w:rsid w:val="526B3F2A"/>
    <w:rsid w:val="52843CD5"/>
    <w:rsid w:val="52854FEC"/>
    <w:rsid w:val="528D20F2"/>
    <w:rsid w:val="52B256B5"/>
    <w:rsid w:val="52CA50F4"/>
    <w:rsid w:val="52D852D5"/>
    <w:rsid w:val="52DE46FC"/>
    <w:rsid w:val="530F0D59"/>
    <w:rsid w:val="537E1A3B"/>
    <w:rsid w:val="537F5EDF"/>
    <w:rsid w:val="53987EBC"/>
    <w:rsid w:val="53A40EB9"/>
    <w:rsid w:val="53C63C53"/>
    <w:rsid w:val="53F561A1"/>
    <w:rsid w:val="53F66196"/>
    <w:rsid w:val="53FC471D"/>
    <w:rsid w:val="54A6749B"/>
    <w:rsid w:val="54DD5EE3"/>
    <w:rsid w:val="55052414"/>
    <w:rsid w:val="55256612"/>
    <w:rsid w:val="553C395C"/>
    <w:rsid w:val="55456CB4"/>
    <w:rsid w:val="55524F2D"/>
    <w:rsid w:val="55A82D9F"/>
    <w:rsid w:val="55D7082B"/>
    <w:rsid w:val="55F81F79"/>
    <w:rsid w:val="56075D18"/>
    <w:rsid w:val="560A5808"/>
    <w:rsid w:val="56141C33"/>
    <w:rsid w:val="56336B0D"/>
    <w:rsid w:val="563C1E65"/>
    <w:rsid w:val="56B62522"/>
    <w:rsid w:val="570B5583"/>
    <w:rsid w:val="57286DB3"/>
    <w:rsid w:val="574865E8"/>
    <w:rsid w:val="577B4C0F"/>
    <w:rsid w:val="577E025B"/>
    <w:rsid w:val="57A37CC2"/>
    <w:rsid w:val="57C53579"/>
    <w:rsid w:val="580B1D35"/>
    <w:rsid w:val="58220F38"/>
    <w:rsid w:val="58237473"/>
    <w:rsid w:val="5829466B"/>
    <w:rsid w:val="582D2ECA"/>
    <w:rsid w:val="588B0E82"/>
    <w:rsid w:val="588E44CE"/>
    <w:rsid w:val="589E62EB"/>
    <w:rsid w:val="58B5571B"/>
    <w:rsid w:val="58C148A4"/>
    <w:rsid w:val="58D06FBA"/>
    <w:rsid w:val="58DD0763"/>
    <w:rsid w:val="590A0F1B"/>
    <w:rsid w:val="5936284C"/>
    <w:rsid w:val="593A4CA4"/>
    <w:rsid w:val="59875AED"/>
    <w:rsid w:val="59D620C4"/>
    <w:rsid w:val="5A76346C"/>
    <w:rsid w:val="5A7C139D"/>
    <w:rsid w:val="5A7C4F26"/>
    <w:rsid w:val="5AD05272"/>
    <w:rsid w:val="5AE623A0"/>
    <w:rsid w:val="5AE72A9B"/>
    <w:rsid w:val="5AF80C77"/>
    <w:rsid w:val="5B0D5B7E"/>
    <w:rsid w:val="5B3651C4"/>
    <w:rsid w:val="5B90055D"/>
    <w:rsid w:val="5B94004E"/>
    <w:rsid w:val="5BC12002"/>
    <w:rsid w:val="5BD963A8"/>
    <w:rsid w:val="5BEF1728"/>
    <w:rsid w:val="5C164F06"/>
    <w:rsid w:val="5C1E636D"/>
    <w:rsid w:val="5C49779D"/>
    <w:rsid w:val="5C4A2E02"/>
    <w:rsid w:val="5C4C26D6"/>
    <w:rsid w:val="5C533A65"/>
    <w:rsid w:val="5CA61CC5"/>
    <w:rsid w:val="5CD47089"/>
    <w:rsid w:val="5CEE60FC"/>
    <w:rsid w:val="5D1319DA"/>
    <w:rsid w:val="5D9E3405"/>
    <w:rsid w:val="5DAF5613"/>
    <w:rsid w:val="5DCA7D57"/>
    <w:rsid w:val="5DDD2180"/>
    <w:rsid w:val="5E14191A"/>
    <w:rsid w:val="5E2C5A66"/>
    <w:rsid w:val="5E3972E5"/>
    <w:rsid w:val="5E5341F0"/>
    <w:rsid w:val="5E5D0BCB"/>
    <w:rsid w:val="5E774777"/>
    <w:rsid w:val="5E875C48"/>
    <w:rsid w:val="5F142678"/>
    <w:rsid w:val="5F20356F"/>
    <w:rsid w:val="5F610B8F"/>
    <w:rsid w:val="5F6661A5"/>
    <w:rsid w:val="5F87745E"/>
    <w:rsid w:val="5FCF78A6"/>
    <w:rsid w:val="60634492"/>
    <w:rsid w:val="60714E01"/>
    <w:rsid w:val="608D150F"/>
    <w:rsid w:val="608E59B3"/>
    <w:rsid w:val="60E16DC7"/>
    <w:rsid w:val="612B4FB0"/>
    <w:rsid w:val="61557096"/>
    <w:rsid w:val="617F354E"/>
    <w:rsid w:val="6185437C"/>
    <w:rsid w:val="619A1751"/>
    <w:rsid w:val="61B52ACC"/>
    <w:rsid w:val="61D45A07"/>
    <w:rsid w:val="61E729D2"/>
    <w:rsid w:val="622171F9"/>
    <w:rsid w:val="62317338"/>
    <w:rsid w:val="62407B32"/>
    <w:rsid w:val="627925D2"/>
    <w:rsid w:val="62C46226"/>
    <w:rsid w:val="62C523FB"/>
    <w:rsid w:val="62F13FD7"/>
    <w:rsid w:val="6300421A"/>
    <w:rsid w:val="63103592"/>
    <w:rsid w:val="63350368"/>
    <w:rsid w:val="63846BFA"/>
    <w:rsid w:val="638E7A78"/>
    <w:rsid w:val="639860B9"/>
    <w:rsid w:val="63C9253A"/>
    <w:rsid w:val="63D00091"/>
    <w:rsid w:val="63F41FD1"/>
    <w:rsid w:val="641E3E83"/>
    <w:rsid w:val="648F14D8"/>
    <w:rsid w:val="64A241DD"/>
    <w:rsid w:val="64DC4BF4"/>
    <w:rsid w:val="64EC4A56"/>
    <w:rsid w:val="64F41B5D"/>
    <w:rsid w:val="653E3F84"/>
    <w:rsid w:val="65AB796D"/>
    <w:rsid w:val="65C42D57"/>
    <w:rsid w:val="660404C6"/>
    <w:rsid w:val="66206A18"/>
    <w:rsid w:val="662E7EAC"/>
    <w:rsid w:val="66354F05"/>
    <w:rsid w:val="667C005C"/>
    <w:rsid w:val="66AF2C9C"/>
    <w:rsid w:val="66D06D96"/>
    <w:rsid w:val="66D122FD"/>
    <w:rsid w:val="66FC791B"/>
    <w:rsid w:val="670A1B0C"/>
    <w:rsid w:val="672C3830"/>
    <w:rsid w:val="6746681E"/>
    <w:rsid w:val="67B215EE"/>
    <w:rsid w:val="67CA4DF7"/>
    <w:rsid w:val="67CB102B"/>
    <w:rsid w:val="67F34959"/>
    <w:rsid w:val="67F87BB6"/>
    <w:rsid w:val="682965BB"/>
    <w:rsid w:val="683A4A13"/>
    <w:rsid w:val="684352D5"/>
    <w:rsid w:val="689E3B8A"/>
    <w:rsid w:val="68B7537B"/>
    <w:rsid w:val="68F44821"/>
    <w:rsid w:val="691C78D4"/>
    <w:rsid w:val="692E40F3"/>
    <w:rsid w:val="69362744"/>
    <w:rsid w:val="69623EDE"/>
    <w:rsid w:val="699B4C9D"/>
    <w:rsid w:val="69B61AD7"/>
    <w:rsid w:val="69F262CB"/>
    <w:rsid w:val="69F85C4B"/>
    <w:rsid w:val="6A334ED5"/>
    <w:rsid w:val="6A4964A7"/>
    <w:rsid w:val="6A7D3FB6"/>
    <w:rsid w:val="6AB778B5"/>
    <w:rsid w:val="6B133AE7"/>
    <w:rsid w:val="6B170353"/>
    <w:rsid w:val="6B1D5E72"/>
    <w:rsid w:val="6B3E28C1"/>
    <w:rsid w:val="6B476E8A"/>
    <w:rsid w:val="6B4B046E"/>
    <w:rsid w:val="6B5259F4"/>
    <w:rsid w:val="6B7316A4"/>
    <w:rsid w:val="6B7B2FD8"/>
    <w:rsid w:val="6B7E4C5D"/>
    <w:rsid w:val="6BBB1626"/>
    <w:rsid w:val="6BCFCE22"/>
    <w:rsid w:val="6C283F43"/>
    <w:rsid w:val="6C335661"/>
    <w:rsid w:val="6C4433CA"/>
    <w:rsid w:val="6C586513"/>
    <w:rsid w:val="6C7B05E2"/>
    <w:rsid w:val="6C8359F4"/>
    <w:rsid w:val="6D0B14CF"/>
    <w:rsid w:val="6D4318D3"/>
    <w:rsid w:val="6D434595"/>
    <w:rsid w:val="6D7970A3"/>
    <w:rsid w:val="6D8C327A"/>
    <w:rsid w:val="6D946ECB"/>
    <w:rsid w:val="6D9F3FE9"/>
    <w:rsid w:val="6DB4076A"/>
    <w:rsid w:val="6DB77BCC"/>
    <w:rsid w:val="6DC9057F"/>
    <w:rsid w:val="6DC95F17"/>
    <w:rsid w:val="6E190503"/>
    <w:rsid w:val="6E261E32"/>
    <w:rsid w:val="6E4B4EE4"/>
    <w:rsid w:val="6E6848B4"/>
    <w:rsid w:val="6E731D44"/>
    <w:rsid w:val="6EC727D8"/>
    <w:rsid w:val="6EE804F1"/>
    <w:rsid w:val="6EE80984"/>
    <w:rsid w:val="6F0D3F47"/>
    <w:rsid w:val="6F6A75EB"/>
    <w:rsid w:val="6F865AA7"/>
    <w:rsid w:val="6FB865A9"/>
    <w:rsid w:val="6FC51CA8"/>
    <w:rsid w:val="6FE4739E"/>
    <w:rsid w:val="6FFA819D"/>
    <w:rsid w:val="70634617"/>
    <w:rsid w:val="70636969"/>
    <w:rsid w:val="70A97C9F"/>
    <w:rsid w:val="70AC5B69"/>
    <w:rsid w:val="70D80585"/>
    <w:rsid w:val="70E5442F"/>
    <w:rsid w:val="70F058CE"/>
    <w:rsid w:val="7128150C"/>
    <w:rsid w:val="716122BB"/>
    <w:rsid w:val="72071122"/>
    <w:rsid w:val="720A29C0"/>
    <w:rsid w:val="720B63C0"/>
    <w:rsid w:val="72213E66"/>
    <w:rsid w:val="724F65E2"/>
    <w:rsid w:val="7275647C"/>
    <w:rsid w:val="728C1B45"/>
    <w:rsid w:val="72BD3ED6"/>
    <w:rsid w:val="72BF0364"/>
    <w:rsid w:val="72F86CBC"/>
    <w:rsid w:val="73263829"/>
    <w:rsid w:val="7346211D"/>
    <w:rsid w:val="73465C7A"/>
    <w:rsid w:val="73934B26"/>
    <w:rsid w:val="73E02686"/>
    <w:rsid w:val="74117B3F"/>
    <w:rsid w:val="74152E80"/>
    <w:rsid w:val="742862C6"/>
    <w:rsid w:val="742C4E6F"/>
    <w:rsid w:val="7443040B"/>
    <w:rsid w:val="744F272C"/>
    <w:rsid w:val="746B1DAF"/>
    <w:rsid w:val="746E1B45"/>
    <w:rsid w:val="748A428C"/>
    <w:rsid w:val="748F1AFC"/>
    <w:rsid w:val="749D7B1B"/>
    <w:rsid w:val="74B15375"/>
    <w:rsid w:val="74C4779E"/>
    <w:rsid w:val="74F6547D"/>
    <w:rsid w:val="750924D8"/>
    <w:rsid w:val="751A116C"/>
    <w:rsid w:val="753164B5"/>
    <w:rsid w:val="753A7A60"/>
    <w:rsid w:val="75660855"/>
    <w:rsid w:val="75D82CCE"/>
    <w:rsid w:val="75E225A7"/>
    <w:rsid w:val="7629262A"/>
    <w:rsid w:val="764C6175"/>
    <w:rsid w:val="76830F93"/>
    <w:rsid w:val="76BC122C"/>
    <w:rsid w:val="76F61765"/>
    <w:rsid w:val="77012625"/>
    <w:rsid w:val="7704694D"/>
    <w:rsid w:val="771542E1"/>
    <w:rsid w:val="77183DD1"/>
    <w:rsid w:val="77194CE2"/>
    <w:rsid w:val="771A5453"/>
    <w:rsid w:val="771B741D"/>
    <w:rsid w:val="774E15A1"/>
    <w:rsid w:val="775C3661"/>
    <w:rsid w:val="77871237"/>
    <w:rsid w:val="77911727"/>
    <w:rsid w:val="77EA18BC"/>
    <w:rsid w:val="780D4FB8"/>
    <w:rsid w:val="782D565A"/>
    <w:rsid w:val="783A53EF"/>
    <w:rsid w:val="7840713B"/>
    <w:rsid w:val="786A065C"/>
    <w:rsid w:val="78704DF0"/>
    <w:rsid w:val="78B35B5F"/>
    <w:rsid w:val="78C15F64"/>
    <w:rsid w:val="78D322D8"/>
    <w:rsid w:val="78EC0CB4"/>
    <w:rsid w:val="797C4DD7"/>
    <w:rsid w:val="799D05BD"/>
    <w:rsid w:val="79C3347E"/>
    <w:rsid w:val="79CD2C51"/>
    <w:rsid w:val="79F931E1"/>
    <w:rsid w:val="79FC1788"/>
    <w:rsid w:val="7A027492"/>
    <w:rsid w:val="7A0348C4"/>
    <w:rsid w:val="7A1220CC"/>
    <w:rsid w:val="7A3C3932"/>
    <w:rsid w:val="7A575F57"/>
    <w:rsid w:val="7A5E5F9F"/>
    <w:rsid w:val="7A8772A3"/>
    <w:rsid w:val="7AA15E8B"/>
    <w:rsid w:val="7AAD65DE"/>
    <w:rsid w:val="7AB11687"/>
    <w:rsid w:val="7AB931D5"/>
    <w:rsid w:val="7ACF6635"/>
    <w:rsid w:val="7B1EE665"/>
    <w:rsid w:val="7B2F54B5"/>
    <w:rsid w:val="7B3D7962"/>
    <w:rsid w:val="7B5B24DE"/>
    <w:rsid w:val="7B66335D"/>
    <w:rsid w:val="7B694BFB"/>
    <w:rsid w:val="7B7315D6"/>
    <w:rsid w:val="7BAB5214"/>
    <w:rsid w:val="7BAF03F7"/>
    <w:rsid w:val="7BD858DD"/>
    <w:rsid w:val="7BDA3403"/>
    <w:rsid w:val="7BDD38DF"/>
    <w:rsid w:val="7BEE5100"/>
    <w:rsid w:val="7BF904A3"/>
    <w:rsid w:val="7C180B2E"/>
    <w:rsid w:val="7C26131F"/>
    <w:rsid w:val="7C2720F2"/>
    <w:rsid w:val="7C43714C"/>
    <w:rsid w:val="7C5A4544"/>
    <w:rsid w:val="7CB9570E"/>
    <w:rsid w:val="7CCD1A56"/>
    <w:rsid w:val="7CED7166"/>
    <w:rsid w:val="7D0C3A90"/>
    <w:rsid w:val="7D1D3EEF"/>
    <w:rsid w:val="7D3702E5"/>
    <w:rsid w:val="7D63567A"/>
    <w:rsid w:val="7D755AD9"/>
    <w:rsid w:val="7D8B70AB"/>
    <w:rsid w:val="7DA22646"/>
    <w:rsid w:val="7DAE4B47"/>
    <w:rsid w:val="7DAE6C72"/>
    <w:rsid w:val="7DCE51E9"/>
    <w:rsid w:val="7DD81917"/>
    <w:rsid w:val="7DDC1500"/>
    <w:rsid w:val="7DDE4768"/>
    <w:rsid w:val="7DF54524"/>
    <w:rsid w:val="7DFF35F5"/>
    <w:rsid w:val="7E0F7ABB"/>
    <w:rsid w:val="7E3712E7"/>
    <w:rsid w:val="7E505BFE"/>
    <w:rsid w:val="7E6B31AE"/>
    <w:rsid w:val="7E6E42D6"/>
    <w:rsid w:val="7EA146AC"/>
    <w:rsid w:val="7EB60008"/>
    <w:rsid w:val="7EC42148"/>
    <w:rsid w:val="7EDC30EB"/>
    <w:rsid w:val="7EEF2C4C"/>
    <w:rsid w:val="7EF8136D"/>
    <w:rsid w:val="7F267F08"/>
    <w:rsid w:val="7F3FD8F5"/>
    <w:rsid w:val="7F4FF76D"/>
    <w:rsid w:val="7F565B5F"/>
    <w:rsid w:val="7F577294"/>
    <w:rsid w:val="7F7F4E8D"/>
    <w:rsid w:val="7F870019"/>
    <w:rsid w:val="7F961D37"/>
    <w:rsid w:val="7FC3027E"/>
    <w:rsid w:val="7FC44AF6"/>
    <w:rsid w:val="7FDD1714"/>
    <w:rsid w:val="7FDF723A"/>
    <w:rsid w:val="B6DFD99A"/>
    <w:rsid w:val="BF47EA16"/>
    <w:rsid w:val="CFEF73C2"/>
    <w:rsid w:val="E74DD106"/>
    <w:rsid w:val="EAF9AAD5"/>
    <w:rsid w:val="EBFDE926"/>
    <w:rsid w:val="ECDCB5FD"/>
    <w:rsid w:val="EEF79D81"/>
    <w:rsid w:val="FBF59284"/>
    <w:rsid w:val="FD77ADB3"/>
    <w:rsid w:val="FEFDF03F"/>
    <w:rsid w:val="FEFF59ED"/>
    <w:rsid w:val="FF8F13CE"/>
    <w:rsid w:val="FFDADA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tabs>
        <w:tab w:val="left" w:pos="1830"/>
      </w:tabs>
      <w:ind w:left="1830" w:hanging="360"/>
      <w:outlineLvl w:val="0"/>
    </w:pPr>
    <w:rPr>
      <w:rFonts w:ascii="Arial" w:hAnsi="Arial" w:eastAsia="仿宋_GB2312"/>
      <w:sz w:val="28"/>
      <w:szCs w:val="20"/>
      <w:lang w:bidi="he-IL"/>
    </w:rPr>
  </w:style>
  <w:style w:type="paragraph" w:styleId="5">
    <w:name w:val="heading 2"/>
    <w:basedOn w:val="1"/>
    <w:next w:val="1"/>
    <w:link w:val="47"/>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33"/>
    <w:unhideWhenUsed/>
    <w:qFormat/>
    <w:uiPriority w:val="99"/>
    <w:pPr>
      <w:spacing w:line="400" w:lineRule="atLeast"/>
      <w:ind w:firstLine="426"/>
    </w:pPr>
    <w:rPr>
      <w:sz w:val="24"/>
      <w:szCs w:val="20"/>
    </w:rPr>
  </w:style>
  <w:style w:type="paragraph" w:styleId="3">
    <w:name w:val="Body Text"/>
    <w:basedOn w:val="1"/>
    <w:next w:val="1"/>
    <w:link w:val="32"/>
    <w:qFormat/>
    <w:uiPriority w:val="0"/>
    <w:pPr>
      <w:spacing w:after="120"/>
    </w:pPr>
  </w:style>
  <w:style w:type="paragraph" w:styleId="6">
    <w:name w:val="annotation text"/>
    <w:basedOn w:val="1"/>
    <w:qFormat/>
    <w:uiPriority w:val="0"/>
    <w:pPr>
      <w:jc w:val="left"/>
    </w:pPr>
  </w:style>
  <w:style w:type="paragraph" w:styleId="7">
    <w:name w:val="Plain Text"/>
    <w:basedOn w:val="1"/>
    <w:qFormat/>
    <w:uiPriority w:val="0"/>
    <w:rPr>
      <w:rFonts w:ascii="宋体" w:hAnsi="Courier New"/>
    </w:rPr>
  </w:style>
  <w:style w:type="paragraph" w:styleId="8">
    <w:name w:val="Balloon Text"/>
    <w:basedOn w:val="1"/>
    <w:link w:val="31"/>
    <w:qFormat/>
    <w:uiPriority w:val="0"/>
    <w:rPr>
      <w:sz w:val="18"/>
      <w:szCs w:val="18"/>
    </w:rPr>
  </w:style>
  <w:style w:type="paragraph" w:styleId="9">
    <w:name w:val="footer"/>
    <w:basedOn w:val="1"/>
    <w:link w:val="44"/>
    <w:qFormat/>
    <w:uiPriority w:val="99"/>
    <w:pPr>
      <w:tabs>
        <w:tab w:val="center" w:pos="4153"/>
        <w:tab w:val="right" w:pos="8306"/>
      </w:tabs>
      <w:snapToGrid w:val="0"/>
      <w:jc w:val="left"/>
    </w:pPr>
    <w:rPr>
      <w:sz w:val="18"/>
      <w:szCs w:val="20"/>
      <w:lang w:bidi="he-IL"/>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2"/>
    <w:next w:val="1"/>
    <w:qFormat/>
    <w:uiPriority w:val="39"/>
    <w:rPr>
      <w:rFonts w:eastAsia="黑体"/>
      <w:sz w:val="28"/>
    </w:rPr>
  </w:style>
  <w:style w:type="paragraph" w:styleId="12">
    <w:name w:val="index 1"/>
    <w:basedOn w:val="1"/>
    <w:next w:val="1"/>
    <w:semiHidden/>
    <w:qFormat/>
    <w:uiPriority w:val="0"/>
    <w:rPr>
      <w:rFonts w:eastAsia="仿宋_GB2312"/>
      <w:b/>
      <w:sz w:val="24"/>
      <w:szCs w:val="20"/>
    </w:rPr>
  </w:style>
  <w:style w:type="paragraph" w:styleId="13">
    <w:name w:val="toc 2"/>
    <w:basedOn w:val="14"/>
    <w:next w:val="14"/>
    <w:qFormat/>
    <w:uiPriority w:val="39"/>
    <w:pPr>
      <w:ind w:left="420"/>
    </w:pPr>
    <w:rPr>
      <w:rFonts w:eastAsia="仿宋_GB2312"/>
      <w:b/>
      <w:sz w:val="24"/>
    </w:rPr>
  </w:style>
  <w:style w:type="paragraph" w:styleId="14">
    <w:name w:val="index 2"/>
    <w:basedOn w:val="1"/>
    <w:next w:val="1"/>
    <w:qFormat/>
    <w:uiPriority w:val="0"/>
    <w:pPr>
      <w:ind w:left="200" w:leftChars="200"/>
    </w:pPr>
    <w:rPr>
      <w:szCs w:val="20"/>
    </w:rPr>
  </w:style>
  <w:style w:type="paragraph" w:styleId="15">
    <w:name w:val="Normal (Web)"/>
    <w:basedOn w:val="1"/>
    <w:qFormat/>
    <w:uiPriority w:val="0"/>
    <w:pPr>
      <w:spacing w:beforeAutospacing="1" w:afterAutospacing="1"/>
      <w:jc w:val="left"/>
    </w:pPr>
    <w:rPr>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Emphasis"/>
    <w:basedOn w:val="18"/>
    <w:qFormat/>
    <w:uiPriority w:val="0"/>
    <w:rPr>
      <w:color w:val="CC0000"/>
    </w:rPr>
  </w:style>
  <w:style w:type="character" w:styleId="22">
    <w:name w:val="Hyperlink"/>
    <w:qFormat/>
    <w:uiPriority w:val="99"/>
    <w:rPr>
      <w:color w:val="0000FF"/>
      <w:u w:val="single"/>
    </w:rPr>
  </w:style>
  <w:style w:type="character" w:styleId="23">
    <w:name w:val="HTML Cite"/>
    <w:basedOn w:val="18"/>
    <w:qFormat/>
    <w:uiPriority w:val="0"/>
    <w:rPr>
      <w:color w:val="008000"/>
    </w:rPr>
  </w:style>
  <w:style w:type="paragraph" w:customStyle="1" w:styleId="24">
    <w:name w:val="章标题"/>
    <w:basedOn w:val="1"/>
    <w:qFormat/>
    <w:uiPriority w:val="0"/>
    <w:pPr>
      <w:jc w:val="center"/>
    </w:pPr>
    <w:rPr>
      <w:rFonts w:ascii="宋体" w:hAnsi="宋体" w:eastAsia="黑体"/>
      <w:b/>
      <w:sz w:val="28"/>
      <w:szCs w:val="30"/>
    </w:rPr>
  </w:style>
  <w:style w:type="paragraph" w:customStyle="1" w:styleId="25">
    <w:name w:val="GW-正文"/>
    <w:basedOn w:val="1"/>
    <w:qFormat/>
    <w:uiPriority w:val="0"/>
    <w:pPr>
      <w:spacing w:line="360" w:lineRule="auto"/>
      <w:ind w:firstLine="200" w:firstLineChars="200"/>
      <w:contextualSpacing/>
    </w:pPr>
  </w:style>
  <w:style w:type="paragraph" w:customStyle="1" w:styleId="26">
    <w:name w:val="p0"/>
    <w:basedOn w:val="1"/>
    <w:qFormat/>
    <w:uiPriority w:val="0"/>
    <w:pPr>
      <w:widowControl/>
    </w:pPr>
    <w:rPr>
      <w:kern w:val="0"/>
      <w:szCs w:val="21"/>
    </w:rPr>
  </w:style>
  <w:style w:type="paragraph" w:customStyle="1" w:styleId="27">
    <w:name w:val="节标题"/>
    <w:basedOn w:val="1"/>
    <w:qFormat/>
    <w:uiPriority w:val="0"/>
    <w:pPr>
      <w:ind w:firstLine="1928" w:firstLineChars="800"/>
    </w:pPr>
    <w:rPr>
      <w:rFonts w:ascii="宋体" w:hAnsi="宋体" w:cs="Arial"/>
      <w:b/>
    </w:rPr>
  </w:style>
  <w:style w:type="paragraph" w:customStyle="1" w:styleId="28">
    <w:name w:val="D&amp;L"/>
    <w:basedOn w:val="10"/>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29">
    <w:name w:val="fontstyle01"/>
    <w:qFormat/>
    <w:uiPriority w:val="0"/>
    <w:rPr>
      <w:rFonts w:hint="eastAsia" w:ascii="宋体" w:hAnsi="宋体" w:eastAsia="宋体"/>
      <w:color w:val="000000"/>
      <w:sz w:val="24"/>
      <w:szCs w:val="24"/>
    </w:rPr>
  </w:style>
  <w:style w:type="character" w:customStyle="1" w:styleId="30">
    <w:name w:val="标题 2 Char"/>
    <w:link w:val="5"/>
    <w:qFormat/>
    <w:uiPriority w:val="0"/>
    <w:rPr>
      <w:rFonts w:ascii="Arial" w:hAnsi="Arial" w:eastAsia="黑体"/>
      <w:b/>
      <w:bCs/>
      <w:sz w:val="32"/>
      <w:szCs w:val="32"/>
    </w:rPr>
  </w:style>
  <w:style w:type="character" w:customStyle="1" w:styleId="31">
    <w:name w:val="批注框文本 Char"/>
    <w:basedOn w:val="18"/>
    <w:link w:val="8"/>
    <w:qFormat/>
    <w:uiPriority w:val="0"/>
    <w:rPr>
      <w:kern w:val="2"/>
      <w:sz w:val="18"/>
      <w:szCs w:val="18"/>
    </w:rPr>
  </w:style>
  <w:style w:type="character" w:customStyle="1" w:styleId="32">
    <w:name w:val="正文文本 Char"/>
    <w:basedOn w:val="18"/>
    <w:link w:val="3"/>
    <w:qFormat/>
    <w:uiPriority w:val="0"/>
    <w:rPr>
      <w:kern w:val="2"/>
      <w:sz w:val="21"/>
      <w:szCs w:val="24"/>
    </w:rPr>
  </w:style>
  <w:style w:type="character" w:customStyle="1" w:styleId="33">
    <w:name w:val="正文首行缩进 Char"/>
    <w:basedOn w:val="32"/>
    <w:link w:val="2"/>
    <w:qFormat/>
    <w:uiPriority w:val="99"/>
    <w:rPr>
      <w:kern w:val="2"/>
      <w:sz w:val="24"/>
      <w:szCs w:val="24"/>
    </w:rPr>
  </w:style>
  <w:style w:type="paragraph" w:customStyle="1" w:styleId="34">
    <w:name w:val="列出段落1"/>
    <w:basedOn w:val="1"/>
    <w:qFormat/>
    <w:uiPriority w:val="34"/>
    <w:pPr>
      <w:ind w:firstLine="420" w:firstLineChars="200"/>
    </w:pPr>
    <w:rPr>
      <w:rFonts w:ascii="Calibri" w:hAnsi="Calibri"/>
      <w:szCs w:val="22"/>
    </w:rPr>
  </w:style>
  <w:style w:type="character" w:customStyle="1" w:styleId="35">
    <w:name w:val="c-icon13"/>
    <w:basedOn w:val="18"/>
    <w:qFormat/>
    <w:uiPriority w:val="0"/>
  </w:style>
  <w:style w:type="character" w:customStyle="1" w:styleId="36">
    <w:name w:val="c-icon14"/>
    <w:basedOn w:val="18"/>
    <w:qFormat/>
    <w:uiPriority w:val="0"/>
  </w:style>
  <w:style w:type="character" w:customStyle="1" w:styleId="37">
    <w:name w:val="hover18"/>
    <w:basedOn w:val="18"/>
    <w:qFormat/>
    <w:uiPriority w:val="0"/>
  </w:style>
  <w:style w:type="character" w:customStyle="1" w:styleId="38">
    <w:name w:val="hover19"/>
    <w:basedOn w:val="18"/>
    <w:qFormat/>
    <w:uiPriority w:val="0"/>
    <w:rPr>
      <w:color w:val="315EFB"/>
    </w:rPr>
  </w:style>
  <w:style w:type="character" w:customStyle="1" w:styleId="39">
    <w:name w:val="c-icon28"/>
    <w:basedOn w:val="18"/>
    <w:qFormat/>
    <w:uiPriority w:val="0"/>
  </w:style>
  <w:style w:type="character" w:customStyle="1" w:styleId="40">
    <w:name w:val="c-icon26"/>
    <w:basedOn w:val="18"/>
    <w:qFormat/>
    <w:uiPriority w:val="0"/>
  </w:style>
  <w:style w:type="paragraph" w:customStyle="1" w:styleId="41">
    <w:name w:val="列出段落2"/>
    <w:basedOn w:val="1"/>
    <w:qFormat/>
    <w:uiPriority w:val="34"/>
    <w:pPr>
      <w:ind w:firstLine="420" w:firstLineChars="200"/>
    </w:pPr>
    <w:rPr>
      <w:kern w:val="0"/>
      <w:sz w:val="20"/>
      <w:szCs w:val="20"/>
    </w:rPr>
  </w:style>
  <w:style w:type="character" w:customStyle="1" w:styleId="42">
    <w:name w:val="font41"/>
    <w:basedOn w:val="18"/>
    <w:qFormat/>
    <w:uiPriority w:val="0"/>
    <w:rPr>
      <w:rFonts w:hint="default" w:ascii="等线" w:hAnsi="等线" w:eastAsia="等线" w:cs="等线"/>
      <w:color w:val="000000"/>
      <w:sz w:val="22"/>
      <w:szCs w:val="22"/>
      <w:u w:val="none"/>
    </w:rPr>
  </w:style>
  <w:style w:type="character" w:customStyle="1" w:styleId="43">
    <w:name w:val="font01"/>
    <w:basedOn w:val="18"/>
    <w:qFormat/>
    <w:uiPriority w:val="0"/>
    <w:rPr>
      <w:rFonts w:ascii="DengXian ( 正文 )" w:hAnsi="DengXian ( 正文 )" w:eastAsia="DengXian ( 正文 )" w:cs="DengXian ( 正文 )"/>
      <w:color w:val="000000"/>
      <w:sz w:val="22"/>
      <w:szCs w:val="22"/>
      <w:u w:val="none"/>
    </w:rPr>
  </w:style>
  <w:style w:type="character" w:customStyle="1" w:styleId="44">
    <w:name w:val="页脚 Char"/>
    <w:link w:val="9"/>
    <w:qFormat/>
    <w:uiPriority w:val="99"/>
    <w:rPr>
      <w:rFonts w:ascii="Times New Roman" w:hAnsi="Times New Roman"/>
      <w:kern w:val="2"/>
      <w:sz w:val="18"/>
      <w:lang w:bidi="he-IL"/>
    </w:rPr>
  </w:style>
  <w:style w:type="paragraph" w:customStyle="1" w:styleId="4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46">
    <w:name w:val="样式 标题 2 + 宋体 五号 行距: 单倍行距"/>
    <w:basedOn w:val="5"/>
    <w:qFormat/>
    <w:uiPriority w:val="0"/>
    <w:pPr>
      <w:spacing w:line="240" w:lineRule="auto"/>
    </w:pPr>
    <w:rPr>
      <w:rFonts w:ascii="宋体" w:hAnsi="宋体" w:eastAsia="宋体"/>
      <w:sz w:val="21"/>
    </w:rPr>
  </w:style>
  <w:style w:type="character" w:customStyle="1" w:styleId="47">
    <w:name w:val="标题 2 Char1"/>
    <w:link w:val="5"/>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162</Words>
  <Characters>182</Characters>
  <Lines>130</Lines>
  <Paragraphs>36</Paragraphs>
  <TotalTime>7</TotalTime>
  <ScaleCrop>false</ScaleCrop>
  <LinksUpToDate>false</LinksUpToDate>
  <CharactersWithSpaces>240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2020-02-04T00:14:00Z</dcterms:created>
  <dc:creator>Vincent</dc:creator>
  <cp:lastModifiedBy>Star</cp:lastModifiedBy>
  <cp:lastPrinted>2020-05-07T00:01:00Z</cp:lastPrinted>
  <dcterms:modified xsi:type="dcterms:W3CDTF">2025-11-27T00:36:16Z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0F511E2BDBC34DCE9E81EBDA769FEE87_13</vt:lpwstr>
  </property>
  <property fmtid="{D5CDD505-2E9C-101B-9397-08002B2CF9AE}" pid="4" name="KSOTemplateDocerSaveRecord">
    <vt:lpwstr>eyJoZGlkIjoiYTJhYjRhNDQ0YmE0YmY2YjRlNWVlMjA5MGM1MDg3YjMiLCJ1c2VySWQiOiI0NzE1ODkwMDUifQ==</vt:lpwstr>
  </property>
</Properties>
</file>